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spacing w:after="0" w:line="881" w:lineRule="exact"/>
        <w:ind w:left="0" w:right="23" w:firstLine="0"/>
        <w:jc w:val="center"/>
        <w:rPr>
          <w:rFonts w:cs="Times New Roman" w:asciiTheme="minorEastAsia" w:hAnsiTheme="minorEastAsia" w:eastAsiaTheme="minorEastAsia"/>
          <w:color w:val="auto"/>
          <w:spacing w:val="18"/>
          <w:sz w:val="52"/>
          <w:szCs w:val="24"/>
        </w:rPr>
      </w:pPr>
    </w:p>
    <w:p>
      <w:pPr>
        <w:widowControl w:val="0"/>
        <w:spacing w:after="0" w:line="881" w:lineRule="exact"/>
        <w:ind w:left="0" w:right="23" w:firstLine="0"/>
        <w:jc w:val="center"/>
        <w:rPr>
          <w:rFonts w:cs="Times New Roman" w:asciiTheme="minorEastAsia" w:hAnsiTheme="minorEastAsia" w:eastAsiaTheme="minorEastAsia"/>
          <w:color w:val="auto"/>
          <w:spacing w:val="18"/>
          <w:sz w:val="44"/>
          <w:szCs w:val="24"/>
        </w:rPr>
      </w:pPr>
      <w:r>
        <w:rPr>
          <w:rFonts w:hint="eastAsia" w:cs="Times New Roman" w:asciiTheme="minorEastAsia" w:hAnsiTheme="minorEastAsia" w:eastAsiaTheme="minorEastAsia"/>
          <w:color w:val="auto"/>
          <w:spacing w:val="18"/>
          <w:sz w:val="44"/>
          <w:szCs w:val="24"/>
        </w:rPr>
        <w:t>中电建冀交高速公路投资发展有限公司</w:t>
      </w:r>
    </w:p>
    <w:p>
      <w:pPr>
        <w:widowControl w:val="0"/>
        <w:spacing w:after="0" w:line="881" w:lineRule="exact"/>
        <w:ind w:left="0" w:right="23" w:firstLine="0"/>
        <w:jc w:val="center"/>
        <w:rPr>
          <w:rFonts w:cs="Times New Roman" w:asciiTheme="minorEastAsia" w:hAnsiTheme="minorEastAsia" w:eastAsiaTheme="minorEastAsia"/>
          <w:color w:val="auto"/>
          <w:spacing w:val="18"/>
          <w:sz w:val="44"/>
          <w:szCs w:val="24"/>
        </w:rPr>
      </w:pPr>
      <w:r>
        <w:rPr>
          <w:rFonts w:hint="eastAsia" w:cs="Times New Roman" w:asciiTheme="minorEastAsia" w:hAnsiTheme="minorEastAsia" w:eastAsiaTheme="minorEastAsia"/>
          <w:color w:val="auto"/>
          <w:spacing w:val="18"/>
          <w:sz w:val="44"/>
          <w:szCs w:val="24"/>
        </w:rPr>
        <w:t>风险分级管控与隐患排查治理实施手册</w:t>
      </w:r>
    </w:p>
    <w:p>
      <w:pPr>
        <w:widowControl w:val="0"/>
        <w:spacing w:after="0" w:line="881" w:lineRule="exact"/>
        <w:ind w:left="0" w:right="23" w:firstLine="0"/>
        <w:jc w:val="center"/>
        <w:rPr>
          <w:rFonts w:cs="Times New Roman" w:asciiTheme="minorEastAsia" w:hAnsiTheme="minorEastAsia" w:eastAsiaTheme="minorEastAsia"/>
          <w:color w:val="auto"/>
          <w:spacing w:val="18"/>
          <w:sz w:val="44"/>
          <w:szCs w:val="24"/>
        </w:rPr>
      </w:pPr>
      <w:r>
        <w:rPr>
          <w:rFonts w:hint="eastAsia" w:cs="Times New Roman" w:asciiTheme="minorEastAsia" w:hAnsiTheme="minorEastAsia" w:eastAsiaTheme="minorEastAsia"/>
          <w:color w:val="auto"/>
          <w:spacing w:val="18"/>
          <w:sz w:val="44"/>
          <w:szCs w:val="24"/>
        </w:rPr>
        <w:t>（收费运营）</w:t>
      </w:r>
    </w:p>
    <w:p>
      <w:pPr>
        <w:widowControl w:val="0"/>
        <w:autoSpaceDE w:val="0"/>
        <w:autoSpaceDN w:val="0"/>
        <w:spacing w:after="0" w:line="240" w:lineRule="auto"/>
        <w:ind w:left="0" w:firstLine="0"/>
        <w:rPr>
          <w:rFonts w:cs="Noto Sans CJK JP Regular" w:asciiTheme="minorEastAsia" w:hAnsiTheme="minorEastAsia" w:eastAsiaTheme="minorEastAsia"/>
          <w:color w:val="auto"/>
          <w:kern w:val="0"/>
          <w:sz w:val="45"/>
          <w:szCs w:val="24"/>
          <w:lang w:val="zh-CN" w:bidi="zh-CN"/>
        </w:rPr>
      </w:pPr>
    </w:p>
    <w:p>
      <w:pPr>
        <w:widowControl w:val="0"/>
        <w:autoSpaceDE w:val="0"/>
        <w:autoSpaceDN w:val="0"/>
        <w:spacing w:after="0" w:line="240" w:lineRule="auto"/>
        <w:ind w:left="0" w:firstLine="0"/>
        <w:rPr>
          <w:rFonts w:cs="Noto Sans CJK JP Regular" w:asciiTheme="minorEastAsia" w:hAnsiTheme="minorEastAsia" w:eastAsiaTheme="minorEastAsia"/>
          <w:color w:val="auto"/>
          <w:kern w:val="0"/>
          <w:sz w:val="45"/>
          <w:szCs w:val="24"/>
          <w:lang w:val="zh-CN" w:bidi="zh-CN"/>
        </w:rPr>
      </w:pPr>
    </w:p>
    <w:p>
      <w:pPr>
        <w:widowControl w:val="0"/>
        <w:autoSpaceDE w:val="0"/>
        <w:autoSpaceDN w:val="0"/>
        <w:spacing w:after="0" w:line="240" w:lineRule="auto"/>
        <w:ind w:left="0" w:firstLine="0"/>
        <w:rPr>
          <w:rFonts w:cs="Noto Sans CJK JP Regular" w:asciiTheme="minorEastAsia" w:hAnsiTheme="minorEastAsia" w:eastAsiaTheme="minorEastAsia"/>
          <w:color w:val="auto"/>
          <w:kern w:val="0"/>
          <w:sz w:val="45"/>
          <w:szCs w:val="24"/>
          <w:lang w:val="zh-CN" w:bidi="zh-CN"/>
        </w:rPr>
      </w:pPr>
    </w:p>
    <w:p>
      <w:pPr>
        <w:widowControl w:val="0"/>
        <w:autoSpaceDE w:val="0"/>
        <w:autoSpaceDN w:val="0"/>
        <w:spacing w:after="0" w:line="240" w:lineRule="auto"/>
        <w:ind w:left="0" w:firstLine="0"/>
        <w:rPr>
          <w:rFonts w:cs="Noto Sans CJK JP Regular" w:asciiTheme="minorEastAsia" w:hAnsiTheme="minorEastAsia" w:eastAsiaTheme="minorEastAsia"/>
          <w:color w:val="auto"/>
          <w:kern w:val="0"/>
          <w:sz w:val="45"/>
          <w:szCs w:val="24"/>
          <w:lang w:val="zh-CN" w:bidi="zh-CN"/>
        </w:rPr>
      </w:pPr>
    </w:p>
    <w:p>
      <w:pPr>
        <w:widowControl w:val="0"/>
        <w:autoSpaceDE w:val="0"/>
        <w:autoSpaceDN w:val="0"/>
        <w:spacing w:after="0" w:line="240" w:lineRule="auto"/>
        <w:ind w:left="0" w:firstLine="0"/>
        <w:jc w:val="center"/>
        <w:rPr>
          <w:rFonts w:cs="Noto Sans CJK JP Regular" w:asciiTheme="minorEastAsia" w:hAnsiTheme="minorEastAsia" w:eastAsiaTheme="minorEastAsia"/>
          <w:color w:val="auto"/>
          <w:kern w:val="0"/>
          <w:sz w:val="45"/>
          <w:szCs w:val="24"/>
          <w:lang w:val="zh-CN" w:bidi="zh-CN"/>
        </w:rPr>
      </w:pPr>
      <w:r>
        <w:rPr>
          <w:color w:val="auto"/>
          <w:szCs w:val="32"/>
        </w:rPr>
        <w:drawing>
          <wp:inline distT="0" distB="0" distL="0" distR="0">
            <wp:extent cx="1285875" cy="1485900"/>
            <wp:effectExtent l="0" t="0" r="952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9" cstate="print"/>
                    <a:stretch>
                      <a:fillRect/>
                    </a:stretch>
                  </pic:blipFill>
                  <pic:spPr>
                    <a:xfrm>
                      <a:off x="0" y="0"/>
                      <a:ext cx="1285875" cy="1485900"/>
                    </a:xfrm>
                    <a:prstGeom prst="rect">
                      <a:avLst/>
                    </a:prstGeom>
                  </pic:spPr>
                </pic:pic>
              </a:graphicData>
            </a:graphic>
          </wp:inline>
        </w:drawing>
      </w:r>
    </w:p>
    <w:p>
      <w:pPr>
        <w:widowControl w:val="0"/>
        <w:tabs>
          <w:tab w:val="left" w:pos="1259"/>
          <w:tab w:val="left" w:pos="2520"/>
          <w:tab w:val="left" w:pos="3780"/>
        </w:tabs>
        <w:spacing w:after="0" w:line="240" w:lineRule="auto"/>
        <w:ind w:left="0" w:right="15" w:firstLine="0"/>
        <w:jc w:val="center"/>
        <w:rPr>
          <w:rFonts w:cs="Times New Roman" w:asciiTheme="minorEastAsia" w:hAnsiTheme="minorEastAsia" w:eastAsiaTheme="minorEastAsia"/>
          <w:color w:val="auto"/>
          <w:sz w:val="84"/>
          <w:szCs w:val="24"/>
        </w:rPr>
      </w:pPr>
    </w:p>
    <w:p>
      <w:pPr>
        <w:widowControl w:val="0"/>
        <w:autoSpaceDE w:val="0"/>
        <w:autoSpaceDN w:val="0"/>
        <w:spacing w:before="20" w:after="0" w:line="240" w:lineRule="auto"/>
        <w:ind w:left="0" w:firstLine="0"/>
        <w:rPr>
          <w:rFonts w:cs="Noto Sans CJK JP Regular" w:asciiTheme="minorEastAsia" w:hAnsiTheme="minorEastAsia" w:eastAsiaTheme="minorEastAsia"/>
          <w:color w:val="auto"/>
          <w:kern w:val="0"/>
          <w:sz w:val="84"/>
          <w:szCs w:val="24"/>
          <w:lang w:val="zh-CN" w:bidi="zh-CN"/>
        </w:rPr>
      </w:pPr>
    </w:p>
    <w:p>
      <w:pPr>
        <w:widowControl w:val="0"/>
        <w:autoSpaceDE w:val="0"/>
        <w:autoSpaceDN w:val="0"/>
        <w:spacing w:before="20" w:after="0" w:line="240" w:lineRule="auto"/>
        <w:ind w:left="0" w:firstLine="0"/>
        <w:rPr>
          <w:rFonts w:cs="Noto Sans CJK JP Regular" w:asciiTheme="minorEastAsia" w:hAnsiTheme="minorEastAsia" w:eastAsiaTheme="minorEastAsia"/>
          <w:color w:val="auto"/>
          <w:kern w:val="0"/>
          <w:sz w:val="21"/>
          <w:szCs w:val="21"/>
          <w:lang w:val="zh-CN" w:bidi="zh-CN"/>
        </w:rPr>
      </w:pPr>
    </w:p>
    <w:p>
      <w:pPr>
        <w:widowControl w:val="0"/>
        <w:autoSpaceDE w:val="0"/>
        <w:autoSpaceDN w:val="0"/>
        <w:spacing w:before="20" w:after="0" w:line="240" w:lineRule="auto"/>
        <w:ind w:left="0" w:firstLine="0"/>
        <w:rPr>
          <w:rFonts w:cs="Noto Sans CJK JP Regular" w:asciiTheme="minorEastAsia" w:hAnsiTheme="minorEastAsia" w:eastAsiaTheme="minorEastAsia"/>
          <w:color w:val="auto"/>
          <w:kern w:val="0"/>
          <w:sz w:val="21"/>
          <w:szCs w:val="21"/>
          <w:lang w:val="zh-CN" w:bidi="zh-CN"/>
        </w:rPr>
      </w:pPr>
    </w:p>
    <w:p>
      <w:pPr>
        <w:widowControl w:val="0"/>
        <w:autoSpaceDE w:val="0"/>
        <w:autoSpaceDN w:val="0"/>
        <w:spacing w:before="20" w:after="0" w:line="240" w:lineRule="auto"/>
        <w:ind w:left="0" w:firstLine="0"/>
        <w:rPr>
          <w:rFonts w:cs="Noto Sans CJK JP Regular" w:asciiTheme="minorEastAsia" w:hAnsiTheme="minorEastAsia" w:eastAsiaTheme="minorEastAsia"/>
          <w:color w:val="auto"/>
          <w:kern w:val="0"/>
          <w:sz w:val="21"/>
          <w:szCs w:val="21"/>
          <w:lang w:val="zh-CN" w:bidi="zh-CN"/>
        </w:rPr>
      </w:pPr>
    </w:p>
    <w:p>
      <w:pPr>
        <w:widowControl w:val="0"/>
        <w:autoSpaceDE w:val="0"/>
        <w:autoSpaceDN w:val="0"/>
        <w:spacing w:before="20" w:after="0" w:line="240" w:lineRule="auto"/>
        <w:ind w:left="0" w:firstLine="0"/>
        <w:rPr>
          <w:rFonts w:cs="Noto Sans CJK JP Regular" w:asciiTheme="minorEastAsia" w:hAnsiTheme="minorEastAsia" w:eastAsiaTheme="minorEastAsia"/>
          <w:color w:val="auto"/>
          <w:kern w:val="0"/>
          <w:sz w:val="21"/>
          <w:szCs w:val="21"/>
          <w:lang w:val="zh-CN" w:bidi="zh-CN"/>
        </w:rPr>
      </w:pPr>
    </w:p>
    <w:p>
      <w:pPr>
        <w:widowControl w:val="0"/>
        <w:autoSpaceDE w:val="0"/>
        <w:autoSpaceDN w:val="0"/>
        <w:spacing w:before="20" w:after="0" w:line="240" w:lineRule="auto"/>
        <w:ind w:left="0" w:firstLine="0"/>
        <w:rPr>
          <w:rFonts w:cs="Noto Sans CJK JP Regular" w:asciiTheme="minorEastAsia" w:hAnsiTheme="minorEastAsia" w:eastAsiaTheme="minorEastAsia"/>
          <w:color w:val="auto"/>
          <w:kern w:val="0"/>
          <w:sz w:val="21"/>
          <w:szCs w:val="21"/>
          <w:lang w:val="zh-CN" w:bidi="zh-CN"/>
        </w:rPr>
      </w:pPr>
    </w:p>
    <w:p>
      <w:pPr>
        <w:widowControl w:val="0"/>
        <w:autoSpaceDE w:val="0"/>
        <w:autoSpaceDN w:val="0"/>
        <w:spacing w:after="0" w:line="360" w:lineRule="auto"/>
        <w:ind w:left="0" w:firstLine="0"/>
        <w:jc w:val="center"/>
        <w:rPr>
          <w:rFonts w:cs="Noto Sans CJK JP Regular" w:asciiTheme="minorEastAsia" w:hAnsiTheme="minorEastAsia" w:eastAsiaTheme="minorEastAsia"/>
          <w:color w:val="auto"/>
          <w:kern w:val="0"/>
          <w:sz w:val="36"/>
          <w:szCs w:val="36"/>
          <w:lang w:val="zh-CN" w:bidi="zh-CN"/>
        </w:rPr>
      </w:pPr>
      <w:r>
        <w:rPr>
          <w:rFonts w:hint="eastAsia" w:cs="Noto Sans CJK JP Regular" w:asciiTheme="minorEastAsia" w:hAnsiTheme="minorEastAsia" w:eastAsiaTheme="minorEastAsia"/>
          <w:color w:val="auto"/>
          <w:kern w:val="0"/>
          <w:sz w:val="36"/>
          <w:szCs w:val="36"/>
          <w:lang w:val="zh-CN" w:bidi="zh-CN"/>
        </w:rPr>
        <w:t>中电建冀交高速公路投资发展有限公司</w:t>
      </w:r>
    </w:p>
    <w:p>
      <w:pPr>
        <w:widowControl w:val="0"/>
        <w:autoSpaceDE w:val="0"/>
        <w:autoSpaceDN w:val="0"/>
        <w:spacing w:after="0" w:line="360" w:lineRule="auto"/>
        <w:ind w:left="0" w:firstLine="0"/>
        <w:jc w:val="center"/>
        <w:rPr>
          <w:rFonts w:cs="Noto Sans CJK JP Regular" w:asciiTheme="minorEastAsia" w:hAnsiTheme="minorEastAsia" w:eastAsiaTheme="minorEastAsia"/>
          <w:color w:val="auto"/>
          <w:kern w:val="0"/>
          <w:sz w:val="36"/>
          <w:szCs w:val="36"/>
          <w:lang w:val="zh-CN" w:bidi="zh-CN"/>
        </w:rPr>
      </w:pPr>
      <w:r>
        <w:rPr>
          <w:rFonts w:cs="Noto Sans CJK JP Regular" w:asciiTheme="minorEastAsia" w:hAnsiTheme="minorEastAsia" w:eastAsiaTheme="minorEastAsia"/>
          <w:color w:val="auto"/>
          <w:kern w:val="0"/>
          <w:sz w:val="36"/>
          <w:szCs w:val="36"/>
          <w:lang w:val="zh-CN" w:bidi="zh-CN"/>
        </w:rPr>
        <w:t>20</w:t>
      </w:r>
      <w:r>
        <w:rPr>
          <w:rFonts w:hint="eastAsia" w:cs="Noto Sans CJK JP Regular" w:asciiTheme="minorEastAsia" w:hAnsiTheme="minorEastAsia" w:eastAsiaTheme="minorEastAsia"/>
          <w:color w:val="auto"/>
          <w:kern w:val="0"/>
          <w:sz w:val="36"/>
          <w:szCs w:val="36"/>
          <w:lang w:val="zh-CN" w:bidi="zh-CN"/>
        </w:rPr>
        <w:t>22</w:t>
      </w:r>
      <w:r>
        <w:rPr>
          <w:rFonts w:cs="Noto Sans CJK JP Regular" w:asciiTheme="minorEastAsia" w:hAnsiTheme="minorEastAsia" w:eastAsiaTheme="minorEastAsia"/>
          <w:color w:val="auto"/>
          <w:kern w:val="0"/>
          <w:sz w:val="36"/>
          <w:szCs w:val="36"/>
          <w:lang w:val="zh-CN" w:bidi="zh-CN"/>
        </w:rPr>
        <w:t>年</w:t>
      </w:r>
      <w:r>
        <w:rPr>
          <w:rFonts w:hint="eastAsia" w:cs="Noto Sans CJK JP Regular" w:asciiTheme="minorEastAsia" w:hAnsiTheme="minorEastAsia" w:eastAsiaTheme="minorEastAsia"/>
          <w:color w:val="auto"/>
          <w:kern w:val="0"/>
          <w:sz w:val="36"/>
          <w:szCs w:val="36"/>
          <w:lang w:val="zh-CN" w:bidi="zh-CN"/>
        </w:rPr>
        <w:t>6</w:t>
      </w:r>
      <w:r>
        <w:rPr>
          <w:rFonts w:cs="Noto Sans CJK JP Regular" w:asciiTheme="minorEastAsia" w:hAnsiTheme="minorEastAsia" w:eastAsiaTheme="minorEastAsia"/>
          <w:color w:val="auto"/>
          <w:kern w:val="0"/>
          <w:sz w:val="36"/>
          <w:szCs w:val="36"/>
          <w:lang w:val="zh-CN" w:bidi="zh-CN"/>
        </w:rPr>
        <w:t>月</w:t>
      </w:r>
    </w:p>
    <w:p>
      <w:pPr>
        <w:spacing w:line="560" w:lineRule="exact"/>
        <w:ind w:left="18" w:hanging="18" w:hangingChars="4"/>
        <w:jc w:val="center"/>
        <w:rPr>
          <w:rFonts w:asciiTheme="minorEastAsia" w:hAnsiTheme="minorEastAsia" w:eastAsiaTheme="minorEastAsia"/>
          <w:b/>
          <w:color w:val="auto"/>
          <w:sz w:val="32"/>
          <w:szCs w:val="32"/>
        </w:rPr>
      </w:pPr>
      <w:r>
        <w:rPr>
          <w:rFonts w:asciiTheme="minorEastAsia" w:hAnsiTheme="minorEastAsia" w:eastAsiaTheme="minorEastAsia"/>
          <w:b/>
          <w:color w:val="auto"/>
          <w:sz w:val="44"/>
          <w:szCs w:val="44"/>
        </w:rPr>
        <w:br w:type="page"/>
      </w:r>
      <w:r>
        <w:rPr>
          <w:rFonts w:hint="eastAsia" w:asciiTheme="minorEastAsia" w:hAnsiTheme="minorEastAsia" w:eastAsiaTheme="minorEastAsia"/>
          <w:b/>
          <w:color w:val="auto"/>
          <w:sz w:val="32"/>
          <w:szCs w:val="32"/>
        </w:rPr>
        <w:t>编制说明</w:t>
      </w:r>
    </w:p>
    <w:p>
      <w:pPr>
        <w:spacing w:after="0" w:line="560" w:lineRule="exact"/>
        <w:ind w:left="0" w:firstLine="0"/>
        <w:jc w:val="both"/>
        <w:rPr>
          <w:rFonts w:asciiTheme="minorEastAsia" w:hAnsiTheme="minorEastAsia" w:eastAsiaTheme="minorEastAsia"/>
          <w:b/>
          <w:color w:val="auto"/>
          <w:sz w:val="44"/>
          <w:szCs w:val="44"/>
        </w:rPr>
      </w:pPr>
    </w:p>
    <w:p>
      <w:pPr>
        <w:spacing w:after="0" w:line="560" w:lineRule="exact"/>
        <w:ind w:left="0" w:firstLine="480" w:firstLineChars="200"/>
        <w:jc w:val="both"/>
        <w:rPr>
          <w:rFonts w:asciiTheme="minorEastAsia" w:hAnsiTheme="minorEastAsia" w:eastAsiaTheme="minorEastAsia"/>
          <w:color w:val="auto"/>
          <w:szCs w:val="24"/>
        </w:rPr>
      </w:pPr>
      <w:r>
        <w:rPr>
          <w:rFonts w:hint="eastAsia" w:asciiTheme="minorEastAsia" w:hAnsiTheme="minorEastAsia" w:eastAsiaTheme="minorEastAsia"/>
          <w:color w:val="auto"/>
          <w:szCs w:val="24"/>
        </w:rPr>
        <w:t>构建安全生产风险管理和隐患治理双重预防体系是贯彻落实中共中央国务院关于推进安全生产领域改革发展的重要要求，是转变安全生产管理方式提高安全生产管理水平的重要途径，是有效防范和遏制安全生产重特大事故的重要举措。中电建冀交高速公路投资发展有限公司（以下简称“中电建冀交高投公司”）按照“标本兼治、综合治理、系统建设”的总要求，将安全生产风险管理和隐患治理作为当前和今后一段时期安全生产工作的重中之重，认真组织贯彻落实双控体系建设要求，积极推进安全生产风险管理和隐患治理机制建设，持续推动中电建冀交高速安全发展。</w:t>
      </w:r>
    </w:p>
    <w:p>
      <w:pPr>
        <w:spacing w:after="0" w:line="560" w:lineRule="exact"/>
        <w:ind w:left="0" w:firstLine="480" w:firstLineChars="200"/>
        <w:jc w:val="both"/>
        <w:rPr>
          <w:rFonts w:asciiTheme="minorEastAsia" w:hAnsiTheme="minorEastAsia" w:eastAsiaTheme="minorEastAsia"/>
          <w:color w:val="auto"/>
          <w:szCs w:val="24"/>
        </w:rPr>
      </w:pPr>
      <w:r>
        <w:rPr>
          <w:rFonts w:hint="eastAsia" w:asciiTheme="minorEastAsia" w:hAnsiTheme="minorEastAsia" w:eastAsiaTheme="minorEastAsia"/>
          <w:color w:val="auto"/>
          <w:szCs w:val="24"/>
        </w:rPr>
        <w:t>本手册是依据交通运输部《公路水路行业安全生产风险管理暂行办法》、《公路水路行业安全生产事故隐患治理暂行办法》、《河北省安全生产风险管控与隐患治理规定》等相关规定，按照省交通运输厅和集团公司对风险管理和隐患排查治理要求，结合中电建冀交高速管理特点编制而成。手册中明确了风险、隐患的定义，各部室及各单位在风险管理和隐患排查治理中的职责，以及风险管理和隐患排查治理的流程、要求和标准等内容，用于规范和指导中电建冀交高速风险管理和事故隐患排查治理工作，达到降低风险，杜绝或减少隐患，降低生产安全事故发生的目的。</w:t>
      </w:r>
    </w:p>
    <w:p>
      <w:pPr>
        <w:spacing w:after="0" w:line="560" w:lineRule="exact"/>
        <w:ind w:left="0" w:firstLine="480" w:firstLineChars="200"/>
        <w:jc w:val="both"/>
        <w:rPr>
          <w:rFonts w:asciiTheme="minorEastAsia" w:hAnsiTheme="minorEastAsia" w:eastAsiaTheme="minorEastAsia"/>
          <w:color w:val="auto"/>
          <w:szCs w:val="24"/>
        </w:rPr>
      </w:pPr>
      <w:r>
        <w:rPr>
          <w:rFonts w:hint="eastAsia" w:asciiTheme="minorEastAsia" w:hAnsiTheme="minorEastAsia" w:eastAsiaTheme="minorEastAsia"/>
          <w:color w:val="auto"/>
          <w:szCs w:val="24"/>
        </w:rPr>
        <w:t>本篇是针对收费运营业务，辨识在收费设备设施使用及收费、保畅等作业过程中存在的风险，对其进行风险评估，制定针对性的管控措施，明确管控责任人。针对隐患排查治理，明确收费站主要负责人、班组长、安全员等关键岗位的隐患排查治理清单。本篇共分为三章，分别为概述、风险分级管控、隐患排查治理。</w:t>
      </w:r>
    </w:p>
    <w:p>
      <w:pPr>
        <w:spacing w:line="440" w:lineRule="exact"/>
        <w:ind w:left="208" w:firstLine="0"/>
        <w:jc w:val="center"/>
        <w:outlineLvl w:val="0"/>
        <w:rPr>
          <w:rFonts w:asciiTheme="minorEastAsia" w:hAnsiTheme="minorEastAsia" w:eastAsiaTheme="minorEastAsia"/>
          <w:b/>
          <w:color w:val="auto"/>
          <w:sz w:val="44"/>
          <w:szCs w:val="44"/>
        </w:rPr>
      </w:pPr>
      <w:bookmarkStart w:id="0" w:name="_Toc3258835"/>
      <w:r>
        <w:rPr>
          <w:rFonts w:asciiTheme="minorEastAsia" w:hAnsiTheme="minorEastAsia" w:eastAsiaTheme="minorEastAsia"/>
          <w:b/>
          <w:color w:val="auto"/>
          <w:sz w:val="44"/>
          <w:szCs w:val="44"/>
        </w:rPr>
        <w:br w:type="page"/>
      </w:r>
      <w:bookmarkStart w:id="1" w:name="_Toc43027635"/>
      <w:bookmarkStart w:id="2" w:name="_Toc80301744"/>
      <w:bookmarkStart w:id="3" w:name="_Toc7522687"/>
      <w:bookmarkStart w:id="4" w:name="_Toc48147311"/>
      <w:bookmarkStart w:id="5" w:name="_Toc5204757"/>
      <w:bookmarkStart w:id="6" w:name="_Toc7522661"/>
      <w:bookmarkStart w:id="7" w:name="_Toc24398904"/>
      <w:bookmarkStart w:id="8" w:name="_Toc44333242"/>
      <w:bookmarkStart w:id="9" w:name="_Toc45635063"/>
      <w:r>
        <w:rPr>
          <w:rFonts w:hint="eastAsia" w:asciiTheme="minorEastAsia" w:hAnsiTheme="minorEastAsia" w:eastAsiaTheme="minorEastAsia"/>
          <w:b/>
          <w:color w:val="auto"/>
          <w:sz w:val="44"/>
          <w:szCs w:val="44"/>
        </w:rPr>
        <w:t>目</w:t>
      </w:r>
      <w:r>
        <w:rPr>
          <w:rFonts w:asciiTheme="minorEastAsia" w:hAnsiTheme="minorEastAsia" w:eastAsiaTheme="minorEastAsia"/>
          <w:b/>
          <w:color w:val="auto"/>
          <w:sz w:val="44"/>
          <w:szCs w:val="44"/>
        </w:rPr>
        <w:t xml:space="preserve">  </w:t>
      </w:r>
      <w:r>
        <w:rPr>
          <w:rFonts w:hint="eastAsia" w:asciiTheme="minorEastAsia" w:hAnsiTheme="minorEastAsia" w:eastAsiaTheme="minorEastAsia"/>
          <w:b/>
          <w:color w:val="auto"/>
          <w:sz w:val="44"/>
          <w:szCs w:val="44"/>
        </w:rPr>
        <w:t>录</w:t>
      </w:r>
      <w:bookmarkEnd w:id="0"/>
      <w:bookmarkEnd w:id="1"/>
      <w:bookmarkEnd w:id="2"/>
      <w:bookmarkEnd w:id="3"/>
      <w:bookmarkEnd w:id="4"/>
      <w:bookmarkEnd w:id="5"/>
      <w:bookmarkEnd w:id="6"/>
      <w:bookmarkEnd w:id="7"/>
      <w:bookmarkEnd w:id="8"/>
      <w:bookmarkEnd w:id="9"/>
    </w:p>
    <w:p>
      <w:pPr>
        <w:pStyle w:val="20"/>
        <w:tabs>
          <w:tab w:val="right" w:leader="dot" w:pos="8498"/>
        </w:tabs>
        <w:spacing w:beforeLines="50" w:after="0" w:line="360" w:lineRule="auto"/>
        <w:ind w:hanging="11"/>
        <w:rPr>
          <w:rFonts w:asciiTheme="minorHAnsi" w:hAnsiTheme="minorHAnsi" w:eastAsiaTheme="minorEastAsia" w:cstheme="minorBidi"/>
          <w:b w:val="0"/>
          <w:bCs w:val="0"/>
          <w:caps w:val="0"/>
          <w:color w:val="auto"/>
          <w:sz w:val="21"/>
          <w:szCs w:val="22"/>
        </w:rPr>
      </w:pPr>
      <w:r>
        <w:rPr>
          <w:rFonts w:cs="Times New Roman" w:asciiTheme="minorEastAsia" w:hAnsiTheme="minorEastAsia" w:eastAsiaTheme="minorEastAsia"/>
          <w:b w:val="0"/>
          <w:color w:val="auto"/>
          <w:sz w:val="44"/>
        </w:rPr>
        <w:t xml:space="preserve"> </w:t>
      </w:r>
      <w:r>
        <w:rPr>
          <w:rFonts w:asciiTheme="minorEastAsia" w:hAnsiTheme="minorEastAsia" w:eastAsiaTheme="minorEastAsia"/>
          <w:b w:val="0"/>
          <w:color w:val="auto"/>
          <w:sz w:val="24"/>
          <w:szCs w:val="24"/>
        </w:rPr>
        <w:fldChar w:fldCharType="begin"/>
      </w:r>
      <w:r>
        <w:rPr>
          <w:rFonts w:asciiTheme="minorEastAsia" w:hAnsiTheme="minorEastAsia" w:eastAsiaTheme="minorEastAsia"/>
          <w:b w:val="0"/>
          <w:color w:val="auto"/>
          <w:sz w:val="24"/>
          <w:szCs w:val="24"/>
        </w:rPr>
        <w:instrText xml:space="preserve"> TOC \o "1-3" \h \z \u </w:instrText>
      </w:r>
      <w:r>
        <w:rPr>
          <w:rFonts w:asciiTheme="minorEastAsia" w:hAnsiTheme="minorEastAsia" w:eastAsiaTheme="minorEastAsia"/>
          <w:b w:val="0"/>
          <w:color w:val="auto"/>
          <w:sz w:val="24"/>
          <w:szCs w:val="24"/>
        </w:rPr>
        <w:fldChar w:fldCharType="separate"/>
      </w:r>
    </w:p>
    <w:p>
      <w:pPr>
        <w:pStyle w:val="20"/>
        <w:tabs>
          <w:tab w:val="right" w:leader="dot" w:pos="8498"/>
        </w:tabs>
        <w:spacing w:line="360" w:lineRule="auto"/>
        <w:ind w:hanging="11"/>
        <w:rPr>
          <w:rFonts w:asciiTheme="minorEastAsia" w:hAnsiTheme="minorEastAsia" w:eastAsiaTheme="minorEastAsia" w:cstheme="minorBidi"/>
          <w:b w:val="0"/>
          <w:bCs w:val="0"/>
          <w:caps w:val="0"/>
          <w:color w:val="auto"/>
          <w:sz w:val="24"/>
          <w:szCs w:val="24"/>
        </w:rPr>
      </w:pPr>
      <w:r>
        <w:rPr>
          <w:color w:val="auto"/>
        </w:rPr>
        <w:fldChar w:fldCharType="begin"/>
      </w:r>
      <w:r>
        <w:rPr>
          <w:color w:val="auto"/>
        </w:rPr>
        <w:instrText xml:space="preserve"> HYPERLINK \l "_Toc80301745" </w:instrText>
      </w:r>
      <w:r>
        <w:rPr>
          <w:color w:val="auto"/>
        </w:rPr>
        <w:fldChar w:fldCharType="separate"/>
      </w:r>
      <w:r>
        <w:rPr>
          <w:rStyle w:val="36"/>
          <w:rFonts w:hint="eastAsia" w:cs="Calibri" w:asciiTheme="minorEastAsia" w:hAnsiTheme="minorEastAsia" w:eastAsiaTheme="minorEastAsia"/>
          <w:b w:val="0"/>
          <w:color w:val="auto"/>
          <w:sz w:val="24"/>
          <w:szCs w:val="24"/>
        </w:rPr>
        <w:t>第一章</w:t>
      </w:r>
      <w:r>
        <w:rPr>
          <w:rStyle w:val="36"/>
          <w:rFonts w:cs="Calibri" w:asciiTheme="minorEastAsia" w:hAnsiTheme="minorEastAsia" w:eastAsiaTheme="minorEastAsia"/>
          <w:b w:val="0"/>
          <w:color w:val="auto"/>
          <w:sz w:val="24"/>
          <w:szCs w:val="24"/>
        </w:rPr>
        <w:t xml:space="preserve"> </w:t>
      </w:r>
      <w:r>
        <w:rPr>
          <w:rStyle w:val="36"/>
          <w:rFonts w:hint="eastAsia" w:cs="Calibri" w:asciiTheme="minorEastAsia" w:hAnsiTheme="minorEastAsia" w:eastAsiaTheme="minorEastAsia"/>
          <w:b w:val="0"/>
          <w:color w:val="auto"/>
          <w:sz w:val="24"/>
          <w:szCs w:val="24"/>
        </w:rPr>
        <w:t>概述</w:t>
      </w:r>
      <w:r>
        <w:rPr>
          <w:rFonts w:asciiTheme="minorEastAsia" w:hAnsiTheme="minorEastAsia" w:eastAsiaTheme="minorEastAsia"/>
          <w:b w:val="0"/>
          <w:color w:val="auto"/>
          <w:sz w:val="24"/>
          <w:szCs w:val="24"/>
        </w:rPr>
        <w:tab/>
      </w:r>
      <w:r>
        <w:rPr>
          <w:rFonts w:asciiTheme="minorEastAsia" w:hAnsiTheme="minorEastAsia" w:eastAsiaTheme="minorEastAsia"/>
          <w:b w:val="0"/>
          <w:color w:val="auto"/>
          <w:sz w:val="24"/>
          <w:szCs w:val="24"/>
        </w:rPr>
        <w:fldChar w:fldCharType="begin"/>
      </w:r>
      <w:r>
        <w:rPr>
          <w:rFonts w:asciiTheme="minorEastAsia" w:hAnsiTheme="minorEastAsia" w:eastAsiaTheme="minorEastAsia"/>
          <w:b w:val="0"/>
          <w:color w:val="auto"/>
          <w:sz w:val="24"/>
          <w:szCs w:val="24"/>
        </w:rPr>
        <w:instrText xml:space="preserve"> PAGEREF _Toc80301745 \h </w:instrText>
      </w:r>
      <w:r>
        <w:rPr>
          <w:rFonts w:asciiTheme="minorEastAsia" w:hAnsiTheme="minorEastAsia" w:eastAsiaTheme="minorEastAsia"/>
          <w:b w:val="0"/>
          <w:color w:val="auto"/>
          <w:sz w:val="24"/>
          <w:szCs w:val="24"/>
        </w:rPr>
        <w:fldChar w:fldCharType="separate"/>
      </w:r>
      <w:r>
        <w:rPr>
          <w:rFonts w:asciiTheme="minorEastAsia" w:hAnsiTheme="minorEastAsia" w:eastAsiaTheme="minorEastAsia"/>
          <w:b w:val="0"/>
          <w:color w:val="auto"/>
          <w:sz w:val="24"/>
          <w:szCs w:val="24"/>
        </w:rPr>
        <w:t>1</w:t>
      </w:r>
      <w:r>
        <w:rPr>
          <w:rFonts w:asciiTheme="minorEastAsia" w:hAnsiTheme="minorEastAsia" w:eastAsiaTheme="minorEastAsia"/>
          <w:b w:val="0"/>
          <w:color w:val="auto"/>
          <w:sz w:val="24"/>
          <w:szCs w:val="24"/>
        </w:rPr>
        <w:fldChar w:fldCharType="end"/>
      </w:r>
      <w:r>
        <w:rPr>
          <w:rFonts w:asciiTheme="minorEastAsia" w:hAnsiTheme="minorEastAsia" w:eastAsiaTheme="minorEastAsia"/>
          <w:b w:val="0"/>
          <w:color w:val="auto"/>
          <w:sz w:val="24"/>
          <w:szCs w:val="24"/>
        </w:rPr>
        <w:fldChar w:fldCharType="end"/>
      </w:r>
    </w:p>
    <w:p>
      <w:pPr>
        <w:pStyle w:val="25"/>
        <w:tabs>
          <w:tab w:val="right" w:leader="dot" w:pos="8498"/>
        </w:tabs>
        <w:spacing w:line="360" w:lineRule="auto"/>
        <w:ind w:hanging="11"/>
        <w:rPr>
          <w:rFonts w:asciiTheme="minorEastAsia" w:hAnsiTheme="minorEastAsia" w:eastAsiaTheme="minorEastAsia" w:cstheme="minorBidi"/>
          <w:smallCaps w:val="0"/>
          <w:color w:val="auto"/>
          <w:sz w:val="24"/>
          <w:szCs w:val="24"/>
        </w:rPr>
      </w:pPr>
      <w:r>
        <w:rPr>
          <w:color w:val="auto"/>
        </w:rPr>
        <w:fldChar w:fldCharType="begin"/>
      </w:r>
      <w:r>
        <w:rPr>
          <w:color w:val="auto"/>
        </w:rPr>
        <w:instrText xml:space="preserve"> HYPERLINK \l "_Toc80301746" </w:instrText>
      </w:r>
      <w:r>
        <w:rPr>
          <w:color w:val="auto"/>
        </w:rPr>
        <w:fldChar w:fldCharType="separate"/>
      </w:r>
      <w:r>
        <w:rPr>
          <w:rStyle w:val="36"/>
          <w:rFonts w:cs="Calibri" w:asciiTheme="minorEastAsia" w:hAnsiTheme="minorEastAsia" w:eastAsiaTheme="minorEastAsia"/>
          <w:color w:val="auto"/>
          <w:sz w:val="24"/>
          <w:szCs w:val="24"/>
        </w:rPr>
        <w:t>1.1</w:t>
      </w:r>
      <w:r>
        <w:rPr>
          <w:rStyle w:val="36"/>
          <w:rFonts w:hint="eastAsia" w:cs="Calibri" w:asciiTheme="minorEastAsia" w:hAnsiTheme="minorEastAsia" w:eastAsiaTheme="minorEastAsia"/>
          <w:color w:val="auto"/>
          <w:sz w:val="24"/>
          <w:szCs w:val="24"/>
        </w:rPr>
        <w:t>目标</w:t>
      </w:r>
      <w:r>
        <w:rPr>
          <w:rFonts w:asciiTheme="minorEastAsia" w:hAnsiTheme="minorEastAsia" w:eastAsiaTheme="minorEastAsia"/>
          <w:color w:val="auto"/>
          <w:sz w:val="24"/>
          <w:szCs w:val="24"/>
        </w:rPr>
        <w:tab/>
      </w:r>
      <w:r>
        <w:rPr>
          <w:rFonts w:asciiTheme="minorEastAsia" w:hAnsiTheme="minorEastAsia" w:eastAsiaTheme="minorEastAsia"/>
          <w:color w:val="auto"/>
          <w:sz w:val="24"/>
          <w:szCs w:val="24"/>
        </w:rPr>
        <w:fldChar w:fldCharType="begin"/>
      </w:r>
      <w:r>
        <w:rPr>
          <w:rFonts w:asciiTheme="minorEastAsia" w:hAnsiTheme="minorEastAsia" w:eastAsiaTheme="minorEastAsia"/>
          <w:color w:val="auto"/>
          <w:sz w:val="24"/>
          <w:szCs w:val="24"/>
        </w:rPr>
        <w:instrText xml:space="preserve"> PAGEREF _Toc80301746 \h </w:instrText>
      </w:r>
      <w:r>
        <w:rPr>
          <w:rFonts w:asciiTheme="minorEastAsia" w:hAnsiTheme="minorEastAsia" w:eastAsiaTheme="minorEastAsia"/>
          <w:color w:val="auto"/>
          <w:sz w:val="24"/>
          <w:szCs w:val="24"/>
        </w:rPr>
        <w:fldChar w:fldCharType="separate"/>
      </w:r>
      <w:r>
        <w:rPr>
          <w:rFonts w:asciiTheme="minorEastAsia" w:hAnsiTheme="minorEastAsia" w:eastAsiaTheme="minorEastAsia"/>
          <w:color w:val="auto"/>
          <w:sz w:val="24"/>
          <w:szCs w:val="24"/>
        </w:rPr>
        <w:t>1</w:t>
      </w:r>
      <w:r>
        <w:rPr>
          <w:rFonts w:asciiTheme="minorEastAsia" w:hAnsiTheme="minorEastAsia" w:eastAsiaTheme="minorEastAsia"/>
          <w:color w:val="auto"/>
          <w:sz w:val="24"/>
          <w:szCs w:val="24"/>
        </w:rPr>
        <w:fldChar w:fldCharType="end"/>
      </w:r>
      <w:r>
        <w:rPr>
          <w:rFonts w:asciiTheme="minorEastAsia" w:hAnsiTheme="minorEastAsia" w:eastAsiaTheme="minorEastAsia"/>
          <w:color w:val="auto"/>
          <w:sz w:val="24"/>
          <w:szCs w:val="24"/>
        </w:rPr>
        <w:fldChar w:fldCharType="end"/>
      </w:r>
    </w:p>
    <w:p>
      <w:pPr>
        <w:pStyle w:val="25"/>
        <w:tabs>
          <w:tab w:val="right" w:leader="dot" w:pos="8498"/>
        </w:tabs>
        <w:spacing w:line="360" w:lineRule="auto"/>
        <w:ind w:hanging="11"/>
        <w:rPr>
          <w:rFonts w:asciiTheme="minorEastAsia" w:hAnsiTheme="minorEastAsia" w:eastAsiaTheme="minorEastAsia" w:cstheme="minorBidi"/>
          <w:smallCaps w:val="0"/>
          <w:color w:val="auto"/>
          <w:sz w:val="24"/>
          <w:szCs w:val="24"/>
        </w:rPr>
      </w:pPr>
      <w:r>
        <w:rPr>
          <w:color w:val="auto"/>
        </w:rPr>
        <w:fldChar w:fldCharType="begin"/>
      </w:r>
      <w:r>
        <w:rPr>
          <w:color w:val="auto"/>
        </w:rPr>
        <w:instrText xml:space="preserve"> HYPERLINK \l "_Toc80301747" </w:instrText>
      </w:r>
      <w:r>
        <w:rPr>
          <w:color w:val="auto"/>
        </w:rPr>
        <w:fldChar w:fldCharType="separate"/>
      </w:r>
      <w:r>
        <w:rPr>
          <w:rStyle w:val="36"/>
          <w:rFonts w:cs="Calibri" w:asciiTheme="minorEastAsia" w:hAnsiTheme="minorEastAsia" w:eastAsiaTheme="minorEastAsia"/>
          <w:color w:val="auto"/>
          <w:sz w:val="24"/>
          <w:szCs w:val="24"/>
        </w:rPr>
        <w:t>1.2</w:t>
      </w:r>
      <w:r>
        <w:rPr>
          <w:rStyle w:val="36"/>
          <w:rFonts w:hint="eastAsia" w:cs="Calibri" w:asciiTheme="minorEastAsia" w:hAnsiTheme="minorEastAsia" w:eastAsiaTheme="minorEastAsia"/>
          <w:color w:val="auto"/>
          <w:sz w:val="24"/>
          <w:szCs w:val="24"/>
        </w:rPr>
        <w:t>依据</w:t>
      </w:r>
      <w:r>
        <w:rPr>
          <w:rFonts w:asciiTheme="minorEastAsia" w:hAnsiTheme="minorEastAsia" w:eastAsiaTheme="minorEastAsia"/>
          <w:color w:val="auto"/>
          <w:sz w:val="24"/>
          <w:szCs w:val="24"/>
        </w:rPr>
        <w:tab/>
      </w:r>
      <w:r>
        <w:rPr>
          <w:rFonts w:asciiTheme="minorEastAsia" w:hAnsiTheme="minorEastAsia" w:eastAsiaTheme="minorEastAsia"/>
          <w:color w:val="auto"/>
          <w:sz w:val="24"/>
          <w:szCs w:val="24"/>
        </w:rPr>
        <w:fldChar w:fldCharType="begin"/>
      </w:r>
      <w:r>
        <w:rPr>
          <w:rFonts w:asciiTheme="minorEastAsia" w:hAnsiTheme="minorEastAsia" w:eastAsiaTheme="minorEastAsia"/>
          <w:color w:val="auto"/>
          <w:sz w:val="24"/>
          <w:szCs w:val="24"/>
        </w:rPr>
        <w:instrText xml:space="preserve"> PAGEREF _Toc80301747 \h </w:instrText>
      </w:r>
      <w:r>
        <w:rPr>
          <w:rFonts w:asciiTheme="minorEastAsia" w:hAnsiTheme="minorEastAsia" w:eastAsiaTheme="minorEastAsia"/>
          <w:color w:val="auto"/>
          <w:sz w:val="24"/>
          <w:szCs w:val="24"/>
        </w:rPr>
        <w:fldChar w:fldCharType="separate"/>
      </w:r>
      <w:r>
        <w:rPr>
          <w:rFonts w:asciiTheme="minorEastAsia" w:hAnsiTheme="minorEastAsia" w:eastAsiaTheme="minorEastAsia"/>
          <w:color w:val="auto"/>
          <w:sz w:val="24"/>
          <w:szCs w:val="24"/>
        </w:rPr>
        <w:t>1</w:t>
      </w:r>
      <w:r>
        <w:rPr>
          <w:rFonts w:asciiTheme="minorEastAsia" w:hAnsiTheme="minorEastAsia" w:eastAsiaTheme="minorEastAsia"/>
          <w:color w:val="auto"/>
          <w:sz w:val="24"/>
          <w:szCs w:val="24"/>
        </w:rPr>
        <w:fldChar w:fldCharType="end"/>
      </w:r>
      <w:r>
        <w:rPr>
          <w:rFonts w:asciiTheme="minorEastAsia" w:hAnsiTheme="minorEastAsia" w:eastAsiaTheme="minorEastAsia"/>
          <w:color w:val="auto"/>
          <w:sz w:val="24"/>
          <w:szCs w:val="24"/>
        </w:rPr>
        <w:fldChar w:fldCharType="end"/>
      </w:r>
    </w:p>
    <w:p>
      <w:pPr>
        <w:pStyle w:val="25"/>
        <w:tabs>
          <w:tab w:val="right" w:leader="dot" w:pos="8498"/>
        </w:tabs>
        <w:spacing w:line="360" w:lineRule="auto"/>
        <w:ind w:hanging="11"/>
        <w:rPr>
          <w:rFonts w:asciiTheme="minorEastAsia" w:hAnsiTheme="minorEastAsia" w:eastAsiaTheme="minorEastAsia" w:cstheme="minorBidi"/>
          <w:smallCaps w:val="0"/>
          <w:color w:val="auto"/>
          <w:sz w:val="24"/>
          <w:szCs w:val="24"/>
        </w:rPr>
      </w:pPr>
      <w:r>
        <w:rPr>
          <w:color w:val="auto"/>
        </w:rPr>
        <w:fldChar w:fldCharType="begin"/>
      </w:r>
      <w:r>
        <w:rPr>
          <w:color w:val="auto"/>
        </w:rPr>
        <w:instrText xml:space="preserve"> HYPERLINK \l "_Toc80301748" </w:instrText>
      </w:r>
      <w:r>
        <w:rPr>
          <w:color w:val="auto"/>
        </w:rPr>
        <w:fldChar w:fldCharType="separate"/>
      </w:r>
      <w:r>
        <w:rPr>
          <w:rStyle w:val="36"/>
          <w:rFonts w:cs="Calibri" w:asciiTheme="minorEastAsia" w:hAnsiTheme="minorEastAsia" w:eastAsiaTheme="minorEastAsia"/>
          <w:color w:val="auto"/>
          <w:sz w:val="24"/>
          <w:szCs w:val="24"/>
        </w:rPr>
        <w:t>1.3</w:t>
      </w:r>
      <w:r>
        <w:rPr>
          <w:rStyle w:val="36"/>
          <w:rFonts w:hint="eastAsia" w:cs="Calibri" w:asciiTheme="minorEastAsia" w:hAnsiTheme="minorEastAsia" w:eastAsiaTheme="minorEastAsia"/>
          <w:color w:val="auto"/>
          <w:sz w:val="24"/>
          <w:szCs w:val="24"/>
        </w:rPr>
        <w:t>概况</w:t>
      </w:r>
      <w:r>
        <w:rPr>
          <w:rFonts w:asciiTheme="minorEastAsia" w:hAnsiTheme="minorEastAsia" w:eastAsiaTheme="minorEastAsia"/>
          <w:color w:val="auto"/>
          <w:sz w:val="24"/>
          <w:szCs w:val="24"/>
        </w:rPr>
        <w:tab/>
      </w:r>
      <w:r>
        <w:rPr>
          <w:rFonts w:asciiTheme="minorEastAsia" w:hAnsiTheme="minorEastAsia" w:eastAsiaTheme="minorEastAsia"/>
          <w:color w:val="auto"/>
          <w:sz w:val="24"/>
          <w:szCs w:val="24"/>
        </w:rPr>
        <w:fldChar w:fldCharType="begin"/>
      </w:r>
      <w:r>
        <w:rPr>
          <w:rFonts w:asciiTheme="minorEastAsia" w:hAnsiTheme="minorEastAsia" w:eastAsiaTheme="minorEastAsia"/>
          <w:color w:val="auto"/>
          <w:sz w:val="24"/>
          <w:szCs w:val="24"/>
        </w:rPr>
        <w:instrText xml:space="preserve"> PAGEREF _Toc80301748 \h </w:instrText>
      </w:r>
      <w:r>
        <w:rPr>
          <w:rFonts w:asciiTheme="minorEastAsia" w:hAnsiTheme="minorEastAsia" w:eastAsiaTheme="minorEastAsia"/>
          <w:color w:val="auto"/>
          <w:sz w:val="24"/>
          <w:szCs w:val="24"/>
        </w:rPr>
        <w:fldChar w:fldCharType="separate"/>
      </w:r>
      <w:r>
        <w:rPr>
          <w:rFonts w:asciiTheme="minorEastAsia" w:hAnsiTheme="minorEastAsia" w:eastAsiaTheme="minorEastAsia"/>
          <w:color w:val="auto"/>
          <w:sz w:val="24"/>
          <w:szCs w:val="24"/>
        </w:rPr>
        <w:t>2</w:t>
      </w:r>
      <w:r>
        <w:rPr>
          <w:rFonts w:asciiTheme="minorEastAsia" w:hAnsiTheme="minorEastAsia" w:eastAsiaTheme="minorEastAsia"/>
          <w:color w:val="auto"/>
          <w:sz w:val="24"/>
          <w:szCs w:val="24"/>
        </w:rPr>
        <w:fldChar w:fldCharType="end"/>
      </w:r>
      <w:r>
        <w:rPr>
          <w:rFonts w:asciiTheme="minorEastAsia" w:hAnsiTheme="minorEastAsia" w:eastAsiaTheme="minorEastAsia"/>
          <w:color w:val="auto"/>
          <w:sz w:val="24"/>
          <w:szCs w:val="24"/>
        </w:rPr>
        <w:fldChar w:fldCharType="end"/>
      </w:r>
    </w:p>
    <w:p>
      <w:pPr>
        <w:pStyle w:val="20"/>
        <w:tabs>
          <w:tab w:val="right" w:leader="dot" w:pos="8498"/>
        </w:tabs>
        <w:spacing w:line="360" w:lineRule="auto"/>
        <w:ind w:hanging="11"/>
        <w:rPr>
          <w:rFonts w:asciiTheme="minorEastAsia" w:hAnsiTheme="minorEastAsia" w:eastAsiaTheme="minorEastAsia" w:cstheme="minorBidi"/>
          <w:b w:val="0"/>
          <w:bCs w:val="0"/>
          <w:caps w:val="0"/>
          <w:color w:val="auto"/>
          <w:sz w:val="24"/>
          <w:szCs w:val="24"/>
        </w:rPr>
      </w:pPr>
      <w:r>
        <w:rPr>
          <w:color w:val="auto"/>
        </w:rPr>
        <w:fldChar w:fldCharType="begin"/>
      </w:r>
      <w:r>
        <w:rPr>
          <w:color w:val="auto"/>
        </w:rPr>
        <w:instrText xml:space="preserve"> HYPERLINK \l "_Toc80301749" </w:instrText>
      </w:r>
      <w:r>
        <w:rPr>
          <w:color w:val="auto"/>
        </w:rPr>
        <w:fldChar w:fldCharType="separate"/>
      </w:r>
      <w:r>
        <w:rPr>
          <w:rStyle w:val="36"/>
          <w:rFonts w:hint="eastAsia" w:cs="Calibri" w:asciiTheme="minorEastAsia" w:hAnsiTheme="minorEastAsia" w:eastAsiaTheme="minorEastAsia"/>
          <w:b w:val="0"/>
          <w:color w:val="auto"/>
          <w:sz w:val="24"/>
          <w:szCs w:val="24"/>
        </w:rPr>
        <w:t>第二章</w:t>
      </w:r>
      <w:r>
        <w:rPr>
          <w:rStyle w:val="36"/>
          <w:rFonts w:cs="Calibri" w:asciiTheme="minorEastAsia" w:hAnsiTheme="minorEastAsia" w:eastAsiaTheme="minorEastAsia"/>
          <w:b w:val="0"/>
          <w:color w:val="auto"/>
          <w:sz w:val="24"/>
          <w:szCs w:val="24"/>
        </w:rPr>
        <w:t xml:space="preserve"> </w:t>
      </w:r>
      <w:r>
        <w:rPr>
          <w:rStyle w:val="36"/>
          <w:rFonts w:hint="eastAsia" w:cs="Calibri" w:asciiTheme="minorEastAsia" w:hAnsiTheme="minorEastAsia" w:eastAsiaTheme="minorEastAsia"/>
          <w:b w:val="0"/>
          <w:color w:val="auto"/>
          <w:sz w:val="24"/>
          <w:szCs w:val="24"/>
        </w:rPr>
        <w:t>风险分级管控</w:t>
      </w:r>
      <w:r>
        <w:rPr>
          <w:rFonts w:asciiTheme="minorEastAsia" w:hAnsiTheme="minorEastAsia" w:eastAsiaTheme="minorEastAsia"/>
          <w:b w:val="0"/>
          <w:color w:val="auto"/>
          <w:sz w:val="24"/>
          <w:szCs w:val="24"/>
        </w:rPr>
        <w:tab/>
      </w:r>
      <w:r>
        <w:rPr>
          <w:rFonts w:asciiTheme="minorEastAsia" w:hAnsiTheme="minorEastAsia" w:eastAsiaTheme="minorEastAsia"/>
          <w:b w:val="0"/>
          <w:color w:val="auto"/>
          <w:sz w:val="24"/>
          <w:szCs w:val="24"/>
        </w:rPr>
        <w:fldChar w:fldCharType="begin"/>
      </w:r>
      <w:r>
        <w:rPr>
          <w:rFonts w:asciiTheme="minorEastAsia" w:hAnsiTheme="minorEastAsia" w:eastAsiaTheme="minorEastAsia"/>
          <w:b w:val="0"/>
          <w:color w:val="auto"/>
          <w:sz w:val="24"/>
          <w:szCs w:val="24"/>
        </w:rPr>
        <w:instrText xml:space="preserve"> PAGEREF _Toc80301749 \h </w:instrText>
      </w:r>
      <w:r>
        <w:rPr>
          <w:rFonts w:asciiTheme="minorEastAsia" w:hAnsiTheme="minorEastAsia" w:eastAsiaTheme="minorEastAsia"/>
          <w:b w:val="0"/>
          <w:color w:val="auto"/>
          <w:sz w:val="24"/>
          <w:szCs w:val="24"/>
        </w:rPr>
        <w:fldChar w:fldCharType="separate"/>
      </w:r>
      <w:r>
        <w:rPr>
          <w:rFonts w:asciiTheme="minorEastAsia" w:hAnsiTheme="minorEastAsia" w:eastAsiaTheme="minorEastAsia"/>
          <w:b w:val="0"/>
          <w:color w:val="auto"/>
          <w:sz w:val="24"/>
          <w:szCs w:val="24"/>
        </w:rPr>
        <w:t>6</w:t>
      </w:r>
      <w:r>
        <w:rPr>
          <w:rFonts w:asciiTheme="minorEastAsia" w:hAnsiTheme="minorEastAsia" w:eastAsiaTheme="minorEastAsia"/>
          <w:b w:val="0"/>
          <w:color w:val="auto"/>
          <w:sz w:val="24"/>
          <w:szCs w:val="24"/>
        </w:rPr>
        <w:fldChar w:fldCharType="end"/>
      </w:r>
      <w:r>
        <w:rPr>
          <w:rFonts w:asciiTheme="minorEastAsia" w:hAnsiTheme="minorEastAsia" w:eastAsiaTheme="minorEastAsia"/>
          <w:b w:val="0"/>
          <w:color w:val="auto"/>
          <w:sz w:val="24"/>
          <w:szCs w:val="24"/>
        </w:rPr>
        <w:fldChar w:fldCharType="end"/>
      </w:r>
    </w:p>
    <w:p>
      <w:pPr>
        <w:pStyle w:val="25"/>
        <w:tabs>
          <w:tab w:val="right" w:leader="dot" w:pos="8498"/>
        </w:tabs>
        <w:spacing w:line="360" w:lineRule="auto"/>
        <w:ind w:hanging="11"/>
        <w:rPr>
          <w:rFonts w:asciiTheme="minorEastAsia" w:hAnsiTheme="minorEastAsia" w:eastAsiaTheme="minorEastAsia" w:cstheme="minorBidi"/>
          <w:smallCaps w:val="0"/>
          <w:color w:val="auto"/>
          <w:sz w:val="24"/>
          <w:szCs w:val="24"/>
        </w:rPr>
      </w:pPr>
      <w:r>
        <w:rPr>
          <w:color w:val="auto"/>
        </w:rPr>
        <w:fldChar w:fldCharType="begin"/>
      </w:r>
      <w:r>
        <w:rPr>
          <w:color w:val="auto"/>
        </w:rPr>
        <w:instrText xml:space="preserve"> HYPERLINK \l "_Toc80301750" </w:instrText>
      </w:r>
      <w:r>
        <w:rPr>
          <w:color w:val="auto"/>
        </w:rPr>
        <w:fldChar w:fldCharType="separate"/>
      </w:r>
      <w:r>
        <w:rPr>
          <w:rStyle w:val="36"/>
          <w:rFonts w:cs="Calibri" w:asciiTheme="minorEastAsia" w:hAnsiTheme="minorEastAsia" w:eastAsiaTheme="minorEastAsia"/>
          <w:color w:val="auto"/>
          <w:sz w:val="24"/>
          <w:szCs w:val="24"/>
        </w:rPr>
        <w:t>2.1</w:t>
      </w:r>
      <w:r>
        <w:rPr>
          <w:rStyle w:val="36"/>
          <w:rFonts w:hint="eastAsia" w:cs="Calibri" w:asciiTheme="minorEastAsia" w:hAnsiTheme="minorEastAsia" w:eastAsiaTheme="minorEastAsia"/>
          <w:color w:val="auto"/>
          <w:sz w:val="24"/>
          <w:szCs w:val="24"/>
        </w:rPr>
        <w:t>风险分级管控清单</w:t>
      </w:r>
      <w:r>
        <w:rPr>
          <w:rFonts w:asciiTheme="minorEastAsia" w:hAnsiTheme="minorEastAsia" w:eastAsiaTheme="minorEastAsia"/>
          <w:color w:val="auto"/>
          <w:sz w:val="24"/>
          <w:szCs w:val="24"/>
        </w:rPr>
        <w:tab/>
      </w:r>
      <w:r>
        <w:rPr>
          <w:rFonts w:asciiTheme="minorEastAsia" w:hAnsiTheme="minorEastAsia" w:eastAsiaTheme="minorEastAsia"/>
          <w:color w:val="auto"/>
          <w:sz w:val="24"/>
          <w:szCs w:val="24"/>
        </w:rPr>
        <w:fldChar w:fldCharType="begin"/>
      </w:r>
      <w:r>
        <w:rPr>
          <w:rFonts w:asciiTheme="minorEastAsia" w:hAnsiTheme="minorEastAsia" w:eastAsiaTheme="minorEastAsia"/>
          <w:color w:val="auto"/>
          <w:sz w:val="24"/>
          <w:szCs w:val="24"/>
        </w:rPr>
        <w:instrText xml:space="preserve"> PAGEREF _Toc80301750 \h </w:instrText>
      </w:r>
      <w:r>
        <w:rPr>
          <w:rFonts w:asciiTheme="minorEastAsia" w:hAnsiTheme="minorEastAsia" w:eastAsiaTheme="minorEastAsia"/>
          <w:color w:val="auto"/>
          <w:sz w:val="24"/>
          <w:szCs w:val="24"/>
        </w:rPr>
        <w:fldChar w:fldCharType="separate"/>
      </w:r>
      <w:r>
        <w:rPr>
          <w:rFonts w:asciiTheme="minorEastAsia" w:hAnsiTheme="minorEastAsia" w:eastAsiaTheme="minorEastAsia"/>
          <w:color w:val="auto"/>
          <w:sz w:val="24"/>
          <w:szCs w:val="24"/>
        </w:rPr>
        <w:t>6</w:t>
      </w:r>
      <w:r>
        <w:rPr>
          <w:rFonts w:asciiTheme="minorEastAsia" w:hAnsiTheme="minorEastAsia" w:eastAsiaTheme="minorEastAsia"/>
          <w:color w:val="auto"/>
          <w:sz w:val="24"/>
          <w:szCs w:val="24"/>
        </w:rPr>
        <w:fldChar w:fldCharType="end"/>
      </w:r>
      <w:r>
        <w:rPr>
          <w:rFonts w:asciiTheme="minorEastAsia" w:hAnsiTheme="minorEastAsia" w:eastAsiaTheme="minorEastAsia"/>
          <w:color w:val="auto"/>
          <w:sz w:val="24"/>
          <w:szCs w:val="24"/>
        </w:rPr>
        <w:fldChar w:fldCharType="end"/>
      </w:r>
    </w:p>
    <w:p>
      <w:pPr>
        <w:pStyle w:val="25"/>
        <w:tabs>
          <w:tab w:val="right" w:leader="dot" w:pos="8498"/>
        </w:tabs>
        <w:spacing w:line="360" w:lineRule="auto"/>
        <w:ind w:hanging="11"/>
        <w:rPr>
          <w:rFonts w:asciiTheme="minorEastAsia" w:hAnsiTheme="minorEastAsia" w:eastAsiaTheme="minorEastAsia" w:cstheme="minorBidi"/>
          <w:smallCaps w:val="0"/>
          <w:color w:val="auto"/>
          <w:sz w:val="24"/>
          <w:szCs w:val="24"/>
        </w:rPr>
      </w:pPr>
      <w:r>
        <w:rPr>
          <w:color w:val="auto"/>
        </w:rPr>
        <w:fldChar w:fldCharType="begin"/>
      </w:r>
      <w:r>
        <w:rPr>
          <w:color w:val="auto"/>
        </w:rPr>
        <w:instrText xml:space="preserve"> HYPERLINK \l "_Toc80301751" </w:instrText>
      </w:r>
      <w:r>
        <w:rPr>
          <w:color w:val="auto"/>
        </w:rPr>
        <w:fldChar w:fldCharType="separate"/>
      </w:r>
      <w:r>
        <w:rPr>
          <w:rStyle w:val="36"/>
          <w:rFonts w:cs="Calibri" w:asciiTheme="minorEastAsia" w:hAnsiTheme="minorEastAsia" w:eastAsiaTheme="minorEastAsia"/>
          <w:color w:val="auto"/>
          <w:sz w:val="24"/>
          <w:szCs w:val="24"/>
        </w:rPr>
        <w:t>2.2</w:t>
      </w:r>
      <w:r>
        <w:rPr>
          <w:rStyle w:val="36"/>
          <w:rFonts w:hint="eastAsia" w:cs="Calibri" w:asciiTheme="minorEastAsia" w:hAnsiTheme="minorEastAsia" w:eastAsiaTheme="minorEastAsia"/>
          <w:color w:val="auto"/>
          <w:sz w:val="24"/>
          <w:szCs w:val="24"/>
        </w:rPr>
        <w:t>风险告知牌</w:t>
      </w:r>
      <w:r>
        <w:rPr>
          <w:rFonts w:asciiTheme="minorEastAsia" w:hAnsiTheme="minorEastAsia" w:eastAsiaTheme="minorEastAsia"/>
          <w:color w:val="auto"/>
          <w:sz w:val="24"/>
          <w:szCs w:val="24"/>
        </w:rPr>
        <w:tab/>
      </w:r>
      <w:r>
        <w:rPr>
          <w:rFonts w:asciiTheme="minorEastAsia" w:hAnsiTheme="minorEastAsia" w:eastAsiaTheme="minorEastAsia"/>
          <w:color w:val="auto"/>
          <w:sz w:val="24"/>
          <w:szCs w:val="24"/>
        </w:rPr>
        <w:fldChar w:fldCharType="begin"/>
      </w:r>
      <w:r>
        <w:rPr>
          <w:rFonts w:asciiTheme="minorEastAsia" w:hAnsiTheme="minorEastAsia" w:eastAsiaTheme="minorEastAsia"/>
          <w:color w:val="auto"/>
          <w:sz w:val="24"/>
          <w:szCs w:val="24"/>
        </w:rPr>
        <w:instrText xml:space="preserve"> PAGEREF _Toc80301751 \h </w:instrText>
      </w:r>
      <w:r>
        <w:rPr>
          <w:rFonts w:asciiTheme="minorEastAsia" w:hAnsiTheme="minorEastAsia" w:eastAsiaTheme="minorEastAsia"/>
          <w:color w:val="auto"/>
          <w:sz w:val="24"/>
          <w:szCs w:val="24"/>
        </w:rPr>
        <w:fldChar w:fldCharType="separate"/>
      </w:r>
      <w:r>
        <w:rPr>
          <w:rFonts w:asciiTheme="minorEastAsia" w:hAnsiTheme="minorEastAsia" w:eastAsiaTheme="minorEastAsia"/>
          <w:color w:val="auto"/>
          <w:sz w:val="24"/>
          <w:szCs w:val="24"/>
        </w:rPr>
        <w:t>30</w:t>
      </w:r>
      <w:r>
        <w:rPr>
          <w:rFonts w:asciiTheme="minorEastAsia" w:hAnsiTheme="minorEastAsia" w:eastAsiaTheme="minorEastAsia"/>
          <w:color w:val="auto"/>
          <w:sz w:val="24"/>
          <w:szCs w:val="24"/>
        </w:rPr>
        <w:fldChar w:fldCharType="end"/>
      </w:r>
      <w:r>
        <w:rPr>
          <w:rFonts w:asciiTheme="minorEastAsia" w:hAnsiTheme="minorEastAsia" w:eastAsiaTheme="minorEastAsia"/>
          <w:color w:val="auto"/>
          <w:sz w:val="24"/>
          <w:szCs w:val="24"/>
        </w:rPr>
        <w:fldChar w:fldCharType="end"/>
      </w:r>
    </w:p>
    <w:p>
      <w:pPr>
        <w:pStyle w:val="25"/>
        <w:tabs>
          <w:tab w:val="right" w:leader="dot" w:pos="8498"/>
        </w:tabs>
        <w:spacing w:line="360" w:lineRule="auto"/>
        <w:ind w:hanging="11"/>
        <w:rPr>
          <w:rFonts w:asciiTheme="minorEastAsia" w:hAnsiTheme="minorEastAsia" w:eastAsiaTheme="minorEastAsia" w:cstheme="minorBidi"/>
          <w:smallCaps w:val="0"/>
          <w:color w:val="auto"/>
          <w:sz w:val="24"/>
          <w:szCs w:val="24"/>
        </w:rPr>
      </w:pPr>
      <w:r>
        <w:rPr>
          <w:color w:val="auto"/>
        </w:rPr>
        <w:fldChar w:fldCharType="begin"/>
      </w:r>
      <w:r>
        <w:rPr>
          <w:color w:val="auto"/>
        </w:rPr>
        <w:instrText xml:space="preserve"> HYPERLINK \l "_Toc80301752" </w:instrText>
      </w:r>
      <w:r>
        <w:rPr>
          <w:color w:val="auto"/>
        </w:rPr>
        <w:fldChar w:fldCharType="separate"/>
      </w:r>
      <w:r>
        <w:rPr>
          <w:rStyle w:val="36"/>
          <w:rFonts w:cs="Calibri" w:asciiTheme="minorEastAsia" w:hAnsiTheme="minorEastAsia" w:eastAsiaTheme="minorEastAsia"/>
          <w:color w:val="auto"/>
          <w:sz w:val="24"/>
          <w:szCs w:val="24"/>
        </w:rPr>
        <w:t>2.3</w:t>
      </w:r>
      <w:r>
        <w:rPr>
          <w:rStyle w:val="36"/>
          <w:rFonts w:hint="eastAsia" w:cs="Calibri" w:asciiTheme="minorEastAsia" w:hAnsiTheme="minorEastAsia" w:eastAsiaTheme="minorEastAsia"/>
          <w:color w:val="auto"/>
          <w:sz w:val="24"/>
          <w:szCs w:val="24"/>
        </w:rPr>
        <w:t>风险告知卡</w:t>
      </w:r>
      <w:r>
        <w:rPr>
          <w:rFonts w:asciiTheme="minorEastAsia" w:hAnsiTheme="minorEastAsia" w:eastAsiaTheme="minorEastAsia"/>
          <w:color w:val="auto"/>
          <w:sz w:val="24"/>
          <w:szCs w:val="24"/>
        </w:rPr>
        <w:tab/>
      </w:r>
      <w:r>
        <w:rPr>
          <w:rFonts w:asciiTheme="minorEastAsia" w:hAnsiTheme="minorEastAsia" w:eastAsiaTheme="minorEastAsia"/>
          <w:color w:val="auto"/>
          <w:sz w:val="24"/>
          <w:szCs w:val="24"/>
        </w:rPr>
        <w:fldChar w:fldCharType="begin"/>
      </w:r>
      <w:r>
        <w:rPr>
          <w:rFonts w:asciiTheme="minorEastAsia" w:hAnsiTheme="minorEastAsia" w:eastAsiaTheme="minorEastAsia"/>
          <w:color w:val="auto"/>
          <w:sz w:val="24"/>
          <w:szCs w:val="24"/>
        </w:rPr>
        <w:instrText xml:space="preserve"> PAGEREF _Toc80301752 \h </w:instrText>
      </w:r>
      <w:r>
        <w:rPr>
          <w:rFonts w:asciiTheme="minorEastAsia" w:hAnsiTheme="minorEastAsia" w:eastAsiaTheme="minorEastAsia"/>
          <w:color w:val="auto"/>
          <w:sz w:val="24"/>
          <w:szCs w:val="24"/>
        </w:rPr>
        <w:fldChar w:fldCharType="separate"/>
      </w:r>
      <w:r>
        <w:rPr>
          <w:rFonts w:asciiTheme="minorEastAsia" w:hAnsiTheme="minorEastAsia" w:eastAsiaTheme="minorEastAsia"/>
          <w:color w:val="auto"/>
          <w:sz w:val="24"/>
          <w:szCs w:val="24"/>
        </w:rPr>
        <w:t>39</w:t>
      </w:r>
      <w:r>
        <w:rPr>
          <w:rFonts w:asciiTheme="minorEastAsia" w:hAnsiTheme="minorEastAsia" w:eastAsiaTheme="minorEastAsia"/>
          <w:color w:val="auto"/>
          <w:sz w:val="24"/>
          <w:szCs w:val="24"/>
        </w:rPr>
        <w:fldChar w:fldCharType="end"/>
      </w:r>
      <w:r>
        <w:rPr>
          <w:rFonts w:asciiTheme="minorEastAsia" w:hAnsiTheme="minorEastAsia" w:eastAsiaTheme="minorEastAsia"/>
          <w:color w:val="auto"/>
          <w:sz w:val="24"/>
          <w:szCs w:val="24"/>
        </w:rPr>
        <w:fldChar w:fldCharType="end"/>
      </w:r>
    </w:p>
    <w:p>
      <w:pPr>
        <w:pStyle w:val="20"/>
        <w:tabs>
          <w:tab w:val="right" w:leader="dot" w:pos="8498"/>
        </w:tabs>
        <w:spacing w:line="360" w:lineRule="auto"/>
        <w:ind w:hanging="11"/>
        <w:rPr>
          <w:rFonts w:asciiTheme="minorEastAsia" w:hAnsiTheme="minorEastAsia" w:eastAsiaTheme="minorEastAsia" w:cstheme="minorBidi"/>
          <w:b w:val="0"/>
          <w:bCs w:val="0"/>
          <w:caps w:val="0"/>
          <w:color w:val="auto"/>
          <w:sz w:val="24"/>
          <w:szCs w:val="24"/>
        </w:rPr>
      </w:pPr>
      <w:r>
        <w:rPr>
          <w:color w:val="auto"/>
        </w:rPr>
        <w:fldChar w:fldCharType="begin"/>
      </w:r>
      <w:r>
        <w:rPr>
          <w:color w:val="auto"/>
        </w:rPr>
        <w:instrText xml:space="preserve"> HYPERLINK \l "_Toc80301753" </w:instrText>
      </w:r>
      <w:r>
        <w:rPr>
          <w:color w:val="auto"/>
        </w:rPr>
        <w:fldChar w:fldCharType="separate"/>
      </w:r>
      <w:r>
        <w:rPr>
          <w:rStyle w:val="36"/>
          <w:rFonts w:hint="eastAsia" w:cs="Calibri" w:asciiTheme="minorEastAsia" w:hAnsiTheme="minorEastAsia" w:eastAsiaTheme="minorEastAsia"/>
          <w:b w:val="0"/>
          <w:color w:val="auto"/>
          <w:sz w:val="24"/>
          <w:szCs w:val="24"/>
        </w:rPr>
        <w:t>第三章</w:t>
      </w:r>
      <w:r>
        <w:rPr>
          <w:rStyle w:val="36"/>
          <w:rFonts w:cs="Calibri" w:asciiTheme="minorEastAsia" w:hAnsiTheme="minorEastAsia" w:eastAsiaTheme="minorEastAsia"/>
          <w:b w:val="0"/>
          <w:color w:val="auto"/>
          <w:sz w:val="24"/>
          <w:szCs w:val="24"/>
        </w:rPr>
        <w:t xml:space="preserve"> </w:t>
      </w:r>
      <w:r>
        <w:rPr>
          <w:rStyle w:val="36"/>
          <w:rFonts w:hint="eastAsia" w:cs="Calibri" w:asciiTheme="minorEastAsia" w:hAnsiTheme="minorEastAsia" w:eastAsiaTheme="minorEastAsia"/>
          <w:b w:val="0"/>
          <w:color w:val="auto"/>
          <w:sz w:val="24"/>
          <w:szCs w:val="24"/>
        </w:rPr>
        <w:t>隐患排查治理</w:t>
      </w:r>
      <w:r>
        <w:rPr>
          <w:rFonts w:asciiTheme="minorEastAsia" w:hAnsiTheme="minorEastAsia" w:eastAsiaTheme="minorEastAsia"/>
          <w:b w:val="0"/>
          <w:color w:val="auto"/>
          <w:sz w:val="24"/>
          <w:szCs w:val="24"/>
        </w:rPr>
        <w:tab/>
      </w:r>
      <w:r>
        <w:rPr>
          <w:rFonts w:asciiTheme="minorEastAsia" w:hAnsiTheme="minorEastAsia" w:eastAsiaTheme="minorEastAsia"/>
          <w:b w:val="0"/>
          <w:color w:val="auto"/>
          <w:sz w:val="24"/>
          <w:szCs w:val="24"/>
        </w:rPr>
        <w:fldChar w:fldCharType="begin"/>
      </w:r>
      <w:r>
        <w:rPr>
          <w:rFonts w:asciiTheme="minorEastAsia" w:hAnsiTheme="minorEastAsia" w:eastAsiaTheme="minorEastAsia"/>
          <w:b w:val="0"/>
          <w:color w:val="auto"/>
          <w:sz w:val="24"/>
          <w:szCs w:val="24"/>
        </w:rPr>
        <w:instrText xml:space="preserve"> PAGEREF _Toc80301753 \h </w:instrText>
      </w:r>
      <w:r>
        <w:rPr>
          <w:rFonts w:asciiTheme="minorEastAsia" w:hAnsiTheme="minorEastAsia" w:eastAsiaTheme="minorEastAsia"/>
          <w:b w:val="0"/>
          <w:color w:val="auto"/>
          <w:sz w:val="24"/>
          <w:szCs w:val="24"/>
        </w:rPr>
        <w:fldChar w:fldCharType="separate"/>
      </w:r>
      <w:r>
        <w:rPr>
          <w:rFonts w:asciiTheme="minorEastAsia" w:hAnsiTheme="minorEastAsia" w:eastAsiaTheme="minorEastAsia"/>
          <w:b w:val="0"/>
          <w:color w:val="auto"/>
          <w:sz w:val="24"/>
          <w:szCs w:val="24"/>
        </w:rPr>
        <w:t>49</w:t>
      </w:r>
      <w:r>
        <w:rPr>
          <w:rFonts w:asciiTheme="minorEastAsia" w:hAnsiTheme="minorEastAsia" w:eastAsiaTheme="minorEastAsia"/>
          <w:b w:val="0"/>
          <w:color w:val="auto"/>
          <w:sz w:val="24"/>
          <w:szCs w:val="24"/>
        </w:rPr>
        <w:fldChar w:fldCharType="end"/>
      </w:r>
      <w:r>
        <w:rPr>
          <w:rFonts w:asciiTheme="minorEastAsia" w:hAnsiTheme="minorEastAsia" w:eastAsiaTheme="minorEastAsia"/>
          <w:b w:val="0"/>
          <w:color w:val="auto"/>
          <w:sz w:val="24"/>
          <w:szCs w:val="24"/>
        </w:rPr>
        <w:fldChar w:fldCharType="end"/>
      </w:r>
    </w:p>
    <w:p>
      <w:pPr>
        <w:pStyle w:val="25"/>
        <w:tabs>
          <w:tab w:val="right" w:leader="dot" w:pos="8498"/>
        </w:tabs>
        <w:spacing w:line="360" w:lineRule="auto"/>
        <w:ind w:hanging="11"/>
        <w:rPr>
          <w:rFonts w:asciiTheme="minorEastAsia" w:hAnsiTheme="minorEastAsia" w:eastAsiaTheme="minorEastAsia" w:cstheme="minorBidi"/>
          <w:smallCaps w:val="0"/>
          <w:color w:val="auto"/>
          <w:sz w:val="24"/>
          <w:szCs w:val="24"/>
        </w:rPr>
      </w:pPr>
      <w:r>
        <w:rPr>
          <w:color w:val="auto"/>
        </w:rPr>
        <w:fldChar w:fldCharType="begin"/>
      </w:r>
      <w:r>
        <w:rPr>
          <w:color w:val="auto"/>
        </w:rPr>
        <w:instrText xml:space="preserve"> HYPERLINK \l "_Toc80301754" </w:instrText>
      </w:r>
      <w:r>
        <w:rPr>
          <w:color w:val="auto"/>
        </w:rPr>
        <w:fldChar w:fldCharType="separate"/>
      </w:r>
      <w:r>
        <w:rPr>
          <w:rStyle w:val="36"/>
          <w:rFonts w:cs="Calibri" w:asciiTheme="minorEastAsia" w:hAnsiTheme="minorEastAsia" w:eastAsiaTheme="minorEastAsia"/>
          <w:color w:val="auto"/>
          <w:sz w:val="24"/>
          <w:szCs w:val="24"/>
        </w:rPr>
        <w:t>3.1</w:t>
      </w:r>
      <w:r>
        <w:rPr>
          <w:rStyle w:val="36"/>
          <w:rFonts w:hint="eastAsia" w:cs="Calibri" w:asciiTheme="minorEastAsia" w:hAnsiTheme="minorEastAsia" w:eastAsiaTheme="minorEastAsia"/>
          <w:color w:val="auto"/>
          <w:sz w:val="24"/>
          <w:szCs w:val="24"/>
        </w:rPr>
        <w:t>隐患排查清单</w:t>
      </w:r>
      <w:r>
        <w:rPr>
          <w:rFonts w:asciiTheme="minorEastAsia" w:hAnsiTheme="minorEastAsia" w:eastAsiaTheme="minorEastAsia"/>
          <w:color w:val="auto"/>
          <w:sz w:val="24"/>
          <w:szCs w:val="24"/>
        </w:rPr>
        <w:tab/>
      </w:r>
      <w:r>
        <w:rPr>
          <w:rFonts w:asciiTheme="minorEastAsia" w:hAnsiTheme="minorEastAsia" w:eastAsiaTheme="minorEastAsia"/>
          <w:color w:val="auto"/>
          <w:sz w:val="24"/>
          <w:szCs w:val="24"/>
        </w:rPr>
        <w:fldChar w:fldCharType="begin"/>
      </w:r>
      <w:r>
        <w:rPr>
          <w:rFonts w:asciiTheme="minorEastAsia" w:hAnsiTheme="minorEastAsia" w:eastAsiaTheme="minorEastAsia"/>
          <w:color w:val="auto"/>
          <w:sz w:val="24"/>
          <w:szCs w:val="24"/>
        </w:rPr>
        <w:instrText xml:space="preserve"> PAGEREF _Toc80301754 \h </w:instrText>
      </w:r>
      <w:r>
        <w:rPr>
          <w:rFonts w:asciiTheme="minorEastAsia" w:hAnsiTheme="minorEastAsia" w:eastAsiaTheme="minorEastAsia"/>
          <w:color w:val="auto"/>
          <w:sz w:val="24"/>
          <w:szCs w:val="24"/>
        </w:rPr>
        <w:fldChar w:fldCharType="separate"/>
      </w:r>
      <w:r>
        <w:rPr>
          <w:rFonts w:asciiTheme="minorEastAsia" w:hAnsiTheme="minorEastAsia" w:eastAsiaTheme="minorEastAsia"/>
          <w:color w:val="auto"/>
          <w:sz w:val="24"/>
          <w:szCs w:val="24"/>
        </w:rPr>
        <w:t>49</w:t>
      </w:r>
      <w:r>
        <w:rPr>
          <w:rFonts w:asciiTheme="minorEastAsia" w:hAnsiTheme="minorEastAsia" w:eastAsiaTheme="minorEastAsia"/>
          <w:color w:val="auto"/>
          <w:sz w:val="24"/>
          <w:szCs w:val="24"/>
        </w:rPr>
        <w:fldChar w:fldCharType="end"/>
      </w:r>
      <w:r>
        <w:rPr>
          <w:rFonts w:asciiTheme="minorEastAsia" w:hAnsiTheme="minorEastAsia" w:eastAsiaTheme="minorEastAsia"/>
          <w:color w:val="auto"/>
          <w:sz w:val="24"/>
          <w:szCs w:val="24"/>
        </w:rPr>
        <w:fldChar w:fldCharType="end"/>
      </w:r>
    </w:p>
    <w:p>
      <w:pPr>
        <w:pStyle w:val="25"/>
        <w:tabs>
          <w:tab w:val="right" w:leader="dot" w:pos="8498"/>
        </w:tabs>
        <w:spacing w:line="360" w:lineRule="auto"/>
        <w:ind w:hanging="11"/>
        <w:rPr>
          <w:rFonts w:asciiTheme="minorEastAsia" w:hAnsiTheme="minorEastAsia" w:eastAsiaTheme="minorEastAsia" w:cstheme="minorBidi"/>
          <w:smallCaps w:val="0"/>
          <w:color w:val="auto"/>
          <w:sz w:val="24"/>
          <w:szCs w:val="24"/>
        </w:rPr>
      </w:pPr>
      <w:r>
        <w:rPr>
          <w:color w:val="auto"/>
        </w:rPr>
        <w:fldChar w:fldCharType="begin"/>
      </w:r>
      <w:r>
        <w:rPr>
          <w:color w:val="auto"/>
        </w:rPr>
        <w:instrText xml:space="preserve"> HYPERLINK \l "_Toc80301755" </w:instrText>
      </w:r>
      <w:r>
        <w:rPr>
          <w:color w:val="auto"/>
        </w:rPr>
        <w:fldChar w:fldCharType="separate"/>
      </w:r>
      <w:r>
        <w:rPr>
          <w:rStyle w:val="36"/>
          <w:rFonts w:cs="Calibri" w:asciiTheme="minorEastAsia" w:hAnsiTheme="minorEastAsia" w:eastAsiaTheme="minorEastAsia"/>
          <w:color w:val="auto"/>
          <w:sz w:val="24"/>
          <w:szCs w:val="24"/>
        </w:rPr>
        <w:t>3.2</w:t>
      </w:r>
      <w:r>
        <w:rPr>
          <w:rStyle w:val="36"/>
          <w:rFonts w:hint="eastAsia" w:cs="Calibri" w:asciiTheme="minorEastAsia" w:hAnsiTheme="minorEastAsia" w:eastAsiaTheme="minorEastAsia"/>
          <w:color w:val="auto"/>
          <w:sz w:val="24"/>
          <w:szCs w:val="24"/>
        </w:rPr>
        <w:t>日常隐患排查</w:t>
      </w:r>
      <w:r>
        <w:rPr>
          <w:rFonts w:asciiTheme="minorEastAsia" w:hAnsiTheme="minorEastAsia" w:eastAsiaTheme="minorEastAsia"/>
          <w:color w:val="auto"/>
          <w:sz w:val="24"/>
          <w:szCs w:val="24"/>
        </w:rPr>
        <w:tab/>
      </w:r>
      <w:r>
        <w:rPr>
          <w:rFonts w:asciiTheme="minorEastAsia" w:hAnsiTheme="minorEastAsia" w:eastAsiaTheme="minorEastAsia"/>
          <w:color w:val="auto"/>
          <w:sz w:val="24"/>
          <w:szCs w:val="24"/>
        </w:rPr>
        <w:fldChar w:fldCharType="begin"/>
      </w:r>
      <w:r>
        <w:rPr>
          <w:rFonts w:asciiTheme="minorEastAsia" w:hAnsiTheme="minorEastAsia" w:eastAsiaTheme="minorEastAsia"/>
          <w:color w:val="auto"/>
          <w:sz w:val="24"/>
          <w:szCs w:val="24"/>
        </w:rPr>
        <w:instrText xml:space="preserve"> PAGEREF _Toc80301755 \h </w:instrText>
      </w:r>
      <w:r>
        <w:rPr>
          <w:rFonts w:asciiTheme="minorEastAsia" w:hAnsiTheme="minorEastAsia" w:eastAsiaTheme="minorEastAsia"/>
          <w:color w:val="auto"/>
          <w:sz w:val="24"/>
          <w:szCs w:val="24"/>
        </w:rPr>
        <w:fldChar w:fldCharType="separate"/>
      </w:r>
      <w:r>
        <w:rPr>
          <w:rFonts w:asciiTheme="minorEastAsia" w:hAnsiTheme="minorEastAsia" w:eastAsiaTheme="minorEastAsia"/>
          <w:color w:val="auto"/>
          <w:sz w:val="24"/>
          <w:szCs w:val="24"/>
        </w:rPr>
        <w:t>74</w:t>
      </w:r>
      <w:r>
        <w:rPr>
          <w:rFonts w:asciiTheme="minorEastAsia" w:hAnsiTheme="minorEastAsia" w:eastAsiaTheme="minorEastAsia"/>
          <w:color w:val="auto"/>
          <w:sz w:val="24"/>
          <w:szCs w:val="24"/>
        </w:rPr>
        <w:fldChar w:fldCharType="end"/>
      </w:r>
      <w:r>
        <w:rPr>
          <w:rFonts w:asciiTheme="minorEastAsia" w:hAnsiTheme="minorEastAsia" w:eastAsiaTheme="minorEastAsia"/>
          <w:color w:val="auto"/>
          <w:sz w:val="24"/>
          <w:szCs w:val="24"/>
        </w:rPr>
        <w:fldChar w:fldCharType="end"/>
      </w:r>
    </w:p>
    <w:p>
      <w:pPr>
        <w:pStyle w:val="25"/>
        <w:tabs>
          <w:tab w:val="right" w:leader="dot" w:pos="8498"/>
        </w:tabs>
        <w:spacing w:line="360" w:lineRule="auto"/>
        <w:ind w:hanging="11"/>
        <w:rPr>
          <w:rFonts w:asciiTheme="minorEastAsia" w:hAnsiTheme="minorEastAsia" w:eastAsiaTheme="minorEastAsia" w:cstheme="minorBidi"/>
          <w:smallCaps w:val="0"/>
          <w:color w:val="auto"/>
          <w:sz w:val="24"/>
          <w:szCs w:val="24"/>
        </w:rPr>
      </w:pPr>
      <w:r>
        <w:rPr>
          <w:color w:val="auto"/>
        </w:rPr>
        <w:fldChar w:fldCharType="begin"/>
      </w:r>
      <w:r>
        <w:rPr>
          <w:color w:val="auto"/>
        </w:rPr>
        <w:instrText xml:space="preserve"> HYPERLINK \l "_Toc80301756" </w:instrText>
      </w:r>
      <w:r>
        <w:rPr>
          <w:color w:val="auto"/>
        </w:rPr>
        <w:fldChar w:fldCharType="separate"/>
      </w:r>
      <w:r>
        <w:rPr>
          <w:rStyle w:val="36"/>
          <w:rFonts w:cs="Calibri" w:asciiTheme="minorEastAsia" w:hAnsiTheme="minorEastAsia" w:eastAsiaTheme="minorEastAsia"/>
          <w:color w:val="auto"/>
          <w:sz w:val="24"/>
          <w:szCs w:val="24"/>
        </w:rPr>
        <w:t>3.3</w:t>
      </w:r>
      <w:r>
        <w:rPr>
          <w:rStyle w:val="36"/>
          <w:rFonts w:hint="eastAsia" w:cs="Calibri" w:asciiTheme="minorEastAsia" w:hAnsiTheme="minorEastAsia" w:eastAsiaTheme="minorEastAsia"/>
          <w:color w:val="auto"/>
          <w:sz w:val="24"/>
          <w:szCs w:val="24"/>
        </w:rPr>
        <w:t>定期隐患排查</w:t>
      </w:r>
      <w:r>
        <w:rPr>
          <w:rFonts w:asciiTheme="minorEastAsia" w:hAnsiTheme="minorEastAsia" w:eastAsiaTheme="minorEastAsia"/>
          <w:color w:val="auto"/>
          <w:sz w:val="24"/>
          <w:szCs w:val="24"/>
        </w:rPr>
        <w:tab/>
      </w:r>
      <w:r>
        <w:rPr>
          <w:rFonts w:asciiTheme="minorEastAsia" w:hAnsiTheme="minorEastAsia" w:eastAsiaTheme="minorEastAsia"/>
          <w:color w:val="auto"/>
          <w:sz w:val="24"/>
          <w:szCs w:val="24"/>
        </w:rPr>
        <w:fldChar w:fldCharType="begin"/>
      </w:r>
      <w:r>
        <w:rPr>
          <w:rFonts w:asciiTheme="minorEastAsia" w:hAnsiTheme="minorEastAsia" w:eastAsiaTheme="minorEastAsia"/>
          <w:color w:val="auto"/>
          <w:sz w:val="24"/>
          <w:szCs w:val="24"/>
        </w:rPr>
        <w:instrText xml:space="preserve"> PAGEREF _Toc80301756 \h </w:instrText>
      </w:r>
      <w:r>
        <w:rPr>
          <w:rFonts w:asciiTheme="minorEastAsia" w:hAnsiTheme="minorEastAsia" w:eastAsiaTheme="minorEastAsia"/>
          <w:color w:val="auto"/>
          <w:sz w:val="24"/>
          <w:szCs w:val="24"/>
        </w:rPr>
        <w:fldChar w:fldCharType="separate"/>
      </w:r>
      <w:r>
        <w:rPr>
          <w:rFonts w:asciiTheme="minorEastAsia" w:hAnsiTheme="minorEastAsia" w:eastAsiaTheme="minorEastAsia"/>
          <w:color w:val="auto"/>
          <w:sz w:val="24"/>
          <w:szCs w:val="24"/>
        </w:rPr>
        <w:t>81</w:t>
      </w:r>
      <w:r>
        <w:rPr>
          <w:rFonts w:asciiTheme="minorEastAsia" w:hAnsiTheme="minorEastAsia" w:eastAsiaTheme="minorEastAsia"/>
          <w:color w:val="auto"/>
          <w:sz w:val="24"/>
          <w:szCs w:val="24"/>
        </w:rPr>
        <w:fldChar w:fldCharType="end"/>
      </w:r>
      <w:r>
        <w:rPr>
          <w:rFonts w:asciiTheme="minorEastAsia" w:hAnsiTheme="minorEastAsia" w:eastAsiaTheme="minorEastAsia"/>
          <w:color w:val="auto"/>
          <w:sz w:val="24"/>
          <w:szCs w:val="24"/>
        </w:rPr>
        <w:fldChar w:fldCharType="end"/>
      </w:r>
    </w:p>
    <w:p>
      <w:pPr>
        <w:pStyle w:val="25"/>
        <w:tabs>
          <w:tab w:val="right" w:leader="dot" w:pos="8498"/>
        </w:tabs>
        <w:spacing w:line="360" w:lineRule="auto"/>
        <w:ind w:hanging="11"/>
        <w:rPr>
          <w:rFonts w:asciiTheme="minorEastAsia" w:hAnsiTheme="minorEastAsia" w:eastAsiaTheme="minorEastAsia" w:cstheme="minorBidi"/>
          <w:smallCaps w:val="0"/>
          <w:color w:val="auto"/>
          <w:sz w:val="24"/>
          <w:szCs w:val="24"/>
        </w:rPr>
      </w:pPr>
      <w:r>
        <w:rPr>
          <w:color w:val="auto"/>
        </w:rPr>
        <w:fldChar w:fldCharType="begin"/>
      </w:r>
      <w:r>
        <w:rPr>
          <w:color w:val="auto"/>
        </w:rPr>
        <w:instrText xml:space="preserve"> HYPERLINK \l "_Toc80301757" </w:instrText>
      </w:r>
      <w:r>
        <w:rPr>
          <w:color w:val="auto"/>
        </w:rPr>
        <w:fldChar w:fldCharType="separate"/>
      </w:r>
      <w:r>
        <w:rPr>
          <w:rStyle w:val="36"/>
          <w:rFonts w:cs="Calibri" w:asciiTheme="minorEastAsia" w:hAnsiTheme="minorEastAsia" w:eastAsiaTheme="minorEastAsia"/>
          <w:color w:val="auto"/>
          <w:sz w:val="24"/>
          <w:szCs w:val="24"/>
        </w:rPr>
        <w:t>3.4</w:t>
      </w:r>
      <w:r>
        <w:rPr>
          <w:rStyle w:val="36"/>
          <w:rFonts w:hint="eastAsia" w:cs="Calibri" w:asciiTheme="minorEastAsia" w:hAnsiTheme="minorEastAsia" w:eastAsiaTheme="minorEastAsia"/>
          <w:color w:val="auto"/>
          <w:sz w:val="24"/>
          <w:szCs w:val="24"/>
        </w:rPr>
        <w:t>专项隐患排查</w:t>
      </w:r>
      <w:r>
        <w:rPr>
          <w:rFonts w:asciiTheme="minorEastAsia" w:hAnsiTheme="minorEastAsia" w:eastAsiaTheme="minorEastAsia"/>
          <w:color w:val="auto"/>
          <w:sz w:val="24"/>
          <w:szCs w:val="24"/>
        </w:rPr>
        <w:tab/>
      </w:r>
      <w:r>
        <w:rPr>
          <w:rFonts w:asciiTheme="minorEastAsia" w:hAnsiTheme="minorEastAsia" w:eastAsiaTheme="minorEastAsia"/>
          <w:color w:val="auto"/>
          <w:sz w:val="24"/>
          <w:szCs w:val="24"/>
        </w:rPr>
        <w:fldChar w:fldCharType="begin"/>
      </w:r>
      <w:r>
        <w:rPr>
          <w:rFonts w:asciiTheme="minorEastAsia" w:hAnsiTheme="minorEastAsia" w:eastAsiaTheme="minorEastAsia"/>
          <w:color w:val="auto"/>
          <w:sz w:val="24"/>
          <w:szCs w:val="24"/>
        </w:rPr>
        <w:instrText xml:space="preserve"> PAGEREF _Toc80301757 \h </w:instrText>
      </w:r>
      <w:r>
        <w:rPr>
          <w:rFonts w:asciiTheme="minorEastAsia" w:hAnsiTheme="minorEastAsia" w:eastAsiaTheme="minorEastAsia"/>
          <w:color w:val="auto"/>
          <w:sz w:val="24"/>
          <w:szCs w:val="24"/>
        </w:rPr>
        <w:fldChar w:fldCharType="separate"/>
      </w:r>
      <w:r>
        <w:rPr>
          <w:rFonts w:asciiTheme="minorEastAsia" w:hAnsiTheme="minorEastAsia" w:eastAsiaTheme="minorEastAsia"/>
          <w:color w:val="auto"/>
          <w:sz w:val="24"/>
          <w:szCs w:val="24"/>
        </w:rPr>
        <w:t>84</w:t>
      </w:r>
      <w:r>
        <w:rPr>
          <w:rFonts w:asciiTheme="minorEastAsia" w:hAnsiTheme="minorEastAsia" w:eastAsiaTheme="minorEastAsia"/>
          <w:color w:val="auto"/>
          <w:sz w:val="24"/>
          <w:szCs w:val="24"/>
        </w:rPr>
        <w:fldChar w:fldCharType="end"/>
      </w:r>
      <w:r>
        <w:rPr>
          <w:rFonts w:asciiTheme="minorEastAsia" w:hAnsiTheme="minorEastAsia" w:eastAsiaTheme="minorEastAsia"/>
          <w:color w:val="auto"/>
          <w:sz w:val="24"/>
          <w:szCs w:val="24"/>
        </w:rPr>
        <w:fldChar w:fldCharType="end"/>
      </w:r>
    </w:p>
    <w:p>
      <w:pPr>
        <w:pStyle w:val="13"/>
        <w:tabs>
          <w:tab w:val="right" w:leader="dot" w:pos="8498"/>
        </w:tabs>
        <w:spacing w:line="360" w:lineRule="auto"/>
        <w:ind w:hanging="11"/>
        <w:rPr>
          <w:rFonts w:asciiTheme="minorEastAsia" w:hAnsiTheme="minorEastAsia" w:eastAsiaTheme="minorEastAsia" w:cstheme="minorBidi"/>
          <w:i w:val="0"/>
          <w:iCs w:val="0"/>
          <w:color w:val="auto"/>
          <w:sz w:val="24"/>
          <w:szCs w:val="24"/>
        </w:rPr>
      </w:pPr>
      <w:r>
        <w:rPr>
          <w:color w:val="auto"/>
        </w:rPr>
        <w:fldChar w:fldCharType="begin"/>
      </w:r>
      <w:r>
        <w:rPr>
          <w:color w:val="auto"/>
        </w:rPr>
        <w:instrText xml:space="preserve"> HYPERLINK \l "_Toc80301758" </w:instrText>
      </w:r>
      <w:r>
        <w:rPr>
          <w:color w:val="auto"/>
        </w:rPr>
        <w:fldChar w:fldCharType="separate"/>
      </w:r>
      <w:r>
        <w:rPr>
          <w:rStyle w:val="36"/>
          <w:rFonts w:cs="Calibri" w:asciiTheme="minorEastAsia" w:hAnsiTheme="minorEastAsia" w:eastAsiaTheme="minorEastAsia"/>
          <w:i w:val="0"/>
          <w:color w:val="auto"/>
          <w:sz w:val="24"/>
          <w:szCs w:val="24"/>
        </w:rPr>
        <w:t>3.4.1</w:t>
      </w:r>
      <w:r>
        <w:rPr>
          <w:rStyle w:val="36"/>
          <w:rFonts w:hint="eastAsia" w:cs="Calibri" w:asciiTheme="minorEastAsia" w:hAnsiTheme="minorEastAsia" w:eastAsiaTheme="minorEastAsia"/>
          <w:i w:val="0"/>
          <w:color w:val="auto"/>
          <w:sz w:val="24"/>
          <w:szCs w:val="24"/>
        </w:rPr>
        <w:t>防汛专项隐患排查记录</w:t>
      </w:r>
      <w:r>
        <w:rPr>
          <w:rFonts w:asciiTheme="minorEastAsia" w:hAnsiTheme="minorEastAsia" w:eastAsiaTheme="minorEastAsia"/>
          <w:i w:val="0"/>
          <w:color w:val="auto"/>
          <w:sz w:val="24"/>
          <w:szCs w:val="24"/>
        </w:rPr>
        <w:tab/>
      </w:r>
      <w:r>
        <w:rPr>
          <w:rFonts w:asciiTheme="minorEastAsia" w:hAnsiTheme="minorEastAsia" w:eastAsiaTheme="minorEastAsia"/>
          <w:i w:val="0"/>
          <w:color w:val="auto"/>
          <w:sz w:val="24"/>
          <w:szCs w:val="24"/>
        </w:rPr>
        <w:fldChar w:fldCharType="begin"/>
      </w:r>
      <w:r>
        <w:rPr>
          <w:rFonts w:asciiTheme="minorEastAsia" w:hAnsiTheme="minorEastAsia" w:eastAsiaTheme="minorEastAsia"/>
          <w:i w:val="0"/>
          <w:color w:val="auto"/>
          <w:sz w:val="24"/>
          <w:szCs w:val="24"/>
        </w:rPr>
        <w:instrText xml:space="preserve"> PAGEREF _Toc80301758 \h </w:instrText>
      </w:r>
      <w:r>
        <w:rPr>
          <w:rFonts w:asciiTheme="minorEastAsia" w:hAnsiTheme="minorEastAsia" w:eastAsiaTheme="minorEastAsia"/>
          <w:i w:val="0"/>
          <w:color w:val="auto"/>
          <w:sz w:val="24"/>
          <w:szCs w:val="24"/>
        </w:rPr>
        <w:fldChar w:fldCharType="separate"/>
      </w:r>
      <w:r>
        <w:rPr>
          <w:rFonts w:asciiTheme="minorEastAsia" w:hAnsiTheme="minorEastAsia" w:eastAsiaTheme="minorEastAsia"/>
          <w:i w:val="0"/>
          <w:color w:val="auto"/>
          <w:sz w:val="24"/>
          <w:szCs w:val="24"/>
        </w:rPr>
        <w:t>85</w:t>
      </w:r>
      <w:r>
        <w:rPr>
          <w:rFonts w:asciiTheme="minorEastAsia" w:hAnsiTheme="minorEastAsia" w:eastAsiaTheme="minorEastAsia"/>
          <w:i w:val="0"/>
          <w:color w:val="auto"/>
          <w:sz w:val="24"/>
          <w:szCs w:val="24"/>
        </w:rPr>
        <w:fldChar w:fldCharType="end"/>
      </w:r>
      <w:r>
        <w:rPr>
          <w:rFonts w:asciiTheme="minorEastAsia" w:hAnsiTheme="minorEastAsia" w:eastAsiaTheme="minorEastAsia"/>
          <w:i w:val="0"/>
          <w:color w:val="auto"/>
          <w:sz w:val="24"/>
          <w:szCs w:val="24"/>
        </w:rPr>
        <w:fldChar w:fldCharType="end"/>
      </w:r>
    </w:p>
    <w:p>
      <w:pPr>
        <w:pStyle w:val="13"/>
        <w:tabs>
          <w:tab w:val="right" w:leader="dot" w:pos="8498"/>
        </w:tabs>
        <w:spacing w:line="360" w:lineRule="auto"/>
        <w:ind w:hanging="11"/>
        <w:rPr>
          <w:rFonts w:asciiTheme="minorEastAsia" w:hAnsiTheme="minorEastAsia" w:eastAsiaTheme="minorEastAsia" w:cstheme="minorBidi"/>
          <w:i w:val="0"/>
          <w:iCs w:val="0"/>
          <w:color w:val="auto"/>
          <w:sz w:val="24"/>
          <w:szCs w:val="24"/>
        </w:rPr>
      </w:pPr>
      <w:r>
        <w:rPr>
          <w:color w:val="auto"/>
        </w:rPr>
        <w:fldChar w:fldCharType="begin"/>
      </w:r>
      <w:r>
        <w:rPr>
          <w:color w:val="auto"/>
        </w:rPr>
        <w:instrText xml:space="preserve"> HYPERLINK \l "_Toc80301759" </w:instrText>
      </w:r>
      <w:r>
        <w:rPr>
          <w:color w:val="auto"/>
        </w:rPr>
        <w:fldChar w:fldCharType="separate"/>
      </w:r>
      <w:r>
        <w:rPr>
          <w:rStyle w:val="36"/>
          <w:rFonts w:cs="Calibri" w:asciiTheme="minorEastAsia" w:hAnsiTheme="minorEastAsia" w:eastAsiaTheme="minorEastAsia"/>
          <w:i w:val="0"/>
          <w:color w:val="auto"/>
          <w:sz w:val="24"/>
          <w:szCs w:val="24"/>
        </w:rPr>
        <w:t>3.4.2</w:t>
      </w:r>
      <w:r>
        <w:rPr>
          <w:rStyle w:val="36"/>
          <w:rFonts w:hint="eastAsia" w:cs="Calibri" w:asciiTheme="minorEastAsia" w:hAnsiTheme="minorEastAsia" w:eastAsiaTheme="minorEastAsia"/>
          <w:i w:val="0"/>
          <w:color w:val="auto"/>
          <w:sz w:val="24"/>
          <w:szCs w:val="24"/>
        </w:rPr>
        <w:t>今冬明春防火专项隐患排查记录</w:t>
      </w:r>
      <w:r>
        <w:rPr>
          <w:rFonts w:asciiTheme="minorEastAsia" w:hAnsiTheme="minorEastAsia" w:eastAsiaTheme="minorEastAsia"/>
          <w:i w:val="0"/>
          <w:color w:val="auto"/>
          <w:sz w:val="24"/>
          <w:szCs w:val="24"/>
        </w:rPr>
        <w:tab/>
      </w:r>
      <w:r>
        <w:rPr>
          <w:rFonts w:asciiTheme="minorEastAsia" w:hAnsiTheme="minorEastAsia" w:eastAsiaTheme="minorEastAsia"/>
          <w:i w:val="0"/>
          <w:color w:val="auto"/>
          <w:sz w:val="24"/>
          <w:szCs w:val="24"/>
        </w:rPr>
        <w:fldChar w:fldCharType="begin"/>
      </w:r>
      <w:r>
        <w:rPr>
          <w:rFonts w:asciiTheme="minorEastAsia" w:hAnsiTheme="minorEastAsia" w:eastAsiaTheme="minorEastAsia"/>
          <w:i w:val="0"/>
          <w:color w:val="auto"/>
          <w:sz w:val="24"/>
          <w:szCs w:val="24"/>
        </w:rPr>
        <w:instrText xml:space="preserve"> PAGEREF _Toc80301759 \h </w:instrText>
      </w:r>
      <w:r>
        <w:rPr>
          <w:rFonts w:asciiTheme="minorEastAsia" w:hAnsiTheme="minorEastAsia" w:eastAsiaTheme="minorEastAsia"/>
          <w:i w:val="0"/>
          <w:color w:val="auto"/>
          <w:sz w:val="24"/>
          <w:szCs w:val="24"/>
        </w:rPr>
        <w:fldChar w:fldCharType="separate"/>
      </w:r>
      <w:r>
        <w:rPr>
          <w:rFonts w:asciiTheme="minorEastAsia" w:hAnsiTheme="minorEastAsia" w:eastAsiaTheme="minorEastAsia"/>
          <w:i w:val="0"/>
          <w:color w:val="auto"/>
          <w:sz w:val="24"/>
          <w:szCs w:val="24"/>
        </w:rPr>
        <w:t>86</w:t>
      </w:r>
      <w:r>
        <w:rPr>
          <w:rFonts w:asciiTheme="minorEastAsia" w:hAnsiTheme="minorEastAsia" w:eastAsiaTheme="minorEastAsia"/>
          <w:i w:val="0"/>
          <w:color w:val="auto"/>
          <w:sz w:val="24"/>
          <w:szCs w:val="24"/>
        </w:rPr>
        <w:fldChar w:fldCharType="end"/>
      </w:r>
      <w:r>
        <w:rPr>
          <w:rFonts w:asciiTheme="minorEastAsia" w:hAnsiTheme="minorEastAsia" w:eastAsiaTheme="minorEastAsia"/>
          <w:i w:val="0"/>
          <w:color w:val="auto"/>
          <w:sz w:val="24"/>
          <w:szCs w:val="24"/>
        </w:rPr>
        <w:fldChar w:fldCharType="end"/>
      </w:r>
    </w:p>
    <w:p>
      <w:pPr>
        <w:pStyle w:val="13"/>
        <w:tabs>
          <w:tab w:val="right" w:leader="dot" w:pos="8498"/>
        </w:tabs>
        <w:spacing w:line="360" w:lineRule="auto"/>
        <w:ind w:hanging="11"/>
        <w:rPr>
          <w:rFonts w:asciiTheme="minorEastAsia" w:hAnsiTheme="minorEastAsia" w:eastAsiaTheme="minorEastAsia" w:cstheme="minorBidi"/>
          <w:i w:val="0"/>
          <w:iCs w:val="0"/>
          <w:color w:val="auto"/>
          <w:sz w:val="24"/>
          <w:szCs w:val="24"/>
        </w:rPr>
      </w:pPr>
      <w:r>
        <w:rPr>
          <w:color w:val="auto"/>
        </w:rPr>
        <w:fldChar w:fldCharType="begin"/>
      </w:r>
      <w:r>
        <w:rPr>
          <w:color w:val="auto"/>
        </w:rPr>
        <w:instrText xml:space="preserve"> HYPERLINK \l "_Toc80301760" </w:instrText>
      </w:r>
      <w:r>
        <w:rPr>
          <w:color w:val="auto"/>
        </w:rPr>
        <w:fldChar w:fldCharType="separate"/>
      </w:r>
      <w:r>
        <w:rPr>
          <w:rStyle w:val="36"/>
          <w:rFonts w:cs="Calibri" w:asciiTheme="minorEastAsia" w:hAnsiTheme="minorEastAsia" w:eastAsiaTheme="minorEastAsia"/>
          <w:i w:val="0"/>
          <w:color w:val="auto"/>
          <w:sz w:val="24"/>
          <w:szCs w:val="24"/>
        </w:rPr>
        <w:t>3.4.3</w:t>
      </w:r>
      <w:r>
        <w:rPr>
          <w:rStyle w:val="36"/>
          <w:rFonts w:hint="eastAsia" w:cs="Calibri" w:asciiTheme="minorEastAsia" w:hAnsiTheme="minorEastAsia" w:eastAsiaTheme="minorEastAsia"/>
          <w:i w:val="0"/>
          <w:color w:val="auto"/>
          <w:sz w:val="24"/>
          <w:szCs w:val="24"/>
        </w:rPr>
        <w:t>除雪专项隐患排查记录</w:t>
      </w:r>
      <w:r>
        <w:rPr>
          <w:rFonts w:asciiTheme="minorEastAsia" w:hAnsiTheme="minorEastAsia" w:eastAsiaTheme="minorEastAsia"/>
          <w:i w:val="0"/>
          <w:color w:val="auto"/>
          <w:sz w:val="24"/>
          <w:szCs w:val="24"/>
        </w:rPr>
        <w:tab/>
      </w:r>
      <w:r>
        <w:rPr>
          <w:rFonts w:asciiTheme="minorEastAsia" w:hAnsiTheme="minorEastAsia" w:eastAsiaTheme="minorEastAsia"/>
          <w:i w:val="0"/>
          <w:color w:val="auto"/>
          <w:sz w:val="24"/>
          <w:szCs w:val="24"/>
        </w:rPr>
        <w:fldChar w:fldCharType="begin"/>
      </w:r>
      <w:r>
        <w:rPr>
          <w:rFonts w:asciiTheme="minorEastAsia" w:hAnsiTheme="minorEastAsia" w:eastAsiaTheme="minorEastAsia"/>
          <w:i w:val="0"/>
          <w:color w:val="auto"/>
          <w:sz w:val="24"/>
          <w:szCs w:val="24"/>
        </w:rPr>
        <w:instrText xml:space="preserve"> PAGEREF _Toc80301760 \h </w:instrText>
      </w:r>
      <w:r>
        <w:rPr>
          <w:rFonts w:asciiTheme="minorEastAsia" w:hAnsiTheme="minorEastAsia" w:eastAsiaTheme="minorEastAsia"/>
          <w:i w:val="0"/>
          <w:color w:val="auto"/>
          <w:sz w:val="24"/>
          <w:szCs w:val="24"/>
        </w:rPr>
        <w:fldChar w:fldCharType="separate"/>
      </w:r>
      <w:r>
        <w:rPr>
          <w:rFonts w:asciiTheme="minorEastAsia" w:hAnsiTheme="minorEastAsia" w:eastAsiaTheme="minorEastAsia"/>
          <w:i w:val="0"/>
          <w:color w:val="auto"/>
          <w:sz w:val="24"/>
          <w:szCs w:val="24"/>
        </w:rPr>
        <w:t>87</w:t>
      </w:r>
      <w:r>
        <w:rPr>
          <w:rFonts w:asciiTheme="minorEastAsia" w:hAnsiTheme="minorEastAsia" w:eastAsiaTheme="minorEastAsia"/>
          <w:i w:val="0"/>
          <w:color w:val="auto"/>
          <w:sz w:val="24"/>
          <w:szCs w:val="24"/>
        </w:rPr>
        <w:fldChar w:fldCharType="end"/>
      </w:r>
      <w:r>
        <w:rPr>
          <w:rFonts w:asciiTheme="minorEastAsia" w:hAnsiTheme="minorEastAsia" w:eastAsiaTheme="minorEastAsia"/>
          <w:i w:val="0"/>
          <w:color w:val="auto"/>
          <w:sz w:val="24"/>
          <w:szCs w:val="24"/>
        </w:rPr>
        <w:fldChar w:fldCharType="end"/>
      </w:r>
    </w:p>
    <w:p>
      <w:pPr>
        <w:pStyle w:val="13"/>
        <w:tabs>
          <w:tab w:val="right" w:leader="dot" w:pos="8498"/>
        </w:tabs>
        <w:spacing w:line="360" w:lineRule="auto"/>
        <w:ind w:hanging="11"/>
        <w:rPr>
          <w:rFonts w:asciiTheme="minorEastAsia" w:hAnsiTheme="minorEastAsia" w:eastAsiaTheme="minorEastAsia" w:cstheme="minorBidi"/>
          <w:i w:val="0"/>
          <w:iCs w:val="0"/>
          <w:color w:val="auto"/>
          <w:sz w:val="24"/>
          <w:szCs w:val="24"/>
        </w:rPr>
      </w:pPr>
      <w:r>
        <w:rPr>
          <w:color w:val="auto"/>
        </w:rPr>
        <w:fldChar w:fldCharType="begin"/>
      </w:r>
      <w:r>
        <w:rPr>
          <w:color w:val="auto"/>
        </w:rPr>
        <w:instrText xml:space="preserve"> HYPERLINK \l "_Toc80301761" </w:instrText>
      </w:r>
      <w:r>
        <w:rPr>
          <w:color w:val="auto"/>
        </w:rPr>
        <w:fldChar w:fldCharType="separate"/>
      </w:r>
      <w:r>
        <w:rPr>
          <w:rStyle w:val="36"/>
          <w:rFonts w:cs="Calibri" w:asciiTheme="minorEastAsia" w:hAnsiTheme="minorEastAsia" w:eastAsiaTheme="minorEastAsia"/>
          <w:i w:val="0"/>
          <w:color w:val="auto"/>
          <w:sz w:val="24"/>
          <w:szCs w:val="24"/>
        </w:rPr>
        <w:t>3.4.4</w:t>
      </w:r>
      <w:r>
        <w:rPr>
          <w:rStyle w:val="36"/>
          <w:rFonts w:hint="eastAsia" w:cs="Calibri" w:asciiTheme="minorEastAsia" w:hAnsiTheme="minorEastAsia" w:eastAsiaTheme="minorEastAsia"/>
          <w:i w:val="0"/>
          <w:color w:val="auto"/>
          <w:sz w:val="24"/>
          <w:szCs w:val="24"/>
        </w:rPr>
        <w:t>保畅专项隐患排查记录</w:t>
      </w:r>
      <w:r>
        <w:rPr>
          <w:rFonts w:asciiTheme="minorEastAsia" w:hAnsiTheme="minorEastAsia" w:eastAsiaTheme="minorEastAsia"/>
          <w:i w:val="0"/>
          <w:color w:val="auto"/>
          <w:sz w:val="24"/>
          <w:szCs w:val="24"/>
        </w:rPr>
        <w:tab/>
      </w:r>
      <w:r>
        <w:rPr>
          <w:rFonts w:asciiTheme="minorEastAsia" w:hAnsiTheme="minorEastAsia" w:eastAsiaTheme="minorEastAsia"/>
          <w:i w:val="0"/>
          <w:color w:val="auto"/>
          <w:sz w:val="24"/>
          <w:szCs w:val="24"/>
        </w:rPr>
        <w:fldChar w:fldCharType="begin"/>
      </w:r>
      <w:r>
        <w:rPr>
          <w:rFonts w:asciiTheme="minorEastAsia" w:hAnsiTheme="minorEastAsia" w:eastAsiaTheme="minorEastAsia"/>
          <w:i w:val="0"/>
          <w:color w:val="auto"/>
          <w:sz w:val="24"/>
          <w:szCs w:val="24"/>
        </w:rPr>
        <w:instrText xml:space="preserve"> PAGEREF _Toc80301761 \h </w:instrText>
      </w:r>
      <w:r>
        <w:rPr>
          <w:rFonts w:asciiTheme="minorEastAsia" w:hAnsiTheme="minorEastAsia" w:eastAsiaTheme="minorEastAsia"/>
          <w:i w:val="0"/>
          <w:color w:val="auto"/>
          <w:sz w:val="24"/>
          <w:szCs w:val="24"/>
        </w:rPr>
        <w:fldChar w:fldCharType="separate"/>
      </w:r>
      <w:r>
        <w:rPr>
          <w:rFonts w:asciiTheme="minorEastAsia" w:hAnsiTheme="minorEastAsia" w:eastAsiaTheme="minorEastAsia"/>
          <w:i w:val="0"/>
          <w:color w:val="auto"/>
          <w:sz w:val="24"/>
          <w:szCs w:val="24"/>
        </w:rPr>
        <w:t>88</w:t>
      </w:r>
      <w:r>
        <w:rPr>
          <w:rFonts w:asciiTheme="minorEastAsia" w:hAnsiTheme="minorEastAsia" w:eastAsiaTheme="minorEastAsia"/>
          <w:i w:val="0"/>
          <w:color w:val="auto"/>
          <w:sz w:val="24"/>
          <w:szCs w:val="24"/>
        </w:rPr>
        <w:fldChar w:fldCharType="end"/>
      </w:r>
      <w:r>
        <w:rPr>
          <w:rFonts w:asciiTheme="minorEastAsia" w:hAnsiTheme="minorEastAsia" w:eastAsiaTheme="minorEastAsia"/>
          <w:i w:val="0"/>
          <w:color w:val="auto"/>
          <w:sz w:val="24"/>
          <w:szCs w:val="24"/>
        </w:rPr>
        <w:fldChar w:fldCharType="end"/>
      </w:r>
    </w:p>
    <w:p>
      <w:pPr>
        <w:pStyle w:val="13"/>
        <w:tabs>
          <w:tab w:val="right" w:leader="dot" w:pos="8498"/>
        </w:tabs>
        <w:spacing w:line="360" w:lineRule="auto"/>
        <w:ind w:hanging="11"/>
        <w:rPr>
          <w:rFonts w:asciiTheme="minorEastAsia" w:hAnsiTheme="minorEastAsia" w:eastAsiaTheme="minorEastAsia" w:cstheme="minorBidi"/>
          <w:i w:val="0"/>
          <w:iCs w:val="0"/>
          <w:color w:val="auto"/>
          <w:sz w:val="24"/>
          <w:szCs w:val="24"/>
        </w:rPr>
      </w:pPr>
      <w:r>
        <w:rPr>
          <w:color w:val="auto"/>
        </w:rPr>
        <w:fldChar w:fldCharType="begin"/>
      </w:r>
      <w:r>
        <w:rPr>
          <w:color w:val="auto"/>
        </w:rPr>
        <w:instrText xml:space="preserve"> HYPERLINK \l "_Toc80301762" </w:instrText>
      </w:r>
      <w:r>
        <w:rPr>
          <w:color w:val="auto"/>
        </w:rPr>
        <w:fldChar w:fldCharType="separate"/>
      </w:r>
      <w:r>
        <w:rPr>
          <w:rStyle w:val="36"/>
          <w:rFonts w:cs="Calibri" w:asciiTheme="minorEastAsia" w:hAnsiTheme="minorEastAsia" w:eastAsiaTheme="minorEastAsia"/>
          <w:i w:val="0"/>
          <w:color w:val="auto"/>
          <w:sz w:val="24"/>
          <w:szCs w:val="24"/>
        </w:rPr>
        <w:t>3.4.5</w:t>
      </w:r>
      <w:r>
        <w:rPr>
          <w:rStyle w:val="36"/>
          <w:rFonts w:hint="eastAsia" w:cs="Calibri" w:asciiTheme="minorEastAsia" w:hAnsiTheme="minorEastAsia" w:eastAsiaTheme="minorEastAsia"/>
          <w:i w:val="0"/>
          <w:color w:val="auto"/>
          <w:sz w:val="24"/>
          <w:szCs w:val="24"/>
        </w:rPr>
        <w:t>防疫专项隐患排查记录</w:t>
      </w:r>
      <w:r>
        <w:rPr>
          <w:rFonts w:asciiTheme="minorEastAsia" w:hAnsiTheme="minorEastAsia" w:eastAsiaTheme="minorEastAsia"/>
          <w:i w:val="0"/>
          <w:color w:val="auto"/>
          <w:sz w:val="24"/>
          <w:szCs w:val="24"/>
        </w:rPr>
        <w:tab/>
      </w:r>
      <w:r>
        <w:rPr>
          <w:rFonts w:asciiTheme="minorEastAsia" w:hAnsiTheme="minorEastAsia" w:eastAsiaTheme="minorEastAsia"/>
          <w:i w:val="0"/>
          <w:color w:val="auto"/>
          <w:sz w:val="24"/>
          <w:szCs w:val="24"/>
        </w:rPr>
        <w:fldChar w:fldCharType="begin"/>
      </w:r>
      <w:r>
        <w:rPr>
          <w:rFonts w:asciiTheme="minorEastAsia" w:hAnsiTheme="minorEastAsia" w:eastAsiaTheme="minorEastAsia"/>
          <w:i w:val="0"/>
          <w:color w:val="auto"/>
          <w:sz w:val="24"/>
          <w:szCs w:val="24"/>
        </w:rPr>
        <w:instrText xml:space="preserve"> PAGEREF _Toc80301762 \h </w:instrText>
      </w:r>
      <w:r>
        <w:rPr>
          <w:rFonts w:asciiTheme="minorEastAsia" w:hAnsiTheme="minorEastAsia" w:eastAsiaTheme="minorEastAsia"/>
          <w:i w:val="0"/>
          <w:color w:val="auto"/>
          <w:sz w:val="24"/>
          <w:szCs w:val="24"/>
        </w:rPr>
        <w:fldChar w:fldCharType="separate"/>
      </w:r>
      <w:r>
        <w:rPr>
          <w:rFonts w:asciiTheme="minorEastAsia" w:hAnsiTheme="minorEastAsia" w:eastAsiaTheme="minorEastAsia"/>
          <w:i w:val="0"/>
          <w:color w:val="auto"/>
          <w:sz w:val="24"/>
          <w:szCs w:val="24"/>
        </w:rPr>
        <w:t>89</w:t>
      </w:r>
      <w:r>
        <w:rPr>
          <w:rFonts w:asciiTheme="minorEastAsia" w:hAnsiTheme="minorEastAsia" w:eastAsiaTheme="minorEastAsia"/>
          <w:i w:val="0"/>
          <w:color w:val="auto"/>
          <w:sz w:val="24"/>
          <w:szCs w:val="24"/>
        </w:rPr>
        <w:fldChar w:fldCharType="end"/>
      </w:r>
      <w:r>
        <w:rPr>
          <w:rFonts w:asciiTheme="minorEastAsia" w:hAnsiTheme="minorEastAsia" w:eastAsiaTheme="minorEastAsia"/>
          <w:i w:val="0"/>
          <w:color w:val="auto"/>
          <w:sz w:val="24"/>
          <w:szCs w:val="24"/>
        </w:rPr>
        <w:fldChar w:fldCharType="end"/>
      </w:r>
    </w:p>
    <w:p>
      <w:pPr>
        <w:pStyle w:val="20"/>
        <w:tabs>
          <w:tab w:val="right" w:leader="dot" w:pos="8498"/>
        </w:tabs>
        <w:spacing w:line="360" w:lineRule="auto"/>
        <w:ind w:hanging="11"/>
        <w:rPr>
          <w:rFonts w:asciiTheme="minorEastAsia" w:hAnsiTheme="minorEastAsia" w:eastAsiaTheme="minorEastAsia"/>
          <w:color w:val="auto"/>
        </w:rPr>
      </w:pPr>
      <w:r>
        <w:rPr>
          <w:rFonts w:asciiTheme="minorEastAsia" w:hAnsiTheme="minorEastAsia" w:eastAsiaTheme="minorEastAsia"/>
          <w:b w:val="0"/>
          <w:color w:val="auto"/>
          <w:sz w:val="24"/>
          <w:szCs w:val="24"/>
        </w:rPr>
        <w:fldChar w:fldCharType="end"/>
      </w:r>
    </w:p>
    <w:p>
      <w:pPr>
        <w:widowControl w:val="0"/>
        <w:spacing w:after="0" w:line="560" w:lineRule="exact"/>
        <w:ind w:left="0" w:firstLine="480" w:firstLineChars="200"/>
        <w:rPr>
          <w:rFonts w:cs="Calibri"/>
          <w:color w:val="auto"/>
          <w:szCs w:val="24"/>
        </w:rPr>
      </w:pPr>
    </w:p>
    <w:p>
      <w:pPr>
        <w:widowControl w:val="0"/>
        <w:spacing w:after="0" w:line="560" w:lineRule="exact"/>
        <w:ind w:left="0" w:firstLine="480" w:firstLineChars="200"/>
        <w:rPr>
          <w:rFonts w:cs="Calibri"/>
          <w:color w:val="auto"/>
          <w:szCs w:val="24"/>
        </w:rPr>
        <w:sectPr>
          <w:pgSz w:w="11910" w:h="16840"/>
          <w:pgMar w:top="1361" w:right="1701" w:bottom="1361" w:left="1701" w:header="1021" w:footer="953" w:gutter="0"/>
          <w:pgNumType w:fmt="upperRoman" w:start="1"/>
          <w:cols w:space="720" w:num="1"/>
        </w:sectPr>
      </w:pPr>
    </w:p>
    <w:p>
      <w:pPr>
        <w:widowControl w:val="0"/>
        <w:spacing w:after="0" w:line="360" w:lineRule="auto"/>
        <w:ind w:left="0" w:firstLine="0"/>
        <w:jc w:val="center"/>
        <w:outlineLvl w:val="0"/>
        <w:rPr>
          <w:rFonts w:cs="Calibri" w:asciiTheme="minorEastAsia" w:hAnsiTheme="minorEastAsia" w:eastAsiaTheme="minorEastAsia"/>
          <w:b/>
          <w:color w:val="auto"/>
          <w:sz w:val="36"/>
          <w:szCs w:val="24"/>
        </w:rPr>
      </w:pPr>
      <w:bookmarkStart w:id="10" w:name="_Toc80301745"/>
      <w:r>
        <w:rPr>
          <w:rFonts w:hint="eastAsia" w:cs="Calibri" w:asciiTheme="minorEastAsia" w:hAnsiTheme="minorEastAsia" w:eastAsiaTheme="minorEastAsia"/>
          <w:b/>
          <w:color w:val="auto"/>
          <w:sz w:val="32"/>
          <w:szCs w:val="24"/>
        </w:rPr>
        <w:t>第一章 概述</w:t>
      </w:r>
      <w:bookmarkEnd w:id="10"/>
    </w:p>
    <w:p>
      <w:pPr>
        <w:widowControl w:val="0"/>
        <w:spacing w:beforeLines="50" w:afterLines="50" w:line="560" w:lineRule="exact"/>
        <w:ind w:left="0" w:hanging="11"/>
        <w:outlineLvl w:val="1"/>
        <w:rPr>
          <w:rFonts w:cs="Calibri" w:asciiTheme="minorEastAsia" w:hAnsiTheme="minorEastAsia" w:eastAsiaTheme="minorEastAsia"/>
          <w:b/>
          <w:color w:val="auto"/>
          <w:sz w:val="28"/>
          <w:szCs w:val="24"/>
        </w:rPr>
      </w:pPr>
      <w:bookmarkStart w:id="11" w:name="_Toc80301746"/>
      <w:r>
        <w:rPr>
          <w:rFonts w:hint="eastAsia" w:cs="Calibri" w:asciiTheme="minorEastAsia" w:hAnsiTheme="minorEastAsia" w:eastAsiaTheme="minorEastAsia"/>
          <w:b/>
          <w:color w:val="auto"/>
          <w:sz w:val="28"/>
          <w:szCs w:val="24"/>
        </w:rPr>
        <w:t>1.1目标</w:t>
      </w:r>
      <w:bookmarkEnd w:id="11"/>
    </w:p>
    <w:p>
      <w:pPr>
        <w:widowControl w:val="0"/>
        <w:spacing w:after="0" w:line="560" w:lineRule="exact"/>
        <w:ind w:left="0" w:firstLine="472" w:firstLineChars="200"/>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为有效提升事故预防工作的科学化、信息化、标准化水平，切实增强安全生产整体防控能力，进一步夯实遏制重特大事故的行业基础，真正实现把风险控制在隐患形成之前，把隐患消灭在事故前面。依据《中华人民共和国安全生产法》、《河北省安全生产条例》、《公路水路行业安全生产风险管理暂行办法》、《公路水路行业安全生产事故隐患治理暂行办法》等相关规定，结合中电建冀交高投公司所辖高速公路实际，制定本手册。</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通过建立健全安全风险分级管控和隐患排查治理双重预防控制工作制度和标准规范</w:t>
      </w:r>
      <w:r>
        <w:rPr>
          <w:rFonts w:cs="Calibri" w:asciiTheme="minorEastAsia" w:hAnsiTheme="minorEastAsia" w:eastAsiaTheme="minorEastAsia"/>
          <w:color w:val="auto"/>
          <w:szCs w:val="24"/>
        </w:rPr>
        <w:t>,落实完善安全风险辨识、评估、分级、管控和事故隐患排查、上报、整治、销账等各环节的工作责任和管理措施</w:t>
      </w:r>
      <w:r>
        <w:rPr>
          <w:rFonts w:hint="eastAsia" w:cs="Calibri" w:asciiTheme="minorEastAsia" w:hAnsiTheme="minorEastAsia" w:eastAsiaTheme="minorEastAsia"/>
          <w:color w:val="auto"/>
          <w:szCs w:val="24"/>
        </w:rPr>
        <w:t>。</w:t>
      </w:r>
      <w:r>
        <w:rPr>
          <w:rFonts w:cs="Calibri" w:asciiTheme="minorEastAsia" w:hAnsiTheme="minorEastAsia" w:eastAsiaTheme="minorEastAsia"/>
          <w:color w:val="auto"/>
          <w:szCs w:val="24"/>
        </w:rPr>
        <w:t>实现</w:t>
      </w:r>
      <w:r>
        <w:rPr>
          <w:rFonts w:hint="eastAsia" w:cs="Calibri" w:asciiTheme="minorEastAsia" w:hAnsiTheme="minorEastAsia" w:eastAsiaTheme="minorEastAsia"/>
          <w:color w:val="auto"/>
          <w:szCs w:val="24"/>
        </w:rPr>
        <w:t>中电建冀交高投公司所辖高速公路运营</w:t>
      </w:r>
      <w:r>
        <w:rPr>
          <w:rFonts w:cs="Calibri" w:asciiTheme="minorEastAsia" w:hAnsiTheme="minorEastAsia" w:eastAsiaTheme="minorEastAsia"/>
          <w:color w:val="auto"/>
          <w:szCs w:val="24"/>
        </w:rPr>
        <w:t>安全风险的自辨自控和事故隐患的自查自治,形成规范完备的“双控”体系与协调联动运行机制。</w:t>
      </w:r>
    </w:p>
    <w:p>
      <w:pPr>
        <w:widowControl w:val="0"/>
        <w:spacing w:beforeLines="50" w:afterLines="50" w:line="560" w:lineRule="exact"/>
        <w:ind w:left="0" w:hanging="11"/>
        <w:outlineLvl w:val="1"/>
        <w:rPr>
          <w:rFonts w:cs="Calibri" w:asciiTheme="minorEastAsia" w:hAnsiTheme="minorEastAsia" w:eastAsiaTheme="minorEastAsia"/>
          <w:b/>
          <w:color w:val="auto"/>
          <w:sz w:val="28"/>
          <w:szCs w:val="24"/>
        </w:rPr>
      </w:pPr>
      <w:bookmarkStart w:id="12" w:name="_Toc80301747"/>
      <w:r>
        <w:rPr>
          <w:rFonts w:hint="eastAsia" w:cs="Calibri" w:asciiTheme="minorEastAsia" w:hAnsiTheme="minorEastAsia" w:eastAsiaTheme="minorEastAsia"/>
          <w:b/>
          <w:color w:val="auto"/>
          <w:sz w:val="28"/>
          <w:szCs w:val="24"/>
        </w:rPr>
        <w:t>1.2依据</w:t>
      </w:r>
      <w:bookmarkEnd w:id="12"/>
    </w:p>
    <w:p>
      <w:pPr>
        <w:widowControl w:val="0"/>
        <w:spacing w:after="0" w:line="560" w:lineRule="exact"/>
        <w:ind w:left="0" w:firstLine="472" w:firstLineChars="200"/>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（1）</w:t>
      </w:r>
      <w:r>
        <w:rPr>
          <w:rFonts w:cs="Calibri" w:asciiTheme="minorEastAsia" w:hAnsiTheme="minorEastAsia" w:eastAsiaTheme="minorEastAsia"/>
          <w:color w:val="auto"/>
          <w:szCs w:val="24"/>
        </w:rPr>
        <w:t>《中华人民共和国安全生产法》</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（2）</w:t>
      </w:r>
      <w:r>
        <w:rPr>
          <w:rFonts w:cs="Calibri" w:asciiTheme="minorEastAsia" w:hAnsiTheme="minorEastAsia" w:eastAsiaTheme="minorEastAsia"/>
          <w:color w:val="auto"/>
          <w:szCs w:val="24"/>
        </w:rPr>
        <w:t>《河北省安全生产条例》</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（3）</w:t>
      </w:r>
      <w:r>
        <w:rPr>
          <w:rFonts w:cs="Calibri" w:asciiTheme="minorEastAsia" w:hAnsiTheme="minorEastAsia" w:eastAsiaTheme="minorEastAsia"/>
          <w:color w:val="auto"/>
          <w:szCs w:val="24"/>
        </w:rPr>
        <w:t>《公路水运工程安全生产监督管理办法》</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（4）</w:t>
      </w:r>
      <w:r>
        <w:rPr>
          <w:rFonts w:cs="Calibri" w:asciiTheme="minorEastAsia" w:hAnsiTheme="minorEastAsia" w:eastAsiaTheme="minorEastAsia"/>
          <w:color w:val="auto"/>
          <w:szCs w:val="24"/>
        </w:rPr>
        <w:t>《公路水路行业安全生产风险管理暂行办法》</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（5）</w:t>
      </w:r>
      <w:r>
        <w:rPr>
          <w:rFonts w:cs="Calibri" w:asciiTheme="minorEastAsia" w:hAnsiTheme="minorEastAsia" w:eastAsiaTheme="minorEastAsia"/>
          <w:color w:val="auto"/>
          <w:szCs w:val="24"/>
        </w:rPr>
        <w:t>《公路水路行业安全生产事故隐患治理暂行办法》</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（6）</w:t>
      </w:r>
      <w:r>
        <w:rPr>
          <w:rFonts w:cs="Calibri" w:asciiTheme="minorEastAsia" w:hAnsiTheme="minorEastAsia" w:eastAsiaTheme="minorEastAsia"/>
          <w:color w:val="auto"/>
          <w:szCs w:val="24"/>
        </w:rPr>
        <w:t>《安全生产事故隐患排查治理暂行规定》</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（7）</w:t>
      </w:r>
      <w:r>
        <w:rPr>
          <w:rFonts w:cs="Calibri" w:asciiTheme="minorEastAsia" w:hAnsiTheme="minorEastAsia" w:eastAsiaTheme="minorEastAsia"/>
          <w:color w:val="auto"/>
          <w:szCs w:val="24"/>
        </w:rPr>
        <w:t>《河北省安全生产风险管控与隐患治理规定》</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（8）</w:t>
      </w:r>
      <w:r>
        <w:rPr>
          <w:rFonts w:cs="Calibri" w:asciiTheme="minorEastAsia" w:hAnsiTheme="minorEastAsia" w:eastAsiaTheme="minorEastAsia"/>
          <w:color w:val="auto"/>
          <w:szCs w:val="24"/>
        </w:rPr>
        <w:t>《河北省交通运输安全生产风险管理实施办法（试行）》</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（9）</w:t>
      </w:r>
      <w:r>
        <w:rPr>
          <w:rFonts w:cs="Calibri" w:asciiTheme="minorEastAsia" w:hAnsiTheme="minorEastAsia" w:eastAsiaTheme="minorEastAsia"/>
          <w:color w:val="auto"/>
          <w:szCs w:val="24"/>
        </w:rPr>
        <w:t>《河北省交通运输安全生产隐患治理实施办法（试行）》</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（10）</w:t>
      </w:r>
      <w:r>
        <w:rPr>
          <w:rFonts w:cs="Calibri" w:asciiTheme="minorEastAsia" w:hAnsiTheme="minorEastAsia" w:eastAsiaTheme="minorEastAsia"/>
          <w:color w:val="auto"/>
          <w:szCs w:val="24"/>
        </w:rPr>
        <w:t>《企业职工伤亡事故分类》 （GB 6441-1986）</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（11）</w:t>
      </w:r>
      <w:r>
        <w:rPr>
          <w:rFonts w:cs="Calibri" w:asciiTheme="minorEastAsia" w:hAnsiTheme="minorEastAsia" w:eastAsiaTheme="minorEastAsia"/>
          <w:color w:val="auto"/>
          <w:szCs w:val="24"/>
        </w:rPr>
        <w:t>《公路水路行业安全生产风险辨识评估管控基本规范（试行）》</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（12）《河北省公路运营安全生产风险辨识</w:t>
      </w:r>
      <w:r>
        <w:rPr>
          <w:rFonts w:cs="Calibri" w:asciiTheme="minorEastAsia" w:hAnsiTheme="minorEastAsia" w:eastAsiaTheme="minorEastAsia"/>
          <w:color w:val="auto"/>
          <w:szCs w:val="24"/>
        </w:rPr>
        <w:t xml:space="preserve"> 评估标准及管控措施(试行)</w:t>
      </w:r>
      <w:r>
        <w:rPr>
          <w:rFonts w:hint="eastAsia" w:cs="Calibri" w:asciiTheme="minorEastAsia" w:hAnsiTheme="minorEastAsia" w:eastAsiaTheme="minorEastAsia"/>
          <w:color w:val="auto"/>
          <w:szCs w:val="24"/>
        </w:rPr>
        <w:t xml:space="preserve"> 》</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（13）</w:t>
      </w:r>
      <w:r>
        <w:rPr>
          <w:rFonts w:cs="Calibri" w:asciiTheme="minorEastAsia" w:hAnsiTheme="minorEastAsia" w:eastAsiaTheme="minorEastAsia"/>
          <w:color w:val="auto"/>
          <w:szCs w:val="24"/>
        </w:rPr>
        <w:t>《危险化学品重大危险源辨识》（GB 18218-2018）</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（14）</w:t>
      </w:r>
      <w:r>
        <w:rPr>
          <w:rFonts w:cs="Calibri" w:asciiTheme="minorEastAsia" w:hAnsiTheme="minorEastAsia" w:eastAsiaTheme="minorEastAsia"/>
          <w:color w:val="auto"/>
          <w:szCs w:val="24"/>
        </w:rPr>
        <w:t>《生产过程危险和有害因素分类与代码》（GB/T 13861-2009）</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（15）</w:t>
      </w:r>
      <w:r>
        <w:rPr>
          <w:rFonts w:cs="Calibri" w:asciiTheme="minorEastAsia" w:hAnsiTheme="minorEastAsia" w:eastAsiaTheme="minorEastAsia"/>
          <w:color w:val="auto"/>
          <w:szCs w:val="24"/>
        </w:rPr>
        <w:t>《风险管理原则和实施指南》（GB/T 24353-2009）</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（16）《省交通运输厅安委办关于贯彻落实重点领域安全风险辨识管控措施标准的通知》（冀交安委办函〔</w:t>
      </w:r>
      <w:r>
        <w:rPr>
          <w:rFonts w:cs="Calibri" w:asciiTheme="minorEastAsia" w:hAnsiTheme="minorEastAsia" w:eastAsiaTheme="minorEastAsia"/>
          <w:color w:val="auto"/>
          <w:szCs w:val="24"/>
        </w:rPr>
        <w:t>2018〕54号）</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（17）《河北交通投资集团公司关于印发</w:t>
      </w:r>
      <w:r>
        <w:rPr>
          <w:rFonts w:cs="Calibri" w:asciiTheme="minorEastAsia" w:hAnsiTheme="minorEastAsia" w:eastAsiaTheme="minorEastAsia"/>
          <w:color w:val="auto"/>
          <w:szCs w:val="24"/>
        </w:rPr>
        <w:t>&lt;深入推进安全风险分级管控和隐患排查治理双重预防机制建设工作实施方案&gt;的通知》（冀交投基〔2019〕599号）</w:t>
      </w:r>
    </w:p>
    <w:p>
      <w:pPr>
        <w:widowControl w:val="0"/>
        <w:spacing w:beforeLines="50" w:afterLines="50" w:line="560" w:lineRule="exact"/>
        <w:ind w:left="0" w:hanging="11"/>
        <w:outlineLvl w:val="1"/>
        <w:rPr>
          <w:rFonts w:cs="Calibri" w:asciiTheme="minorEastAsia" w:hAnsiTheme="minorEastAsia" w:eastAsiaTheme="minorEastAsia"/>
          <w:b/>
          <w:color w:val="auto"/>
          <w:sz w:val="28"/>
          <w:szCs w:val="24"/>
        </w:rPr>
      </w:pPr>
      <w:bookmarkStart w:id="13" w:name="_Toc80301748"/>
      <w:r>
        <w:rPr>
          <w:rFonts w:hint="eastAsia" w:cs="Calibri" w:asciiTheme="minorEastAsia" w:hAnsiTheme="minorEastAsia" w:eastAsiaTheme="minorEastAsia"/>
          <w:b/>
          <w:color w:val="auto"/>
          <w:sz w:val="28"/>
          <w:szCs w:val="24"/>
        </w:rPr>
        <w:t>1.3</w:t>
      </w:r>
      <w:bookmarkEnd w:id="13"/>
      <w:r>
        <w:rPr>
          <w:rFonts w:hint="eastAsia" w:cs="Calibri" w:asciiTheme="minorEastAsia" w:hAnsiTheme="minorEastAsia" w:eastAsiaTheme="minorEastAsia"/>
          <w:b/>
          <w:color w:val="auto"/>
          <w:sz w:val="28"/>
          <w:szCs w:val="24"/>
        </w:rPr>
        <w:t>组织机构及职责</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cs="Calibri" w:asciiTheme="minorEastAsia" w:hAnsiTheme="minorEastAsia" w:eastAsiaTheme="minorEastAsia"/>
          <w:color w:val="auto"/>
          <w:szCs w:val="24"/>
        </w:rPr>
        <w:t>按照</w:t>
      </w:r>
      <w:r>
        <w:rPr>
          <w:rFonts w:hint="eastAsia" w:cs="Calibri" w:asciiTheme="minorEastAsia" w:hAnsiTheme="minorEastAsia" w:eastAsiaTheme="minorEastAsia"/>
          <w:color w:val="auto"/>
          <w:szCs w:val="24"/>
        </w:rPr>
        <w:t>中电建冀交高投公司</w:t>
      </w:r>
      <w:r>
        <w:rPr>
          <w:rFonts w:cs="Calibri" w:asciiTheme="minorEastAsia" w:hAnsiTheme="minorEastAsia" w:eastAsiaTheme="minorEastAsia"/>
          <w:color w:val="auto"/>
          <w:szCs w:val="24"/>
        </w:rPr>
        <w:t>组织架构</w:t>
      </w:r>
      <w:r>
        <w:rPr>
          <w:rFonts w:hint="eastAsia" w:cs="Calibri" w:asciiTheme="minorEastAsia" w:hAnsiTheme="minorEastAsia" w:eastAsiaTheme="minorEastAsia"/>
          <w:color w:val="auto"/>
          <w:szCs w:val="24"/>
        </w:rPr>
        <w:t>和职责划分，</w:t>
      </w:r>
      <w:r>
        <w:rPr>
          <w:rFonts w:cs="Calibri" w:asciiTheme="minorEastAsia" w:hAnsiTheme="minorEastAsia" w:eastAsiaTheme="minorEastAsia"/>
          <w:color w:val="auto"/>
          <w:szCs w:val="24"/>
        </w:rPr>
        <w:t>公司设置</w:t>
      </w:r>
      <w:r>
        <w:rPr>
          <w:rFonts w:hint="eastAsia" w:cs="Calibri" w:asciiTheme="minorEastAsia" w:hAnsiTheme="minorEastAsia" w:eastAsiaTheme="minorEastAsia"/>
          <w:color w:val="auto"/>
          <w:szCs w:val="24"/>
        </w:rPr>
        <w:t>运营管理</w:t>
      </w:r>
      <w:r>
        <w:rPr>
          <w:rFonts w:cs="Calibri" w:asciiTheme="minorEastAsia" w:hAnsiTheme="minorEastAsia" w:eastAsiaTheme="minorEastAsia"/>
          <w:color w:val="auto"/>
          <w:szCs w:val="24"/>
        </w:rPr>
        <w:t>部</w:t>
      </w:r>
      <w:r>
        <w:rPr>
          <w:rFonts w:hint="eastAsia" w:cs="Calibri" w:asciiTheme="minorEastAsia" w:hAnsiTheme="minorEastAsia" w:eastAsiaTheme="minorEastAsia"/>
          <w:color w:val="auto"/>
          <w:szCs w:val="24"/>
        </w:rPr>
        <w:t>负责收费业务安全管理职责，收费站负责本站收费、票证等业务安全及本站区内安全管理职责。</w:t>
      </w:r>
    </w:p>
    <w:p>
      <w:pPr>
        <w:widowControl w:val="0"/>
        <w:spacing w:after="0" w:line="560" w:lineRule="exact"/>
        <w:ind w:left="0" w:firstLine="472" w:firstLineChars="200"/>
        <w:rPr>
          <w:rFonts w:cs="Calibri" w:asciiTheme="minorEastAsia" w:hAnsiTheme="minorEastAsia" w:eastAsiaTheme="minorEastAsia"/>
          <w:b/>
          <w:color w:val="auto"/>
          <w:szCs w:val="24"/>
        </w:rPr>
      </w:pPr>
      <w:r>
        <w:rPr>
          <w:rFonts w:hint="eastAsia" w:cs="Calibri" w:asciiTheme="minorEastAsia" w:hAnsiTheme="minorEastAsia" w:eastAsiaTheme="minorEastAsia"/>
          <w:b/>
          <w:color w:val="auto"/>
          <w:szCs w:val="24"/>
        </w:rPr>
        <w:t>1</w:t>
      </w:r>
      <w:r>
        <w:rPr>
          <w:rFonts w:cs="Calibri" w:asciiTheme="minorEastAsia" w:hAnsiTheme="minorEastAsia" w:eastAsiaTheme="minorEastAsia"/>
          <w:b/>
          <w:color w:val="auto"/>
          <w:szCs w:val="24"/>
        </w:rPr>
        <w:t>.3.1</w:t>
      </w:r>
      <w:r>
        <w:rPr>
          <w:rFonts w:hint="eastAsia" w:cs="Calibri" w:asciiTheme="minorEastAsia" w:hAnsiTheme="minorEastAsia" w:eastAsiaTheme="minorEastAsia"/>
          <w:b/>
          <w:color w:val="auto"/>
          <w:szCs w:val="24"/>
        </w:rPr>
        <w:t>运营管理部</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cs="Calibri" w:asciiTheme="minorEastAsia" w:hAnsiTheme="minorEastAsia" w:eastAsiaTheme="minorEastAsia"/>
          <w:color w:val="auto"/>
          <w:szCs w:val="24"/>
        </w:rPr>
        <w:t>1）认真贯彻执行国家及上级部门有关安全生产工作的方针、政策、法律、法规以及公司的安全生产规章制度，按“管业务必须管安全”的原则，履行好本部门主管业务范围内的安全生产工作职责。</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cs="Calibri" w:asciiTheme="minorEastAsia" w:hAnsiTheme="minorEastAsia" w:eastAsiaTheme="minorEastAsia"/>
          <w:color w:val="auto"/>
          <w:szCs w:val="24"/>
        </w:rPr>
        <w:t>2）承担运营管理专业安委会日常管理工作，督促、协调相关部室、单位落实专业安委会工作决定和部署。</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cs="Calibri" w:asciiTheme="minorEastAsia" w:hAnsiTheme="minorEastAsia" w:eastAsiaTheme="minorEastAsia"/>
          <w:color w:val="auto"/>
          <w:szCs w:val="24"/>
        </w:rPr>
        <w:t>3）负责机电工程施工安全监督管理工作，贯彻执行项目安全生产设施 “三同时”有关规定。</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cs="Calibri" w:asciiTheme="minorEastAsia" w:hAnsiTheme="minorEastAsia" w:eastAsiaTheme="minorEastAsia"/>
          <w:color w:val="auto"/>
          <w:szCs w:val="24"/>
        </w:rPr>
        <w:t>4）负责收费运营、机电管理、稽查监控安全管理规定、设备设施安全操作规程、专项应急预案（通行保畅、交通事故等）的制定。</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cs="Calibri" w:asciiTheme="minorEastAsia" w:hAnsiTheme="minorEastAsia" w:eastAsiaTheme="minorEastAsia"/>
          <w:color w:val="auto"/>
          <w:szCs w:val="24"/>
        </w:rPr>
        <w:t>5）指导监督收费站、指挥调度分中心落实收费运营、通行保畅、机电维护管理、稽查监控等作业安全管理。</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cs="Calibri" w:asciiTheme="minorEastAsia" w:hAnsiTheme="minorEastAsia" w:eastAsiaTheme="minorEastAsia"/>
          <w:color w:val="auto"/>
          <w:szCs w:val="24"/>
        </w:rPr>
        <w:t>6）会同相关部门、单位起草收费运营、机电养护等合同中安全管理目标、安全生产职责、安全生产条件等，并监督落实。</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cs="Calibri" w:asciiTheme="minorEastAsia" w:hAnsiTheme="minorEastAsia" w:eastAsiaTheme="minorEastAsia"/>
          <w:color w:val="auto"/>
          <w:szCs w:val="24"/>
        </w:rPr>
        <w:t>7）</w:t>
      </w:r>
      <w:r>
        <w:rPr>
          <w:rFonts w:hint="eastAsia" w:cs="Calibri" w:asciiTheme="minorEastAsia" w:hAnsiTheme="minorEastAsia" w:eastAsiaTheme="minorEastAsia"/>
          <w:color w:val="auto"/>
          <w:szCs w:val="24"/>
          <w:lang w:eastAsia="zh-CN"/>
        </w:rPr>
        <w:t>协调</w:t>
      </w:r>
      <w:r>
        <w:rPr>
          <w:rFonts w:cs="Calibri" w:asciiTheme="minorEastAsia" w:hAnsiTheme="minorEastAsia" w:eastAsiaTheme="minorEastAsia"/>
          <w:color w:val="auto"/>
          <w:szCs w:val="24"/>
        </w:rPr>
        <w:t>组织或指导监督共享员工、相关方入场前安全协议签订、安全技术交底，指导监督日常安全教育培训落实。</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cs="Calibri" w:asciiTheme="minorEastAsia" w:hAnsiTheme="minorEastAsia" w:eastAsiaTheme="minorEastAsia"/>
          <w:color w:val="auto"/>
          <w:szCs w:val="24"/>
        </w:rPr>
        <w:t>8）定期组织开展专项安全检查，及时排查并督促隐患整改，指导督促相关单位落实公司安全管理规定。</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cs="Calibri" w:asciiTheme="minorEastAsia" w:hAnsiTheme="minorEastAsia" w:eastAsiaTheme="minorEastAsia"/>
          <w:color w:val="auto"/>
          <w:szCs w:val="24"/>
        </w:rPr>
        <w:t>9）组织开展主管业务范围内的风险辨识评估活动，按职责做好风险管控措施。</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cs="Calibri" w:asciiTheme="minorEastAsia" w:hAnsiTheme="minorEastAsia" w:eastAsiaTheme="minorEastAsia"/>
          <w:color w:val="auto"/>
          <w:szCs w:val="24"/>
        </w:rPr>
        <w:t>10）组织或参与收费运营、机电管理、稽查监控等业务的安全生产教育、培训、演练、安全生产竞赛活动，如实记录安全生产教育和培训情况，对安全生产工作中的先进典型提出表彰建议。</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cs="Calibri" w:asciiTheme="minorEastAsia" w:hAnsiTheme="minorEastAsia" w:eastAsiaTheme="minorEastAsia"/>
          <w:color w:val="auto"/>
          <w:szCs w:val="24"/>
        </w:rPr>
        <w:t>11）按计划组织或参与应急演练，突发事件发生后，按职责参与应急救援工作。</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cs="Calibri" w:asciiTheme="minorEastAsia" w:hAnsiTheme="minorEastAsia" w:eastAsiaTheme="minorEastAsia"/>
          <w:color w:val="auto"/>
          <w:szCs w:val="24"/>
        </w:rPr>
        <w:t>12）负责部门办公场所和人员的安全。</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cs="Calibri" w:asciiTheme="minorEastAsia" w:hAnsiTheme="minorEastAsia" w:eastAsiaTheme="minorEastAsia"/>
          <w:color w:val="auto"/>
          <w:szCs w:val="24"/>
        </w:rPr>
        <w:t>13）完成运营管理部职责范围内的其他安全生产工作。</w:t>
      </w:r>
    </w:p>
    <w:p>
      <w:pPr>
        <w:widowControl w:val="0"/>
        <w:spacing w:after="0" w:line="560" w:lineRule="exact"/>
        <w:ind w:left="0" w:firstLine="472" w:firstLineChars="200"/>
        <w:rPr>
          <w:rFonts w:cs="Calibri" w:asciiTheme="minorEastAsia" w:hAnsiTheme="minorEastAsia" w:eastAsiaTheme="minorEastAsia"/>
          <w:b/>
          <w:color w:val="auto"/>
          <w:szCs w:val="24"/>
        </w:rPr>
      </w:pPr>
      <w:r>
        <w:rPr>
          <w:rFonts w:hint="eastAsia" w:cs="Calibri" w:asciiTheme="minorEastAsia" w:hAnsiTheme="minorEastAsia" w:eastAsiaTheme="minorEastAsia"/>
          <w:b/>
          <w:color w:val="auto"/>
          <w:szCs w:val="24"/>
        </w:rPr>
        <w:t>1</w:t>
      </w:r>
      <w:r>
        <w:rPr>
          <w:rFonts w:cs="Calibri" w:asciiTheme="minorEastAsia" w:hAnsiTheme="minorEastAsia" w:eastAsiaTheme="minorEastAsia"/>
          <w:b/>
          <w:color w:val="auto"/>
          <w:szCs w:val="24"/>
        </w:rPr>
        <w:t>.3.2</w:t>
      </w:r>
      <w:r>
        <w:rPr>
          <w:rFonts w:hint="eastAsia" w:cs="Calibri" w:asciiTheme="minorEastAsia" w:hAnsiTheme="minorEastAsia" w:eastAsiaTheme="minorEastAsia"/>
          <w:b/>
          <w:color w:val="auto"/>
          <w:szCs w:val="24"/>
        </w:rPr>
        <w:t>收费站</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cs="Calibri" w:asciiTheme="minorEastAsia" w:hAnsiTheme="minorEastAsia" w:eastAsiaTheme="minorEastAsia"/>
          <w:color w:val="auto"/>
          <w:szCs w:val="24"/>
        </w:rPr>
        <w:t>1）</w:t>
      </w:r>
      <w:r>
        <w:rPr>
          <w:rFonts w:hint="eastAsia" w:cs="Calibri" w:asciiTheme="minorEastAsia" w:hAnsiTheme="minorEastAsia" w:eastAsiaTheme="minorEastAsia"/>
          <w:color w:val="auto"/>
          <w:szCs w:val="24"/>
        </w:rPr>
        <w:t>认真贯彻执行国家及上级部门有关安全生产工作的方针、政策、法律、法规以及公司的安全生产规章制度，按“管生产必须管安全”的原则，履行好本单位的安全生产工作职责。</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cs="Calibri" w:asciiTheme="minorEastAsia" w:hAnsiTheme="minorEastAsia" w:eastAsiaTheme="minorEastAsia"/>
          <w:color w:val="auto"/>
          <w:szCs w:val="24"/>
        </w:rPr>
        <w:t>2）负责</w:t>
      </w:r>
      <w:r>
        <w:rPr>
          <w:rFonts w:hint="eastAsia" w:cs="Calibri" w:asciiTheme="minorEastAsia" w:hAnsiTheme="minorEastAsia" w:eastAsiaTheme="minorEastAsia"/>
          <w:color w:val="auto"/>
          <w:szCs w:val="24"/>
        </w:rPr>
        <w:t>本站管辖范围</w:t>
      </w:r>
      <w:r>
        <w:rPr>
          <w:rFonts w:cs="Calibri" w:asciiTheme="minorEastAsia" w:hAnsiTheme="minorEastAsia" w:eastAsiaTheme="minorEastAsia"/>
          <w:color w:val="auto"/>
          <w:szCs w:val="24"/>
        </w:rPr>
        <w:t>内水、电、暖、气、食堂及车辆安全</w:t>
      </w:r>
      <w:r>
        <w:rPr>
          <w:rFonts w:hint="eastAsia" w:cs="Calibri" w:asciiTheme="minorEastAsia" w:hAnsiTheme="minorEastAsia" w:eastAsiaTheme="minorEastAsia"/>
          <w:color w:val="auto"/>
          <w:szCs w:val="24"/>
        </w:rPr>
        <w:t>管理</w:t>
      </w:r>
      <w:r>
        <w:rPr>
          <w:rFonts w:cs="Calibri" w:asciiTheme="minorEastAsia" w:hAnsiTheme="minorEastAsia" w:eastAsiaTheme="minorEastAsia"/>
          <w:color w:val="auto"/>
          <w:szCs w:val="24"/>
        </w:rPr>
        <w:t>等工作</w:t>
      </w:r>
      <w:r>
        <w:rPr>
          <w:rFonts w:hint="eastAsia" w:cs="Calibri" w:asciiTheme="minorEastAsia" w:hAnsiTheme="minorEastAsia" w:eastAsiaTheme="minorEastAsia"/>
          <w:color w:val="auto"/>
          <w:szCs w:val="24"/>
        </w:rPr>
        <w:t>。</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3）负责本站财务票证安全，严格落实公司财务、票证业务内的安全管理制度，保证票、款、卡的安全保管。</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4）负责本站收费、通行保畅等作业期间的安全管理工作，负责本单位内相关方、劳务派遣、共享员工等的日常安全监管。</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5）负责本站机电设备、建构筑物等安全使用、巡查，发现故障或隐患及时处置或上报。</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6）</w:t>
      </w:r>
      <w:r>
        <w:rPr>
          <w:rFonts w:cs="Calibri" w:asciiTheme="minorEastAsia" w:hAnsiTheme="minorEastAsia" w:eastAsiaTheme="minorEastAsia"/>
          <w:color w:val="auto"/>
          <w:szCs w:val="24"/>
        </w:rPr>
        <w:t>组织分解并认真落实本站安全生产工作目标、指标和保障措施。</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cs="Calibri" w:asciiTheme="minorEastAsia" w:hAnsiTheme="minorEastAsia" w:eastAsiaTheme="minorEastAsia"/>
          <w:color w:val="auto"/>
          <w:szCs w:val="24"/>
        </w:rPr>
        <w:t>7</w:t>
      </w:r>
      <w:r>
        <w:rPr>
          <w:rFonts w:hint="eastAsia" w:cs="Calibri" w:asciiTheme="minorEastAsia" w:hAnsiTheme="minorEastAsia" w:eastAsiaTheme="minorEastAsia"/>
          <w:color w:val="auto"/>
          <w:szCs w:val="24"/>
        </w:rPr>
        <w:t>）</w:t>
      </w:r>
      <w:r>
        <w:rPr>
          <w:rFonts w:cs="Calibri" w:asciiTheme="minorEastAsia" w:hAnsiTheme="minorEastAsia" w:eastAsiaTheme="minorEastAsia"/>
          <w:color w:val="auto"/>
          <w:szCs w:val="24"/>
        </w:rPr>
        <w:t>组织或协助起草</w:t>
      </w:r>
      <w:r>
        <w:rPr>
          <w:rFonts w:hint="eastAsia" w:cs="Calibri" w:asciiTheme="minorEastAsia" w:hAnsiTheme="minorEastAsia" w:eastAsiaTheme="minorEastAsia"/>
          <w:color w:val="auto"/>
          <w:szCs w:val="24"/>
        </w:rPr>
        <w:t>收费作业及本站设备设施的安全操作规程、突发事件现场处置方案等。</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cs="Calibri" w:asciiTheme="minorEastAsia" w:hAnsiTheme="minorEastAsia" w:eastAsiaTheme="minorEastAsia"/>
          <w:color w:val="auto"/>
          <w:szCs w:val="24"/>
        </w:rPr>
        <w:t>8</w:t>
      </w:r>
      <w:r>
        <w:rPr>
          <w:rFonts w:hint="eastAsia" w:cs="Calibri" w:asciiTheme="minorEastAsia" w:hAnsiTheme="minorEastAsia" w:eastAsiaTheme="minorEastAsia"/>
          <w:color w:val="auto"/>
          <w:szCs w:val="24"/>
        </w:rPr>
        <w:t>）组织开展本站管辖范围内的风险辨识评估活动，按职责做好风险管控措施。</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cs="Calibri" w:asciiTheme="minorEastAsia" w:hAnsiTheme="minorEastAsia" w:eastAsiaTheme="minorEastAsia"/>
          <w:color w:val="auto"/>
          <w:szCs w:val="24"/>
        </w:rPr>
        <w:t>9</w:t>
      </w:r>
      <w:r>
        <w:rPr>
          <w:rFonts w:hint="eastAsia" w:cs="Calibri" w:asciiTheme="minorEastAsia" w:hAnsiTheme="minorEastAsia" w:eastAsiaTheme="minorEastAsia"/>
          <w:color w:val="auto"/>
          <w:szCs w:val="24"/>
        </w:rPr>
        <w:t>）组织开展本站管辖范围内的隐患排查治理活动，对发现的安全隐患及时组织整改，按规定记录、上报。</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cs="Calibri" w:asciiTheme="minorEastAsia" w:hAnsiTheme="minorEastAsia" w:eastAsiaTheme="minorEastAsia"/>
          <w:color w:val="auto"/>
          <w:szCs w:val="24"/>
        </w:rPr>
        <w:t>10</w:t>
      </w:r>
      <w:r>
        <w:rPr>
          <w:rFonts w:hint="eastAsia" w:cs="Calibri" w:asciiTheme="minorEastAsia" w:hAnsiTheme="minorEastAsia" w:eastAsiaTheme="minorEastAsia"/>
          <w:color w:val="auto"/>
          <w:szCs w:val="24"/>
        </w:rPr>
        <w:t>）按</w:t>
      </w:r>
      <w:r>
        <w:rPr>
          <w:rFonts w:cs="Calibri" w:asciiTheme="minorEastAsia" w:hAnsiTheme="minorEastAsia" w:eastAsiaTheme="minorEastAsia"/>
          <w:color w:val="auto"/>
          <w:szCs w:val="24"/>
        </w:rPr>
        <w:t>规定</w:t>
      </w:r>
      <w:r>
        <w:rPr>
          <w:rFonts w:hint="eastAsia" w:cs="Calibri" w:asciiTheme="minorEastAsia" w:hAnsiTheme="minorEastAsia" w:eastAsiaTheme="minorEastAsia"/>
          <w:color w:val="auto"/>
          <w:szCs w:val="24"/>
        </w:rPr>
        <w:t>组织</w:t>
      </w:r>
      <w:r>
        <w:rPr>
          <w:rFonts w:cs="Calibri" w:asciiTheme="minorEastAsia" w:hAnsiTheme="minorEastAsia" w:eastAsiaTheme="minorEastAsia"/>
          <w:color w:val="auto"/>
          <w:szCs w:val="24"/>
        </w:rPr>
        <w:t>或参与安全教育培训</w:t>
      </w:r>
      <w:r>
        <w:rPr>
          <w:rFonts w:hint="eastAsia" w:cs="Calibri" w:asciiTheme="minorEastAsia" w:hAnsiTheme="minorEastAsia" w:eastAsiaTheme="minorEastAsia"/>
          <w:color w:val="auto"/>
          <w:szCs w:val="24"/>
        </w:rPr>
        <w:t>、应急演练、安全会议、安全活动等，及时上报安全生产信息。</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1</w:t>
      </w:r>
      <w:r>
        <w:rPr>
          <w:rFonts w:cs="Calibri" w:asciiTheme="minorEastAsia" w:hAnsiTheme="minorEastAsia" w:eastAsiaTheme="minorEastAsia"/>
          <w:color w:val="auto"/>
          <w:szCs w:val="24"/>
        </w:rPr>
        <w:t>1</w:t>
      </w:r>
      <w:r>
        <w:rPr>
          <w:rFonts w:hint="eastAsia" w:cs="Calibri" w:asciiTheme="minorEastAsia" w:hAnsiTheme="minorEastAsia" w:eastAsiaTheme="minorEastAsia"/>
          <w:color w:val="auto"/>
          <w:szCs w:val="24"/>
        </w:rPr>
        <w:t>）突发事件发生后，按职责参与应急救援工作。</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cs="Calibri" w:asciiTheme="minorEastAsia" w:hAnsiTheme="minorEastAsia" w:eastAsiaTheme="minorEastAsia"/>
          <w:color w:val="auto"/>
          <w:szCs w:val="24"/>
        </w:rPr>
        <w:t>12</w:t>
      </w:r>
      <w:r>
        <w:rPr>
          <w:rFonts w:hint="eastAsia" w:cs="Calibri" w:asciiTheme="minorEastAsia" w:hAnsiTheme="minorEastAsia" w:eastAsiaTheme="minorEastAsia"/>
          <w:color w:val="auto"/>
          <w:szCs w:val="24"/>
        </w:rPr>
        <w:t>）</w:t>
      </w:r>
      <w:r>
        <w:rPr>
          <w:rFonts w:cs="Calibri" w:asciiTheme="minorEastAsia" w:hAnsiTheme="minorEastAsia" w:eastAsiaTheme="minorEastAsia"/>
          <w:color w:val="auto"/>
          <w:szCs w:val="24"/>
        </w:rPr>
        <w:t>负责本</w:t>
      </w:r>
      <w:r>
        <w:rPr>
          <w:rFonts w:hint="eastAsia" w:cs="Calibri" w:asciiTheme="minorEastAsia" w:hAnsiTheme="minorEastAsia" w:eastAsiaTheme="minorEastAsia"/>
          <w:color w:val="auto"/>
          <w:szCs w:val="24"/>
        </w:rPr>
        <w:t>站</w:t>
      </w:r>
      <w:r>
        <w:rPr>
          <w:rFonts w:cs="Calibri" w:asciiTheme="minorEastAsia" w:hAnsiTheme="minorEastAsia" w:eastAsiaTheme="minorEastAsia"/>
          <w:color w:val="auto"/>
          <w:szCs w:val="24"/>
        </w:rPr>
        <w:t>办公场所和人员的安全</w:t>
      </w:r>
      <w:r>
        <w:rPr>
          <w:rFonts w:hint="eastAsia" w:cs="Calibri" w:asciiTheme="minorEastAsia" w:hAnsiTheme="minorEastAsia" w:eastAsiaTheme="minorEastAsia"/>
          <w:color w:val="auto"/>
          <w:szCs w:val="24"/>
        </w:rPr>
        <w:t>。</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cs="Calibri" w:asciiTheme="minorEastAsia" w:hAnsiTheme="minorEastAsia" w:eastAsiaTheme="minorEastAsia"/>
          <w:color w:val="auto"/>
          <w:szCs w:val="24"/>
        </w:rPr>
        <w:t>13）完成</w:t>
      </w:r>
      <w:r>
        <w:rPr>
          <w:rFonts w:hint="eastAsia" w:cs="Calibri" w:asciiTheme="minorEastAsia" w:hAnsiTheme="minorEastAsia" w:eastAsiaTheme="minorEastAsia"/>
          <w:color w:val="auto"/>
          <w:szCs w:val="24"/>
        </w:rPr>
        <w:t>收费站</w:t>
      </w:r>
      <w:r>
        <w:rPr>
          <w:rFonts w:cs="Calibri" w:asciiTheme="minorEastAsia" w:hAnsiTheme="minorEastAsia" w:eastAsiaTheme="minorEastAsia"/>
          <w:color w:val="auto"/>
          <w:szCs w:val="24"/>
        </w:rPr>
        <w:t>职责范围内的其他安全生产工作。</w:t>
      </w:r>
    </w:p>
    <w:p>
      <w:pPr>
        <w:widowControl w:val="0"/>
        <w:spacing w:after="0" w:line="360" w:lineRule="auto"/>
        <w:ind w:left="0" w:firstLine="552" w:firstLineChars="200"/>
        <w:rPr>
          <w:rFonts w:cs="Calibri" w:asciiTheme="minorEastAsia" w:hAnsiTheme="minorEastAsia" w:eastAsiaTheme="minorEastAsia"/>
          <w:color w:val="auto"/>
          <w:szCs w:val="24"/>
        </w:rPr>
      </w:pPr>
      <w:r>
        <w:rPr>
          <w:rFonts w:hint="eastAsia" w:cs="Calibri" w:asciiTheme="minorEastAsia" w:hAnsiTheme="minorEastAsia" w:eastAsiaTheme="minorEastAsia"/>
          <w:b/>
          <w:color w:val="auto"/>
          <w:sz w:val="28"/>
          <w:szCs w:val="24"/>
        </w:rPr>
        <w:t>1.3.2收费运营双控实施小组</w:t>
      </w:r>
    </w:p>
    <w:p>
      <w:pPr>
        <w:widowControl w:val="0"/>
        <w:spacing w:after="0" w:line="560" w:lineRule="exact"/>
        <w:ind w:left="0" w:firstLine="472" w:firstLineChars="200"/>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为全面贯彻执行《河北省安全生产风险管控与隐患治理规定》及《河北交通投资集团公司关于印发深入推进安全风险分级管控和隐患排查治理双重预防机制建设工作实施方案的通知》，公司成立收费运营专业双控机制建设实施小组。</w:t>
      </w:r>
      <w:r>
        <w:rPr>
          <w:rFonts w:hint="eastAsia" w:cs="Calibri" w:asciiTheme="minorEastAsia" w:hAnsiTheme="minorEastAsia" w:eastAsiaTheme="minorEastAsia"/>
          <w:color w:val="auto"/>
          <w:szCs w:val="24"/>
          <w:lang w:eastAsia="zh-CN"/>
        </w:rPr>
        <w:t>在公司安委会具体指导下，</w:t>
      </w:r>
      <w:r>
        <w:rPr>
          <w:rFonts w:hint="eastAsia" w:cs="Calibri" w:asciiTheme="minorEastAsia" w:hAnsiTheme="minorEastAsia" w:eastAsiaTheme="minorEastAsia"/>
          <w:color w:val="auto"/>
          <w:szCs w:val="24"/>
        </w:rPr>
        <w:t>由收费运营</w:t>
      </w:r>
      <w:r>
        <w:rPr>
          <w:rFonts w:hint="eastAsia" w:cs="Calibri" w:asciiTheme="minorEastAsia" w:hAnsiTheme="minorEastAsia" w:eastAsiaTheme="minorEastAsia"/>
          <w:color w:val="auto"/>
          <w:szCs w:val="24"/>
          <w:lang w:eastAsia="zh-CN"/>
        </w:rPr>
        <w:t>管理部</w:t>
      </w:r>
      <w:r>
        <w:rPr>
          <w:rFonts w:hint="eastAsia" w:cs="Calibri" w:asciiTheme="minorEastAsia" w:hAnsiTheme="minorEastAsia" w:eastAsiaTheme="minorEastAsia"/>
          <w:color w:val="auto"/>
          <w:szCs w:val="24"/>
        </w:rPr>
        <w:t>牵头，负责“双控”机制建设工作，开展“双控”教育培训，编制风险分布图，制定风险管控措施，建立健全风险分级管控清单、事故隐患排查清单和隐患治理信息台账，制定隐患整改方案。</w:t>
      </w:r>
    </w:p>
    <w:p>
      <w:pPr>
        <w:widowControl w:val="0"/>
        <w:spacing w:after="0" w:line="360" w:lineRule="auto"/>
        <w:ind w:left="0" w:firstLine="0"/>
        <w:jc w:val="center"/>
        <w:outlineLvl w:val="0"/>
        <w:rPr>
          <w:rFonts w:cs="微软雅黑" w:asciiTheme="minorEastAsia" w:hAnsiTheme="minorEastAsia" w:eastAsiaTheme="minorEastAsia"/>
          <w:b/>
          <w:color w:val="auto"/>
          <w:sz w:val="28"/>
          <w:szCs w:val="28"/>
        </w:rPr>
      </w:pPr>
      <w:r>
        <w:rPr>
          <w:rFonts w:cs="微软雅黑" w:asciiTheme="minorEastAsia" w:hAnsiTheme="minorEastAsia" w:eastAsiaTheme="minorEastAsia"/>
          <w:b/>
          <w:color w:val="auto"/>
          <w:sz w:val="28"/>
          <w:szCs w:val="28"/>
        </w:rPr>
        <w:br w:type="page"/>
      </w:r>
      <w:bookmarkStart w:id="14" w:name="_Toc7522666"/>
      <w:bookmarkStart w:id="15" w:name="_Toc2179401"/>
    </w:p>
    <w:p>
      <w:pPr>
        <w:widowControl w:val="0"/>
        <w:spacing w:after="0" w:line="360" w:lineRule="auto"/>
        <w:ind w:left="0" w:firstLine="0"/>
        <w:jc w:val="center"/>
        <w:outlineLvl w:val="0"/>
        <w:rPr>
          <w:rFonts w:cs="Calibri" w:asciiTheme="minorEastAsia" w:hAnsiTheme="minorEastAsia" w:eastAsiaTheme="minorEastAsia"/>
          <w:b/>
          <w:color w:val="auto"/>
          <w:sz w:val="36"/>
          <w:szCs w:val="24"/>
        </w:rPr>
      </w:pPr>
      <w:bookmarkStart w:id="16" w:name="_Toc80301749"/>
      <w:r>
        <w:rPr>
          <w:rFonts w:hint="eastAsia" w:cs="Calibri" w:asciiTheme="minorEastAsia" w:hAnsiTheme="minorEastAsia" w:eastAsiaTheme="minorEastAsia"/>
          <w:b/>
          <w:color w:val="auto"/>
          <w:sz w:val="32"/>
          <w:szCs w:val="24"/>
        </w:rPr>
        <w:t>第二章 风险分级管控</w:t>
      </w:r>
      <w:bookmarkEnd w:id="16"/>
    </w:p>
    <w:p>
      <w:pPr>
        <w:widowControl w:val="0"/>
        <w:spacing w:beforeLines="50" w:afterLines="50" w:line="560" w:lineRule="exact"/>
        <w:ind w:left="0" w:hanging="11"/>
        <w:outlineLvl w:val="1"/>
        <w:rPr>
          <w:rFonts w:cs="Calibri" w:asciiTheme="minorEastAsia" w:hAnsiTheme="minorEastAsia" w:eastAsiaTheme="minorEastAsia"/>
          <w:b/>
          <w:color w:val="auto"/>
          <w:sz w:val="28"/>
          <w:szCs w:val="24"/>
        </w:rPr>
      </w:pPr>
      <w:bookmarkStart w:id="17" w:name="_Toc80301750"/>
      <w:r>
        <w:rPr>
          <w:rFonts w:hint="eastAsia" w:cs="Calibri" w:asciiTheme="minorEastAsia" w:hAnsiTheme="minorEastAsia" w:eastAsiaTheme="minorEastAsia"/>
          <w:b/>
          <w:color w:val="auto"/>
          <w:sz w:val="28"/>
          <w:szCs w:val="24"/>
        </w:rPr>
        <w:t>2.1风险分级管控清单</w:t>
      </w:r>
      <w:bookmarkEnd w:id="17"/>
    </w:p>
    <w:p>
      <w:pPr>
        <w:widowControl w:val="0"/>
        <w:spacing w:after="0" w:line="560" w:lineRule="exact"/>
        <w:ind w:left="0" w:firstLine="472" w:firstLineChars="200"/>
        <w:rPr>
          <w:rFonts w:cs="Calibri" w:asciiTheme="minorEastAsia" w:hAnsiTheme="minorEastAsia" w:eastAsiaTheme="minorEastAsia"/>
          <w:b/>
          <w:color w:val="auto"/>
          <w:szCs w:val="24"/>
        </w:rPr>
        <w:sectPr>
          <w:headerReference r:id="rId5" w:type="default"/>
          <w:footerReference r:id="rId6" w:type="default"/>
          <w:pgSz w:w="11906" w:h="16838"/>
          <w:pgMar w:top="1985" w:right="1531" w:bottom="1985" w:left="1531" w:header="1361" w:footer="1531" w:gutter="0"/>
          <w:pgNumType w:start="1"/>
          <w:cols w:space="720" w:num="1"/>
          <w:docGrid w:type="linesAndChars" w:linePitch="584" w:charSpace="-849"/>
        </w:sectPr>
      </w:pPr>
      <w:r>
        <w:rPr>
          <w:rFonts w:hint="eastAsia" w:cs="Calibri" w:asciiTheme="minorEastAsia" w:hAnsiTheme="minorEastAsia" w:eastAsiaTheme="minorEastAsia"/>
          <w:color w:val="auto"/>
          <w:szCs w:val="24"/>
        </w:rPr>
        <w:t>按照《公路水路行业安全生产风险辨识评估管控基本规范（试行）》，对中电建冀交高速各收费站进行风险辨识评估，形成风险分级管控清单如下表所示：</w:t>
      </w:r>
    </w:p>
    <w:p>
      <w:pPr>
        <w:widowControl w:val="0"/>
        <w:tabs>
          <w:tab w:val="left" w:pos="2832"/>
        </w:tabs>
        <w:spacing w:after="0" w:line="560" w:lineRule="exact"/>
        <w:ind w:left="0" w:firstLine="442" w:firstLineChars="200"/>
        <w:jc w:val="center"/>
        <w:rPr>
          <w:rFonts w:cs="Calibri" w:asciiTheme="minorEastAsia" w:hAnsiTheme="minorEastAsia" w:eastAsiaTheme="minorEastAsia"/>
          <w:b/>
          <w:color w:val="auto"/>
          <w:sz w:val="22"/>
          <w:szCs w:val="24"/>
        </w:rPr>
      </w:pPr>
      <w:r>
        <w:rPr>
          <w:rFonts w:hint="eastAsia" w:cs="Calibri" w:asciiTheme="minorEastAsia" w:hAnsiTheme="minorEastAsia" w:eastAsiaTheme="minorEastAsia"/>
          <w:b/>
          <w:color w:val="auto"/>
          <w:sz w:val="22"/>
          <w:szCs w:val="24"/>
        </w:rPr>
        <w:t>表2-</w:t>
      </w:r>
      <w:r>
        <w:rPr>
          <w:rFonts w:cs="Calibri" w:asciiTheme="minorEastAsia" w:hAnsiTheme="minorEastAsia" w:eastAsiaTheme="minorEastAsia"/>
          <w:b/>
          <w:color w:val="auto"/>
          <w:sz w:val="22"/>
          <w:szCs w:val="24"/>
        </w:rPr>
        <w:t>1</w:t>
      </w:r>
      <w:r>
        <w:rPr>
          <w:rFonts w:hint="eastAsia" w:cs="Calibri" w:asciiTheme="minorEastAsia" w:hAnsiTheme="minorEastAsia" w:eastAsiaTheme="minorEastAsia"/>
          <w:b/>
          <w:color w:val="auto"/>
          <w:sz w:val="22"/>
          <w:szCs w:val="24"/>
        </w:rPr>
        <w:t>收费站风险分级管控清单</w:t>
      </w:r>
    </w:p>
    <w:tbl>
      <w:tblPr>
        <w:tblStyle w:val="30"/>
        <w:tblW w:w="5000" w:type="pct"/>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550"/>
        <w:gridCol w:w="518"/>
        <w:gridCol w:w="588"/>
        <w:gridCol w:w="827"/>
        <w:gridCol w:w="2841"/>
        <w:gridCol w:w="406"/>
        <w:gridCol w:w="439"/>
        <w:gridCol w:w="697"/>
        <w:gridCol w:w="585"/>
        <w:gridCol w:w="6136"/>
        <w:gridCol w:w="778"/>
        <w:gridCol w:w="778"/>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000000" w:fill="F2F2F2"/>
            <w:vAlign w:val="center"/>
          </w:tcPr>
          <w:p>
            <w:pPr>
              <w:spacing w:after="0" w:line="320" w:lineRule="exact"/>
              <w:ind w:left="0" w:firstLine="0"/>
              <w:jc w:val="center"/>
              <w:rPr>
                <w:rFonts w:ascii="宋体" w:hAnsi="宋体" w:eastAsia="宋体" w:cs="宋体"/>
                <w:b/>
                <w:bCs/>
                <w:color w:val="auto"/>
                <w:kern w:val="0"/>
                <w:sz w:val="18"/>
                <w:szCs w:val="18"/>
              </w:rPr>
            </w:pPr>
            <w:r>
              <w:rPr>
                <w:rFonts w:hint="eastAsia" w:ascii="宋体" w:hAnsi="宋体" w:eastAsia="宋体" w:cs="宋体"/>
                <w:b/>
                <w:bCs/>
                <w:color w:val="auto"/>
                <w:kern w:val="0"/>
                <w:sz w:val="18"/>
                <w:szCs w:val="18"/>
              </w:rPr>
              <w:t>序号</w:t>
            </w:r>
          </w:p>
        </w:tc>
        <w:tc>
          <w:tcPr>
            <w:tcW w:w="365" w:type="pct"/>
            <w:gridSpan w:val="2"/>
            <w:shd w:val="clear" w:color="000000" w:fill="F2F2F2"/>
            <w:vAlign w:val="center"/>
          </w:tcPr>
          <w:p>
            <w:pPr>
              <w:spacing w:after="0" w:line="320" w:lineRule="exact"/>
              <w:ind w:left="0" w:firstLine="0"/>
              <w:jc w:val="center"/>
              <w:rPr>
                <w:rFonts w:ascii="宋体" w:hAnsi="宋体" w:eastAsia="宋体" w:cs="宋体"/>
                <w:b/>
                <w:bCs/>
                <w:color w:val="auto"/>
                <w:kern w:val="0"/>
                <w:sz w:val="18"/>
                <w:szCs w:val="18"/>
              </w:rPr>
            </w:pPr>
            <w:r>
              <w:rPr>
                <w:rFonts w:hint="eastAsia" w:ascii="宋体" w:hAnsi="宋体" w:eastAsia="宋体" w:cs="宋体"/>
                <w:b/>
                <w:bCs/>
                <w:color w:val="auto"/>
                <w:kern w:val="0"/>
                <w:sz w:val="18"/>
                <w:szCs w:val="18"/>
              </w:rPr>
              <w:t>风险点</w:t>
            </w:r>
            <w:r>
              <w:rPr>
                <w:rFonts w:ascii="Times New Roman" w:hAnsi="Times New Roman" w:eastAsia="宋体" w:cs="Times New Roman"/>
                <w:b/>
                <w:bCs/>
                <w:color w:val="auto"/>
                <w:kern w:val="0"/>
                <w:sz w:val="18"/>
                <w:szCs w:val="18"/>
              </w:rPr>
              <w:t>/</w:t>
            </w:r>
            <w:r>
              <w:rPr>
                <w:rFonts w:hint="eastAsia" w:ascii="宋体" w:hAnsi="宋体" w:eastAsia="宋体" w:cs="宋体"/>
                <w:b/>
                <w:bCs/>
                <w:color w:val="auto"/>
                <w:kern w:val="0"/>
                <w:sz w:val="18"/>
                <w:szCs w:val="18"/>
              </w:rPr>
              <w:t>风险源</w:t>
            </w:r>
          </w:p>
        </w:tc>
        <w:tc>
          <w:tcPr>
            <w:tcW w:w="273" w:type="pct"/>
            <w:shd w:val="clear" w:color="000000" w:fill="F2F2F2"/>
            <w:vAlign w:val="center"/>
          </w:tcPr>
          <w:p>
            <w:pPr>
              <w:spacing w:after="0" w:line="320" w:lineRule="exact"/>
              <w:ind w:left="0" w:firstLine="0"/>
              <w:jc w:val="center"/>
              <w:rPr>
                <w:rFonts w:ascii="宋体" w:hAnsi="宋体" w:eastAsia="宋体" w:cs="宋体"/>
                <w:b/>
                <w:bCs/>
                <w:color w:val="auto"/>
                <w:kern w:val="0"/>
                <w:sz w:val="18"/>
                <w:szCs w:val="18"/>
              </w:rPr>
            </w:pPr>
            <w:r>
              <w:rPr>
                <w:rFonts w:hint="eastAsia" w:ascii="宋体" w:hAnsi="宋体" w:eastAsia="宋体" w:cs="宋体"/>
                <w:b/>
                <w:bCs/>
                <w:color w:val="auto"/>
                <w:kern w:val="0"/>
                <w:sz w:val="18"/>
                <w:szCs w:val="18"/>
              </w:rPr>
              <w:t>风险类型</w:t>
            </w:r>
            <w:r>
              <w:rPr>
                <w:rFonts w:ascii="Times New Roman" w:hAnsi="Times New Roman" w:eastAsia="宋体" w:cs="Times New Roman"/>
                <w:b/>
                <w:bCs/>
                <w:color w:val="auto"/>
                <w:kern w:val="0"/>
                <w:sz w:val="18"/>
                <w:szCs w:val="18"/>
              </w:rPr>
              <w:t xml:space="preserve"> </w:t>
            </w:r>
          </w:p>
        </w:tc>
        <w:tc>
          <w:tcPr>
            <w:tcW w:w="938" w:type="pct"/>
            <w:shd w:val="clear" w:color="000000" w:fill="F2F2F2"/>
            <w:vAlign w:val="center"/>
          </w:tcPr>
          <w:p>
            <w:pPr>
              <w:spacing w:after="0" w:line="320" w:lineRule="exact"/>
              <w:ind w:left="0" w:firstLine="0"/>
              <w:jc w:val="center"/>
              <w:rPr>
                <w:rFonts w:ascii="宋体" w:hAnsi="宋体" w:eastAsia="宋体" w:cs="宋体"/>
                <w:b/>
                <w:bCs/>
                <w:color w:val="auto"/>
                <w:kern w:val="0"/>
                <w:sz w:val="18"/>
                <w:szCs w:val="18"/>
              </w:rPr>
            </w:pPr>
            <w:r>
              <w:rPr>
                <w:rFonts w:hint="eastAsia" w:ascii="宋体" w:hAnsi="宋体" w:eastAsia="宋体" w:cs="宋体"/>
                <w:b/>
                <w:bCs/>
                <w:color w:val="auto"/>
                <w:kern w:val="0"/>
                <w:sz w:val="18"/>
                <w:szCs w:val="18"/>
              </w:rPr>
              <w:t>致险因素分析</w:t>
            </w:r>
          </w:p>
        </w:tc>
        <w:tc>
          <w:tcPr>
            <w:tcW w:w="134" w:type="pct"/>
            <w:shd w:val="clear" w:color="000000" w:fill="F2F2F2"/>
            <w:vAlign w:val="center"/>
          </w:tcPr>
          <w:p>
            <w:pPr>
              <w:spacing w:after="0" w:line="320" w:lineRule="exact"/>
              <w:ind w:left="0" w:firstLine="0"/>
              <w:jc w:val="center"/>
              <w:rPr>
                <w:rFonts w:ascii="宋体" w:hAnsi="宋体" w:eastAsia="宋体" w:cs="宋体"/>
                <w:b/>
                <w:bCs/>
                <w:color w:val="auto"/>
                <w:kern w:val="0"/>
                <w:sz w:val="18"/>
                <w:szCs w:val="18"/>
              </w:rPr>
            </w:pPr>
            <w:r>
              <w:rPr>
                <w:rFonts w:hint="eastAsia" w:ascii="宋体" w:hAnsi="宋体" w:eastAsia="宋体" w:cs="宋体"/>
                <w:b/>
                <w:bCs/>
                <w:color w:val="auto"/>
                <w:kern w:val="0"/>
                <w:sz w:val="18"/>
                <w:szCs w:val="18"/>
              </w:rPr>
              <w:t>可能性</w:t>
            </w:r>
          </w:p>
        </w:tc>
        <w:tc>
          <w:tcPr>
            <w:tcW w:w="145" w:type="pct"/>
            <w:shd w:val="clear" w:color="000000" w:fill="F2F2F2"/>
            <w:vAlign w:val="center"/>
          </w:tcPr>
          <w:p>
            <w:pPr>
              <w:spacing w:after="0" w:line="320" w:lineRule="exact"/>
              <w:ind w:left="0" w:firstLine="0"/>
              <w:jc w:val="center"/>
              <w:rPr>
                <w:rFonts w:ascii="宋体" w:hAnsi="宋体" w:eastAsia="宋体" w:cs="宋体"/>
                <w:b/>
                <w:bCs/>
                <w:color w:val="auto"/>
                <w:kern w:val="0"/>
                <w:sz w:val="18"/>
                <w:szCs w:val="18"/>
              </w:rPr>
            </w:pPr>
            <w:r>
              <w:rPr>
                <w:rFonts w:hint="eastAsia" w:ascii="宋体" w:hAnsi="宋体" w:eastAsia="宋体" w:cs="宋体"/>
                <w:b/>
                <w:bCs/>
                <w:color w:val="auto"/>
                <w:kern w:val="0"/>
                <w:sz w:val="18"/>
                <w:szCs w:val="18"/>
              </w:rPr>
              <w:t>严重程度</w:t>
            </w:r>
          </w:p>
        </w:tc>
        <w:tc>
          <w:tcPr>
            <w:tcW w:w="230" w:type="pct"/>
            <w:shd w:val="clear" w:color="000000" w:fill="F2F2F2"/>
            <w:vAlign w:val="center"/>
          </w:tcPr>
          <w:p>
            <w:pPr>
              <w:spacing w:after="0" w:line="320" w:lineRule="exact"/>
              <w:ind w:left="0" w:firstLine="0"/>
              <w:jc w:val="center"/>
              <w:rPr>
                <w:rFonts w:ascii="宋体" w:hAnsi="宋体" w:eastAsia="宋体" w:cs="宋体"/>
                <w:b/>
                <w:bCs/>
                <w:color w:val="auto"/>
                <w:kern w:val="0"/>
                <w:sz w:val="18"/>
                <w:szCs w:val="18"/>
              </w:rPr>
            </w:pPr>
            <w:r>
              <w:rPr>
                <w:rFonts w:hint="eastAsia" w:ascii="宋体" w:hAnsi="宋体" w:eastAsia="宋体" w:cs="宋体"/>
                <w:b/>
                <w:bCs/>
                <w:color w:val="auto"/>
                <w:kern w:val="0"/>
                <w:sz w:val="18"/>
                <w:szCs w:val="18"/>
              </w:rPr>
              <w:t>风险值</w:t>
            </w:r>
          </w:p>
        </w:tc>
        <w:tc>
          <w:tcPr>
            <w:tcW w:w="193" w:type="pct"/>
            <w:shd w:val="clear" w:color="000000" w:fill="F2F2F2"/>
            <w:vAlign w:val="center"/>
          </w:tcPr>
          <w:p>
            <w:pPr>
              <w:spacing w:after="0" w:line="320" w:lineRule="exact"/>
              <w:ind w:left="0" w:firstLine="0"/>
              <w:jc w:val="center"/>
              <w:rPr>
                <w:rFonts w:ascii="宋体" w:hAnsi="宋体" w:eastAsia="宋体" w:cs="宋体"/>
                <w:b/>
                <w:bCs/>
                <w:color w:val="auto"/>
                <w:kern w:val="0"/>
                <w:sz w:val="18"/>
                <w:szCs w:val="18"/>
              </w:rPr>
            </w:pPr>
            <w:r>
              <w:rPr>
                <w:rFonts w:hint="eastAsia" w:ascii="宋体" w:hAnsi="宋体" w:eastAsia="宋体" w:cs="宋体"/>
                <w:b/>
                <w:bCs/>
                <w:color w:val="auto"/>
                <w:kern w:val="0"/>
                <w:sz w:val="18"/>
                <w:szCs w:val="18"/>
              </w:rPr>
              <w:t>风险等级</w:t>
            </w:r>
          </w:p>
        </w:tc>
        <w:tc>
          <w:tcPr>
            <w:tcW w:w="2026" w:type="pct"/>
            <w:shd w:val="clear" w:color="000000" w:fill="F2F2F2"/>
            <w:vAlign w:val="center"/>
          </w:tcPr>
          <w:p>
            <w:pPr>
              <w:spacing w:after="0" w:line="320" w:lineRule="exact"/>
              <w:ind w:left="0" w:firstLine="0"/>
              <w:jc w:val="center"/>
              <w:rPr>
                <w:rFonts w:ascii="宋体" w:hAnsi="宋体" w:eastAsia="宋体" w:cs="宋体"/>
                <w:b/>
                <w:bCs/>
                <w:color w:val="auto"/>
                <w:kern w:val="0"/>
                <w:sz w:val="20"/>
                <w:szCs w:val="20"/>
              </w:rPr>
            </w:pPr>
            <w:r>
              <w:rPr>
                <w:rFonts w:hint="eastAsia" w:ascii="宋体" w:hAnsi="宋体" w:eastAsia="宋体" w:cs="宋体"/>
                <w:b/>
                <w:bCs/>
                <w:color w:val="auto"/>
                <w:kern w:val="0"/>
                <w:sz w:val="20"/>
                <w:szCs w:val="20"/>
              </w:rPr>
              <w:t>管控措施</w:t>
            </w:r>
          </w:p>
        </w:tc>
        <w:tc>
          <w:tcPr>
            <w:tcW w:w="257" w:type="pct"/>
            <w:shd w:val="clear" w:color="000000" w:fill="F2F2F2"/>
            <w:vAlign w:val="center"/>
          </w:tcPr>
          <w:p>
            <w:pPr>
              <w:spacing w:after="0" w:line="320" w:lineRule="exact"/>
              <w:ind w:left="0" w:firstLine="0"/>
              <w:jc w:val="center"/>
              <w:rPr>
                <w:rFonts w:ascii="宋体" w:hAnsi="宋体" w:eastAsia="宋体" w:cs="宋体"/>
                <w:b/>
                <w:bCs/>
                <w:color w:val="auto"/>
                <w:kern w:val="0"/>
                <w:sz w:val="20"/>
                <w:szCs w:val="20"/>
              </w:rPr>
            </w:pPr>
            <w:r>
              <w:rPr>
                <w:rFonts w:hint="eastAsia" w:ascii="宋体" w:hAnsi="宋体" w:eastAsia="宋体" w:cs="宋体"/>
                <w:b/>
                <w:bCs/>
                <w:color w:val="auto"/>
                <w:kern w:val="0"/>
                <w:sz w:val="20"/>
                <w:szCs w:val="20"/>
              </w:rPr>
              <w:t>责任单位</w:t>
            </w:r>
          </w:p>
        </w:tc>
        <w:tc>
          <w:tcPr>
            <w:tcW w:w="257" w:type="pct"/>
            <w:shd w:val="clear" w:color="000000" w:fill="F2F2F2"/>
            <w:vAlign w:val="center"/>
          </w:tcPr>
          <w:p>
            <w:pPr>
              <w:spacing w:after="0" w:line="320" w:lineRule="exact"/>
              <w:ind w:left="0" w:firstLine="0"/>
              <w:jc w:val="center"/>
              <w:rPr>
                <w:rFonts w:ascii="宋体" w:hAnsi="宋体" w:eastAsia="宋体" w:cs="宋体"/>
                <w:b/>
                <w:bCs/>
                <w:color w:val="auto"/>
                <w:kern w:val="0"/>
                <w:sz w:val="20"/>
                <w:szCs w:val="20"/>
              </w:rPr>
            </w:pPr>
            <w:r>
              <w:rPr>
                <w:rFonts w:hint="eastAsia" w:ascii="宋体" w:hAnsi="宋体" w:eastAsia="宋体" w:cs="宋体"/>
                <w:b/>
                <w:bCs/>
                <w:color w:val="auto"/>
                <w:kern w:val="0"/>
                <w:sz w:val="20"/>
                <w:szCs w:val="20"/>
              </w:rPr>
              <w:t>责任人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w:t>
            </w:r>
          </w:p>
        </w:tc>
        <w:tc>
          <w:tcPr>
            <w:tcW w:w="171"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收费广场</w:t>
            </w:r>
          </w:p>
        </w:tc>
        <w:tc>
          <w:tcPr>
            <w:tcW w:w="194"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收费大棚</w:t>
            </w:r>
          </w:p>
        </w:tc>
        <w:tc>
          <w:tcPr>
            <w:tcW w:w="273"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物体打击/车辆伤害</w:t>
            </w:r>
          </w:p>
        </w:tc>
        <w:tc>
          <w:tcPr>
            <w:tcW w:w="938" w:type="pct"/>
            <w:vMerge w:val="restar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收费大棚上各类灯具、标志等坠落。</w:t>
            </w:r>
          </w:p>
        </w:tc>
        <w:tc>
          <w:tcPr>
            <w:tcW w:w="134"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w:t>
            </w:r>
          </w:p>
        </w:tc>
        <w:tc>
          <w:tcPr>
            <w:tcW w:w="145"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5</w:t>
            </w:r>
          </w:p>
        </w:tc>
        <w:tc>
          <w:tcPr>
            <w:tcW w:w="230"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5</w:t>
            </w:r>
          </w:p>
        </w:tc>
        <w:tc>
          <w:tcPr>
            <w:tcW w:w="193" w:type="pct"/>
            <w:vMerge w:val="restart"/>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收费班长每日上岗前对收费棚上方车道指示标志、照明等设备设施进行排查，发现问题及时上报。</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收费班长</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特殊天气、时段，组织开展专项隐患排查工作，发现问题及时上报。</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站长</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3</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当存在可能坠落影响交通及人身安全的情形，无法及时修复时，应封闭车道、设置围挡等措施。</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jc w:val="center"/>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lang w:eastAsia="zh-CN"/>
              </w:rPr>
              <w:t>值班领导</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4</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收费岗亭</w:t>
            </w:r>
          </w:p>
        </w:tc>
        <w:tc>
          <w:tcPr>
            <w:tcW w:w="273"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票款损失</w:t>
            </w:r>
          </w:p>
        </w:tc>
        <w:tc>
          <w:tcPr>
            <w:tcW w:w="938" w:type="pct"/>
            <w:vMerge w:val="restar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收费岗亭门、锁、窗、报警器等设施损坏。</w:t>
            </w:r>
          </w:p>
        </w:tc>
        <w:tc>
          <w:tcPr>
            <w:tcW w:w="134"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3</w:t>
            </w:r>
          </w:p>
        </w:tc>
        <w:tc>
          <w:tcPr>
            <w:tcW w:w="145"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w:t>
            </w:r>
          </w:p>
        </w:tc>
        <w:tc>
          <w:tcPr>
            <w:tcW w:w="230"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3</w:t>
            </w:r>
          </w:p>
        </w:tc>
        <w:tc>
          <w:tcPr>
            <w:tcW w:w="193" w:type="pct"/>
            <w:vMerge w:val="restart"/>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班前应对岗亭门、锁、窗、报警器等进行排查</w:t>
            </w:r>
            <w:bookmarkStart w:id="30" w:name="_GoBack"/>
            <w:bookmarkEnd w:id="30"/>
            <w:r>
              <w:rPr>
                <w:rFonts w:hint="eastAsia" w:ascii="宋体" w:hAnsi="宋体" w:eastAsia="宋体" w:cs="宋体"/>
                <w:color w:val="auto"/>
                <w:kern w:val="0"/>
                <w:sz w:val="18"/>
                <w:szCs w:val="18"/>
              </w:rPr>
              <w:t>，发现问题时及时上报。</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5</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接上报故障应及时组织维修。</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机电维护员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6</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火灾/触电</w:t>
            </w:r>
          </w:p>
        </w:tc>
        <w:tc>
          <w:tcPr>
            <w:tcW w:w="938" w:type="pct"/>
            <w:vMerge w:val="restar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岗亭内私拉乱接、使用大功率电气等。</w:t>
            </w:r>
          </w:p>
        </w:tc>
        <w:tc>
          <w:tcPr>
            <w:tcW w:w="134"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w:t>
            </w:r>
          </w:p>
        </w:tc>
        <w:tc>
          <w:tcPr>
            <w:tcW w:w="145"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230"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193" w:type="pct"/>
            <w:vMerge w:val="restart"/>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制定并严格落实收费广场用电、消防安全管理制度。</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站长</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7</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开展收费员用电、消防安全教育培训，提高员工安全意识。</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站长</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8</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班前、班中进行安全检查，发现问题及时纠正。</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收费班长</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9</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稽查时发现违章行为时应按规定制止、上报。</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运营管理部　</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稽查员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10</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车辆伤害/财产损失</w:t>
            </w:r>
          </w:p>
        </w:tc>
        <w:tc>
          <w:tcPr>
            <w:tcW w:w="938" w:type="pct"/>
            <w:vMerge w:val="restar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失控、超速、超宽、超限及其他社会车辆撞击收费岗亭。</w:t>
            </w:r>
          </w:p>
        </w:tc>
        <w:tc>
          <w:tcPr>
            <w:tcW w:w="134"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3</w:t>
            </w:r>
          </w:p>
        </w:tc>
        <w:tc>
          <w:tcPr>
            <w:tcW w:w="145"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3</w:t>
            </w:r>
          </w:p>
        </w:tc>
        <w:tc>
          <w:tcPr>
            <w:tcW w:w="230"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9</w:t>
            </w:r>
          </w:p>
        </w:tc>
        <w:tc>
          <w:tcPr>
            <w:tcW w:w="193" w:type="pct"/>
            <w:vMerge w:val="restart"/>
            <w:shd w:val="clear" w:color="000000" w:fill="FAE600"/>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一般</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定期排查维修，确保收费站前限速标志、减速带、超宽车道指示标志、照明设施等完好有效。</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工程部</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专业工程师</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11</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定期排查维修，确保防撞杆完好有效。</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机电维护员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12</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对于超宽、超限车辆要按规定引导至专用车道或劝返。</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收费班长</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13</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收费人员注意观察驶入车辆，出现异常情形时，应及时疏散至其余车道。</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收费班长</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14</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制定收费站专项应急预案，并定期组织演练，发生事故后及时启动应急预案。</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运营管理部</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主任</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15</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收费广场及车道</w:t>
            </w:r>
          </w:p>
        </w:tc>
        <w:tc>
          <w:tcPr>
            <w:tcW w:w="273"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交通事故</w:t>
            </w:r>
          </w:p>
        </w:tc>
        <w:tc>
          <w:tcPr>
            <w:tcW w:w="938" w:type="pct"/>
            <w:vMerge w:val="restar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车道路面、标志、标线、防撞杆、岛头防护等安全设施设置不规范或缺失、污损等。</w:t>
            </w:r>
          </w:p>
        </w:tc>
        <w:tc>
          <w:tcPr>
            <w:tcW w:w="134"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w:t>
            </w:r>
          </w:p>
        </w:tc>
        <w:tc>
          <w:tcPr>
            <w:tcW w:w="145"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5</w:t>
            </w:r>
          </w:p>
        </w:tc>
        <w:tc>
          <w:tcPr>
            <w:tcW w:w="230"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5</w:t>
            </w:r>
          </w:p>
        </w:tc>
        <w:tc>
          <w:tcPr>
            <w:tcW w:w="193" w:type="pct"/>
            <w:vMerge w:val="restart"/>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班前组织对收费广场交通安全设施进行外观检查，发现问题时及时上报。</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收费班长</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16</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特殊天气、时段，组织开展专项隐患排查工作，发现问题及时上报或组织维修。</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站长</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17</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当存在可能影响交通及人身安全的情形，应立即组织维修，无法及时修复的，应设置围挡、加固等临时措施。</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jc w:val="center"/>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lang w:eastAsia="zh-CN"/>
              </w:rPr>
              <w:t>值班领导</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18</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restar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道内积水、结冰或积雪。</w:t>
            </w:r>
          </w:p>
        </w:tc>
        <w:tc>
          <w:tcPr>
            <w:tcW w:w="134"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3</w:t>
            </w:r>
          </w:p>
        </w:tc>
        <w:tc>
          <w:tcPr>
            <w:tcW w:w="145"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230"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6</w:t>
            </w:r>
          </w:p>
        </w:tc>
        <w:tc>
          <w:tcPr>
            <w:tcW w:w="193" w:type="pct"/>
            <w:vMerge w:val="restart"/>
            <w:shd w:val="clear" w:color="000000" w:fill="FAE600"/>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一般</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汛期来临前，组织对收费站排水设施的疏通。</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站长</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19</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开展员工安全教育培训，车道内冬季禁止洒水。</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jc w:val="center"/>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lang w:eastAsia="zh-CN"/>
              </w:rPr>
              <w:t>值班领导</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20</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存在影响交通安全的积水、冰雪等情形时，应及时封闭车道，上报或组织清理。</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jc w:val="center"/>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lang w:eastAsia="zh-CN"/>
              </w:rPr>
              <w:t>值班领导</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21</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收费站按规定配备防汛、除雪物资，出现相应情形时及时启动预案。</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站长</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22</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restar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收费岛及广场内坑槽。</w:t>
            </w:r>
          </w:p>
        </w:tc>
        <w:tc>
          <w:tcPr>
            <w:tcW w:w="134"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145"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w:t>
            </w:r>
          </w:p>
        </w:tc>
        <w:tc>
          <w:tcPr>
            <w:tcW w:w="230"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w:t>
            </w:r>
          </w:p>
        </w:tc>
        <w:tc>
          <w:tcPr>
            <w:tcW w:w="193" w:type="pct"/>
            <w:vMerge w:val="restart"/>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当班班长发现路面存在坑槽时应及时上报，并在交接班时告知下一班组。</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收费班长</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23</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对可能影响车辆行驶安全的应采取设置围挡或请示监控关闭车道等临时措施。</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jc w:val="center"/>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lang w:eastAsia="zh-CN"/>
              </w:rPr>
              <w:t>值班领导</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24</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工程部应及时组织维修。</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工程部</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工程师</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25</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restar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闲杂人员及车辆长时间滞留。</w:t>
            </w:r>
          </w:p>
        </w:tc>
        <w:tc>
          <w:tcPr>
            <w:tcW w:w="134"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w:t>
            </w:r>
          </w:p>
        </w:tc>
        <w:tc>
          <w:tcPr>
            <w:tcW w:w="145"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w:t>
            </w:r>
          </w:p>
        </w:tc>
        <w:tc>
          <w:tcPr>
            <w:tcW w:w="230"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w:t>
            </w:r>
          </w:p>
        </w:tc>
        <w:tc>
          <w:tcPr>
            <w:tcW w:w="193" w:type="pct"/>
            <w:vMerge w:val="restart"/>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当班班长应及时劝阻车道内长期滞留的闲杂人员和车辆，对发现的可疑人员、车辆、物品要及时上报。</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收费班长</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26</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稽查监控发现时，应及时通报当班人员进行处理。</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运营部　</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稽查员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27</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火灾</w:t>
            </w:r>
          </w:p>
        </w:tc>
        <w:tc>
          <w:tcPr>
            <w:tcW w:w="938" w:type="pct"/>
            <w:vMerge w:val="restar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边坡绿植清理不及时，发生火灾事故。</w:t>
            </w:r>
          </w:p>
        </w:tc>
        <w:tc>
          <w:tcPr>
            <w:tcW w:w="134"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3</w:t>
            </w:r>
          </w:p>
        </w:tc>
        <w:tc>
          <w:tcPr>
            <w:tcW w:w="145"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w:t>
            </w:r>
          </w:p>
        </w:tc>
        <w:tc>
          <w:tcPr>
            <w:tcW w:w="230"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3</w:t>
            </w:r>
          </w:p>
        </w:tc>
        <w:tc>
          <w:tcPr>
            <w:tcW w:w="193" w:type="pct"/>
            <w:vMerge w:val="restart"/>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秋冬季节应及时组织边坡杂草清理。</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站长</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28</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收费广场按规定配备、维保消防器材。</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站长</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29</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上岗前对消防器材进行检查，发现问题及时上报。</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收费班长</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30</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制定收费广场火灾事故现场处置方案，定期组织演练，提高收费人员灭火救援能力。</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运营部</w:t>
            </w:r>
          </w:p>
          <w:p>
            <w:pPr>
              <w:spacing w:after="0" w:line="320" w:lineRule="exact"/>
              <w:ind w:left="0" w:firstLine="0"/>
              <w:jc w:val="center"/>
              <w:rPr>
                <w:rFonts w:ascii="宋体" w:hAnsi="宋体" w:eastAsia="宋体" w:cs="宋体"/>
                <w:color w:val="auto"/>
                <w:kern w:val="0"/>
                <w:sz w:val="18"/>
                <w:szCs w:val="18"/>
              </w:rPr>
            </w:pPr>
            <w:r>
              <w:rPr>
                <w:rFonts w:ascii="宋体" w:hAnsi="宋体" w:eastAsia="宋体" w:cs="宋体"/>
                <w:color w:val="auto"/>
                <w:kern w:val="0"/>
                <w:sz w:val="18"/>
                <w:szCs w:val="18"/>
              </w:rPr>
              <w:t>安全部</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主任</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31</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restar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车辆自燃、危险化学品车辆泄漏火灾。</w:t>
            </w:r>
          </w:p>
        </w:tc>
        <w:tc>
          <w:tcPr>
            <w:tcW w:w="134"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w:t>
            </w:r>
          </w:p>
        </w:tc>
        <w:tc>
          <w:tcPr>
            <w:tcW w:w="145"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10</w:t>
            </w:r>
          </w:p>
        </w:tc>
        <w:tc>
          <w:tcPr>
            <w:tcW w:w="230"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10</w:t>
            </w:r>
          </w:p>
        </w:tc>
        <w:tc>
          <w:tcPr>
            <w:tcW w:w="193" w:type="pct"/>
            <w:vMerge w:val="restart"/>
            <w:shd w:val="clear" w:color="000000" w:fill="FAE600"/>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一般</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收费广场按规定配备、维保消防器材。</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站长</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32</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上岗前对消防器材进行检查，发现问题及时上报。</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收费班长</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33</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制定收费广场危化品事故、火灾现场处置方案，定期组织演练，提高收费人员自救互救能力。</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运营部</w:t>
            </w:r>
          </w:p>
          <w:p>
            <w:pPr>
              <w:spacing w:after="0" w:line="320" w:lineRule="exact"/>
              <w:ind w:left="0" w:firstLine="0"/>
              <w:jc w:val="center"/>
              <w:rPr>
                <w:rFonts w:ascii="宋体" w:hAnsi="宋体" w:eastAsia="宋体" w:cs="宋体"/>
                <w:color w:val="auto"/>
                <w:kern w:val="0"/>
                <w:sz w:val="18"/>
                <w:szCs w:val="18"/>
              </w:rPr>
            </w:pPr>
            <w:r>
              <w:rPr>
                <w:rFonts w:ascii="宋体" w:hAnsi="宋体" w:eastAsia="宋体" w:cs="宋体"/>
                <w:color w:val="auto"/>
                <w:kern w:val="0"/>
                <w:sz w:val="18"/>
                <w:szCs w:val="18"/>
              </w:rPr>
              <w:t>安全部</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主任</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34</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严格执行两客一危通行管理相关规定。</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收费班长</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35</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事故发生后，当班班长要根据事故类型、严重程度等组织人员疏散或灭火救援，避免盲目施救所造成二次事故。</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收费班长</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36</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雷击火灾</w:t>
            </w:r>
          </w:p>
        </w:tc>
        <w:tc>
          <w:tcPr>
            <w:tcW w:w="134"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w:t>
            </w:r>
          </w:p>
        </w:tc>
        <w:tc>
          <w:tcPr>
            <w:tcW w:w="145"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10</w:t>
            </w:r>
          </w:p>
        </w:tc>
        <w:tc>
          <w:tcPr>
            <w:tcW w:w="230"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10</w:t>
            </w:r>
          </w:p>
        </w:tc>
        <w:tc>
          <w:tcPr>
            <w:tcW w:w="193" w:type="pct"/>
            <w:shd w:val="clear" w:color="000000" w:fill="FAE600"/>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一般</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定期进行防雷接地检测，发现隐患及时处理。</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运营部</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主任</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37</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restar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电气火灾</w:t>
            </w:r>
          </w:p>
        </w:tc>
        <w:tc>
          <w:tcPr>
            <w:tcW w:w="134"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w:t>
            </w:r>
          </w:p>
        </w:tc>
        <w:tc>
          <w:tcPr>
            <w:tcW w:w="145"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5</w:t>
            </w:r>
          </w:p>
        </w:tc>
        <w:tc>
          <w:tcPr>
            <w:tcW w:w="230"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5</w:t>
            </w:r>
          </w:p>
        </w:tc>
        <w:tc>
          <w:tcPr>
            <w:tcW w:w="193" w:type="pct"/>
            <w:vMerge w:val="restart"/>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制定并严格落实收费广场用电、消防安全管理制度。</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站长</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38</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开展收费员用电、消防安全教育培训，提高员工安全意识。</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站长</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39</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班前、班中进行安全检查，发现问题及时纠正。</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收费班长</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40</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稽查时发现违章行为时应按规定制止、上报。</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运营部　</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稽查员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41</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交通拥堵、事故/社会影响</w:t>
            </w:r>
          </w:p>
        </w:tc>
        <w:tc>
          <w:tcPr>
            <w:tcW w:w="938" w:type="pct"/>
            <w:vMerge w:val="restar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雨雪、雾霾等恶劣天气。</w:t>
            </w:r>
          </w:p>
        </w:tc>
        <w:tc>
          <w:tcPr>
            <w:tcW w:w="134"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3</w:t>
            </w:r>
          </w:p>
        </w:tc>
        <w:tc>
          <w:tcPr>
            <w:tcW w:w="145"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230"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6</w:t>
            </w:r>
          </w:p>
        </w:tc>
        <w:tc>
          <w:tcPr>
            <w:tcW w:w="193" w:type="pct"/>
            <w:vMerge w:val="restart"/>
            <w:shd w:val="clear" w:color="000000" w:fill="FAE600"/>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一般</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执行高速交警指令。</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jc w:val="center"/>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lang w:eastAsia="zh-CN"/>
              </w:rPr>
              <w:t>值班领导</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42</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开启相应的照明设施，设置提示警告标志，视情况设置现场疏导人员。</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jc w:val="center"/>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lang w:eastAsia="zh-CN"/>
              </w:rPr>
              <w:t>值班领导</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43</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现场疏导人员应穿戴雨具、夜间反光服、肩灯等。</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jc w:val="center"/>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lang w:eastAsia="zh-CN"/>
              </w:rPr>
              <w:t>值班领导</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44</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做好备勤备岗工作，当发生大面积拥堵时，应及时启动通行保畅应急预案。</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站长</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45</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机电设备设施</w:t>
            </w:r>
          </w:p>
        </w:tc>
        <w:tc>
          <w:tcPr>
            <w:tcW w:w="273"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交通事故/交通拥堵/物体打击/社会影响</w:t>
            </w:r>
          </w:p>
        </w:tc>
        <w:tc>
          <w:tcPr>
            <w:tcW w:w="938" w:type="pct"/>
            <w:vMerge w:val="restar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照明不足。</w:t>
            </w:r>
          </w:p>
        </w:tc>
        <w:tc>
          <w:tcPr>
            <w:tcW w:w="134"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w:t>
            </w:r>
          </w:p>
        </w:tc>
        <w:tc>
          <w:tcPr>
            <w:tcW w:w="145"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230"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193" w:type="pct"/>
            <w:vMerge w:val="restart"/>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班前应对照明情况进行排查，发现问题时及时上报。</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收费部</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收费班长</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46</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机电维护员应及时组织维修。</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机电维护员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47</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restar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车道指示灯错误、不能正常使用。</w:t>
            </w:r>
          </w:p>
        </w:tc>
        <w:tc>
          <w:tcPr>
            <w:tcW w:w="134"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w:t>
            </w:r>
          </w:p>
        </w:tc>
        <w:tc>
          <w:tcPr>
            <w:tcW w:w="145"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230"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193" w:type="pct"/>
            <w:vMerge w:val="restart"/>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加强安全教育和业务培训，熟悉设备操作流程。</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收费班长</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48</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因交警指示、交接班、设备故障检修等特殊情况时，应及时关闭车道指示灯。</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收费班长收费员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49</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车道指示灯故障时应及时上报。</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50</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机电维护人员应及时组织维修。</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机电维护员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51</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restar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栏杆机故障、失灵。</w:t>
            </w:r>
          </w:p>
        </w:tc>
        <w:tc>
          <w:tcPr>
            <w:tcW w:w="134"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w:t>
            </w:r>
          </w:p>
        </w:tc>
        <w:tc>
          <w:tcPr>
            <w:tcW w:w="145"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w:t>
            </w:r>
          </w:p>
        </w:tc>
        <w:tc>
          <w:tcPr>
            <w:tcW w:w="230"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w:t>
            </w:r>
          </w:p>
        </w:tc>
        <w:tc>
          <w:tcPr>
            <w:tcW w:w="193" w:type="pct"/>
            <w:vMerge w:val="restart"/>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按规定每天对栏杆机的外观、运行状态等进行检查、测试，定期对栏杆机进行维保。</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机电维护员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52</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收费人员发现栏杆机故障时，应及时上报、封闭车道、疏导交通等。</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收费班长</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53</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维护人员根据故障原因及时组织维修。</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机电维护员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54</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restar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打印机、键盘等收费设施出现故障。</w:t>
            </w:r>
          </w:p>
        </w:tc>
        <w:tc>
          <w:tcPr>
            <w:tcW w:w="134"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3</w:t>
            </w:r>
          </w:p>
        </w:tc>
        <w:tc>
          <w:tcPr>
            <w:tcW w:w="145"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w:t>
            </w:r>
          </w:p>
        </w:tc>
        <w:tc>
          <w:tcPr>
            <w:tcW w:w="230"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3</w:t>
            </w:r>
          </w:p>
        </w:tc>
        <w:tc>
          <w:tcPr>
            <w:tcW w:w="193" w:type="pct"/>
            <w:vMerge w:val="restart"/>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按规定每天对打印机、键盘等设备的外观、运行状态等进行检查、测试，定期进行除尘、维保。</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机电维护员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55</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收费人员发现收费设备故障时，应及时上报、封闭车道、疏导交通等。</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lang w:eastAsia="zh-CN"/>
              </w:rPr>
              <w:t>值班领导</w:t>
            </w:r>
            <w:r>
              <w:rPr>
                <w:rFonts w:hint="eastAsia" w:ascii="宋体" w:hAnsi="宋体" w:eastAsia="宋体" w:cs="宋体"/>
                <w:color w:val="auto"/>
                <w:kern w:val="0"/>
                <w:sz w:val="18"/>
                <w:szCs w:val="18"/>
              </w:rPr>
              <w:t>、收费班长</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56</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维护人员根据故障原因及时组织维修。</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机电维护员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57</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触电</w:t>
            </w:r>
          </w:p>
        </w:tc>
        <w:tc>
          <w:tcPr>
            <w:tcW w:w="938" w:type="pct"/>
            <w:vMerge w:val="restar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门、锁未关闭，用电线路混乱、私拉乱接等。</w:t>
            </w:r>
          </w:p>
        </w:tc>
        <w:tc>
          <w:tcPr>
            <w:tcW w:w="134"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w:t>
            </w:r>
          </w:p>
        </w:tc>
        <w:tc>
          <w:tcPr>
            <w:tcW w:w="145"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w:t>
            </w:r>
          </w:p>
        </w:tc>
        <w:tc>
          <w:tcPr>
            <w:tcW w:w="230"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w:t>
            </w:r>
          </w:p>
        </w:tc>
        <w:tc>
          <w:tcPr>
            <w:tcW w:w="193" w:type="pct"/>
            <w:vMerge w:val="restart"/>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收费广场收费、监控等机电控制柜应门锁关闭。</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机电维护员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58</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收费广场内严禁接入无关线缆、设备。</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机电维护员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59</w:t>
            </w:r>
          </w:p>
        </w:tc>
        <w:tc>
          <w:tcPr>
            <w:tcW w:w="171"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收费广场作业活动</w:t>
            </w:r>
          </w:p>
        </w:tc>
        <w:tc>
          <w:tcPr>
            <w:tcW w:w="194"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收费作业</w:t>
            </w:r>
          </w:p>
        </w:tc>
        <w:tc>
          <w:tcPr>
            <w:tcW w:w="273"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车辆伤害/财产损失</w:t>
            </w:r>
          </w:p>
        </w:tc>
        <w:tc>
          <w:tcPr>
            <w:tcW w:w="938" w:type="pct"/>
            <w:vMerge w:val="restar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过往车辆失控、超速、冲卡、撞击收费亭。</w:t>
            </w:r>
          </w:p>
        </w:tc>
        <w:tc>
          <w:tcPr>
            <w:tcW w:w="134"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145"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3</w:t>
            </w:r>
          </w:p>
        </w:tc>
        <w:tc>
          <w:tcPr>
            <w:tcW w:w="230"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6</w:t>
            </w:r>
          </w:p>
        </w:tc>
        <w:tc>
          <w:tcPr>
            <w:tcW w:w="193" w:type="pct"/>
            <w:vMerge w:val="restart"/>
            <w:shd w:val="clear" w:color="000000" w:fill="FAE600"/>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一般</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定期排查维修，确保收费站前限速标志、减速带、超宽车道指示标志、照明设施等完好有效。</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工程部</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工程师</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60</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定期排查维修，确保防撞杆完好有效。</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工程部</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工程师</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61</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对于超宽、超限车辆要按规定引导至专用车道或劝返。</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收费班长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62</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收费人员注意观察驶入车辆，出现异常情形时，应及时疏散至其余车道。</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收费班长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63</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对于恶意冲卡、黑名单车辆，应联络高速交警、路政等进行执法。</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运营部　</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稽查员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64</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制定收费站专项应急预案，并定期组织演练，发生事故后及时启动应急预案。</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运营部</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主任</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65</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restar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摩托车、电瓶车等车辆冲卡、逃费，造成栏杆机砸人等事故。</w:t>
            </w:r>
          </w:p>
        </w:tc>
        <w:tc>
          <w:tcPr>
            <w:tcW w:w="134"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145"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w:t>
            </w:r>
          </w:p>
        </w:tc>
        <w:tc>
          <w:tcPr>
            <w:tcW w:w="230"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193" w:type="pct"/>
            <w:vMerge w:val="restart"/>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当班人员提醒摩托车驾驶员按规定排队、取卡缴费。</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收费班长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66</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调整栏杆机车检器灵敏度等。</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机电维护员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67</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restar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车道内车辆未停止，收费人员手臂伸出岗亭。</w:t>
            </w:r>
          </w:p>
        </w:tc>
        <w:tc>
          <w:tcPr>
            <w:tcW w:w="134"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w:t>
            </w:r>
          </w:p>
        </w:tc>
        <w:tc>
          <w:tcPr>
            <w:tcW w:w="145"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w:t>
            </w:r>
          </w:p>
        </w:tc>
        <w:tc>
          <w:tcPr>
            <w:tcW w:w="230"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w:t>
            </w:r>
          </w:p>
        </w:tc>
        <w:tc>
          <w:tcPr>
            <w:tcW w:w="193" w:type="pct"/>
            <w:vMerge w:val="restart"/>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制定收费发卡标准流程，开展收费员业务和安全教育培训。</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运营部</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主任</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68</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注意车辆运行及装载情况，车辆停稳时执行收费作业。</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收费班长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69</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restar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收费人员交接班或横穿车道时。</w:t>
            </w:r>
          </w:p>
        </w:tc>
        <w:tc>
          <w:tcPr>
            <w:tcW w:w="134"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w:t>
            </w:r>
          </w:p>
        </w:tc>
        <w:tc>
          <w:tcPr>
            <w:tcW w:w="145"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3</w:t>
            </w:r>
          </w:p>
        </w:tc>
        <w:tc>
          <w:tcPr>
            <w:tcW w:w="230"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3</w:t>
            </w:r>
          </w:p>
        </w:tc>
        <w:tc>
          <w:tcPr>
            <w:tcW w:w="193" w:type="pct"/>
            <w:vMerge w:val="restart"/>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交接班、横穿车道按规定穿戴反光服、停车牌，执行设置警示标识、关闭车道、一看二停三通过等流程。</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收费班长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70</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开展收费员业务和安全教育培训，严格落实收费安全相关管理规定。</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站长</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71</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岗前进行培训或交底，岗中开展检查。</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收费班长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72</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物体打击</w:t>
            </w:r>
          </w:p>
        </w:tc>
        <w:tc>
          <w:tcPr>
            <w:tcW w:w="938"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大型货车运送物体坠落、社会车辆（货车）爆胎。</w:t>
            </w:r>
          </w:p>
        </w:tc>
        <w:tc>
          <w:tcPr>
            <w:tcW w:w="134"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w:t>
            </w:r>
          </w:p>
        </w:tc>
        <w:tc>
          <w:tcPr>
            <w:tcW w:w="145"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w:t>
            </w:r>
          </w:p>
        </w:tc>
        <w:tc>
          <w:tcPr>
            <w:tcW w:w="230"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w:t>
            </w:r>
          </w:p>
        </w:tc>
        <w:tc>
          <w:tcPr>
            <w:tcW w:w="193" w:type="pct"/>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注意观察车辆及装运货物情况，异常时及时提醒岗上人员，并随手关窗。</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收费班长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73</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restar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收费大棚、岗亭上物体坠落。</w:t>
            </w:r>
          </w:p>
        </w:tc>
        <w:tc>
          <w:tcPr>
            <w:tcW w:w="134"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145"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5</w:t>
            </w:r>
          </w:p>
        </w:tc>
        <w:tc>
          <w:tcPr>
            <w:tcW w:w="230"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10</w:t>
            </w:r>
          </w:p>
        </w:tc>
        <w:tc>
          <w:tcPr>
            <w:tcW w:w="193" w:type="pct"/>
            <w:vMerge w:val="restart"/>
            <w:shd w:val="clear" w:color="000000" w:fill="FAE600"/>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一般</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班前按规定进行检查，发现问题时及时上报。</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收费班长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74</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当存在可能坠落影响交通及人身安全的情形，无法及时修复时，应封闭车道、设置围挡等措施。</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jc w:val="center"/>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lang w:eastAsia="zh-CN"/>
              </w:rPr>
              <w:t>值班领导</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75</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工程部等相关部门应及时组织维修。</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工程部</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工程师</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76</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交通拥堵/社会影响</w:t>
            </w:r>
          </w:p>
        </w:tc>
        <w:tc>
          <w:tcPr>
            <w:tcW w:w="938"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收费人员对作业流程及设备操作不熟练。</w:t>
            </w:r>
          </w:p>
        </w:tc>
        <w:tc>
          <w:tcPr>
            <w:tcW w:w="134"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w:t>
            </w:r>
          </w:p>
        </w:tc>
        <w:tc>
          <w:tcPr>
            <w:tcW w:w="145"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230"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193" w:type="pct"/>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及时组织开展收费员业务培训。</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站长</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77</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restar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收费人员睡岗、脱岗。</w:t>
            </w:r>
          </w:p>
        </w:tc>
        <w:tc>
          <w:tcPr>
            <w:tcW w:w="134"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145"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230"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4</w:t>
            </w:r>
          </w:p>
        </w:tc>
        <w:tc>
          <w:tcPr>
            <w:tcW w:w="193" w:type="pct"/>
            <w:vMerge w:val="restart"/>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开展收费员业务和安全教育培训。</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站长</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78</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岗前进行培训或交底，岗中开展检查。</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收费班长</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79</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稽查、监控发现时，应及时提醒、处理。</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运营部　</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稽查员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80</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票款损失</w:t>
            </w:r>
          </w:p>
        </w:tc>
        <w:tc>
          <w:tcPr>
            <w:tcW w:w="938" w:type="pct"/>
            <w:vMerge w:val="restar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出岗亭后，门窗未及时锁闭。</w:t>
            </w:r>
          </w:p>
        </w:tc>
        <w:tc>
          <w:tcPr>
            <w:tcW w:w="134"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w:t>
            </w:r>
          </w:p>
        </w:tc>
        <w:tc>
          <w:tcPr>
            <w:tcW w:w="145"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w:t>
            </w:r>
          </w:p>
        </w:tc>
        <w:tc>
          <w:tcPr>
            <w:tcW w:w="230"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w:t>
            </w:r>
          </w:p>
        </w:tc>
        <w:tc>
          <w:tcPr>
            <w:tcW w:w="193" w:type="pct"/>
            <w:vMerge w:val="restart"/>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开展收费员业务和安全教育培训。</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站长</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81</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岗前进行培训或交底，岗中开展检查。</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收费班长</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82</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稽查、监控发现时，应及时提醒、处理。</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运营部　</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稽查员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83</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restar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作业或交接班时票款保管不当或遭遇抢劫等，造成票款损失，</w:t>
            </w:r>
          </w:p>
        </w:tc>
        <w:tc>
          <w:tcPr>
            <w:tcW w:w="134"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w:t>
            </w:r>
          </w:p>
        </w:tc>
        <w:tc>
          <w:tcPr>
            <w:tcW w:w="145"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230"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193" w:type="pct"/>
            <w:vMerge w:val="restart"/>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每日班前检查，确保报警器、监控设施完好有效，发现问题及时上报。</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收费员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84</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收费站及交接班时应注意周边环境，做好防护。</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收费班长</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85</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开展收费员业务和安全教育培训，严格落实收费安全相关定。</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站长</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86</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制定防盗抢应急预案，并定期组织演练。</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运营部</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经理</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87</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财产损失</w:t>
            </w:r>
          </w:p>
        </w:tc>
        <w:tc>
          <w:tcPr>
            <w:tcW w:w="938" w:type="pct"/>
            <w:vMerge w:val="restar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物品摆放不当（如水杯放置收费台），造成设备受损。</w:t>
            </w:r>
          </w:p>
        </w:tc>
        <w:tc>
          <w:tcPr>
            <w:tcW w:w="134"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w:t>
            </w:r>
          </w:p>
        </w:tc>
        <w:tc>
          <w:tcPr>
            <w:tcW w:w="145"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w:t>
            </w:r>
          </w:p>
        </w:tc>
        <w:tc>
          <w:tcPr>
            <w:tcW w:w="230"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w:t>
            </w:r>
          </w:p>
        </w:tc>
        <w:tc>
          <w:tcPr>
            <w:tcW w:w="193" w:type="pct"/>
            <w:vMerge w:val="restart"/>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开展收费员业务和安全教育培训。</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站长</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88</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岗前进行培训或交底，岗中开展检查。</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收费班长</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89</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稽查、监控发现时，应及时提醒、处理。</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运营部　</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稽查员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90</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其他伤害</w:t>
            </w:r>
          </w:p>
        </w:tc>
        <w:tc>
          <w:tcPr>
            <w:tcW w:w="938" w:type="pct"/>
            <w:vMerge w:val="restar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恶劣天气造成收费人员冻伤、高温中暑等。</w:t>
            </w:r>
          </w:p>
        </w:tc>
        <w:tc>
          <w:tcPr>
            <w:tcW w:w="134"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w:t>
            </w:r>
          </w:p>
        </w:tc>
        <w:tc>
          <w:tcPr>
            <w:tcW w:w="145"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w:t>
            </w:r>
          </w:p>
        </w:tc>
        <w:tc>
          <w:tcPr>
            <w:tcW w:w="230"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w:t>
            </w:r>
          </w:p>
        </w:tc>
        <w:tc>
          <w:tcPr>
            <w:tcW w:w="193" w:type="pct"/>
            <w:vMerge w:val="restart"/>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收费岗亭内统一配备空调、取暖设备。</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工程部</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主任</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91</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夏季配备防暑降温药品、物资，冬季配备保暖衣物。</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站长</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92</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合理安排人员及排班计划。</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站长</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93</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蜜蜂、蚊虫等对收费人员的伤害。</w:t>
            </w:r>
          </w:p>
        </w:tc>
        <w:tc>
          <w:tcPr>
            <w:tcW w:w="134"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w:t>
            </w:r>
          </w:p>
        </w:tc>
        <w:tc>
          <w:tcPr>
            <w:tcW w:w="145"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w:t>
            </w:r>
          </w:p>
        </w:tc>
        <w:tc>
          <w:tcPr>
            <w:tcW w:w="230"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w:t>
            </w:r>
          </w:p>
        </w:tc>
        <w:tc>
          <w:tcPr>
            <w:tcW w:w="193" w:type="pct"/>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站内配备医疗消毒工具箱。</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站长</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94</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应急保畅</w:t>
            </w:r>
          </w:p>
        </w:tc>
        <w:tc>
          <w:tcPr>
            <w:tcW w:w="273"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车辆伤害</w:t>
            </w:r>
          </w:p>
        </w:tc>
        <w:tc>
          <w:tcPr>
            <w:tcW w:w="938" w:type="pct"/>
            <w:vMerge w:val="restar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过往车辆失控、超速、冲卡。</w:t>
            </w:r>
          </w:p>
        </w:tc>
        <w:tc>
          <w:tcPr>
            <w:tcW w:w="134"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145"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230"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4</w:t>
            </w:r>
          </w:p>
        </w:tc>
        <w:tc>
          <w:tcPr>
            <w:tcW w:w="193" w:type="pct"/>
            <w:vMerge w:val="restart"/>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定期排查维修，确保收费站前限速标志、减速带、超宽车道指示标志、照明设施等完好有效。</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工程部</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工程师</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95</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对于超宽、超限车辆要按规定引导至专用车道或劝返。</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收费班长</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96</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疏导人员注意观察驶入车辆，出现异常情形时，应及时疏散至其余车道。</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收费班长</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97</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对于恶意冲卡、黑名单车辆，应联络高速交警、路政等进行执法。</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运营部　</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稽查员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98</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制定收费站专项应急预案，并定期组织演练，发生事故后及时启动应急预案。</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营运部</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经理</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99</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restar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疏导、保畅人员站位不合理，未穿戴反光服、冒险穿越车道等。</w:t>
            </w:r>
          </w:p>
        </w:tc>
        <w:tc>
          <w:tcPr>
            <w:tcW w:w="134"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w:t>
            </w:r>
          </w:p>
        </w:tc>
        <w:tc>
          <w:tcPr>
            <w:tcW w:w="145"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230"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193" w:type="pct"/>
            <w:vMerge w:val="restart"/>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疏导及保畅人员应选择安全（明显）区域，远离货车，穿戴反光服。</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收费班长</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100</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应当观察周边环境，特别注意散件货车、超限车辆、“软拖”车辆等。</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收费班长</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101</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横穿车道时应注意观察周边环境。</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收费班长</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102</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restar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车辆驾驶人员不服从指挥，强行变道、掉头。</w:t>
            </w:r>
          </w:p>
        </w:tc>
        <w:tc>
          <w:tcPr>
            <w:tcW w:w="134"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145"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230"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4</w:t>
            </w:r>
          </w:p>
        </w:tc>
        <w:tc>
          <w:tcPr>
            <w:tcW w:w="193" w:type="pct"/>
            <w:vMerge w:val="restart"/>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当班班长、疏导人员组织劝阻车辆。</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收费班长</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103</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对于严重影响交通及人身安全的行为，应及时通知高速交警。</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收费班长</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104</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车辆（超载、超限）掉头、倒车时撞倒道路设施、人员。</w:t>
            </w:r>
          </w:p>
        </w:tc>
        <w:tc>
          <w:tcPr>
            <w:tcW w:w="134"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145"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230"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4</w:t>
            </w:r>
          </w:p>
        </w:tc>
        <w:tc>
          <w:tcPr>
            <w:tcW w:w="193" w:type="pct"/>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根据交通状况进行现场指引和疏导。</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收费班长</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105</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restar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雨雪、雾霾等恶劣天气，夜间照明不足。</w:t>
            </w:r>
          </w:p>
        </w:tc>
        <w:tc>
          <w:tcPr>
            <w:tcW w:w="134"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145"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230"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4</w:t>
            </w:r>
          </w:p>
        </w:tc>
        <w:tc>
          <w:tcPr>
            <w:tcW w:w="193" w:type="pct"/>
            <w:vMerge w:val="restart"/>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执行高速交警指令。</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jc w:val="center"/>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lang w:eastAsia="zh-CN"/>
              </w:rPr>
              <w:t>值班领导</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106</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开启相应的照明设施，设置提示警告标志，视情况设置现场疏导人员。</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收费班长</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107</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现场疏导人员应穿戴雨具、夜间反光服、肩灯等。</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收费班长</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108</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做好备勤备岗工作，当发生大面积拥堵时，应及时启动通行保畅应急预案。</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jc w:val="center"/>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lang w:eastAsia="zh-CN"/>
              </w:rPr>
              <w:t>值班领导</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109</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物体打击</w:t>
            </w:r>
          </w:p>
        </w:tc>
        <w:tc>
          <w:tcPr>
            <w:tcW w:w="938"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大型货车运送物体坠落，社会车辆（货车）爆胎。</w:t>
            </w:r>
          </w:p>
        </w:tc>
        <w:tc>
          <w:tcPr>
            <w:tcW w:w="134"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w:t>
            </w:r>
          </w:p>
        </w:tc>
        <w:tc>
          <w:tcPr>
            <w:tcW w:w="145"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230"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193" w:type="pct"/>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注意观察车辆及装运货物情况，异常时及时提醒岗上人员。</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收费班长</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110</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restar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收费大棚、岗亭上物体坠落。</w:t>
            </w:r>
          </w:p>
        </w:tc>
        <w:tc>
          <w:tcPr>
            <w:tcW w:w="134"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145"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230"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4</w:t>
            </w:r>
          </w:p>
        </w:tc>
        <w:tc>
          <w:tcPr>
            <w:tcW w:w="193" w:type="pct"/>
            <w:vMerge w:val="restart"/>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班前按规定进行检查，发现问题时及时上报。</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收费班长</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111</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当存在可能坠落影响交通及人身安全的情形，无法及时修复时，应封闭车道、设置围挡等措施。</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jc w:val="center"/>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lang w:eastAsia="zh-CN"/>
              </w:rPr>
              <w:t>值班领导</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112</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工程管理部应及时组织维修。</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工程部</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工程师</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113</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交通拥堵/社会影响</w:t>
            </w:r>
          </w:p>
        </w:tc>
        <w:tc>
          <w:tcPr>
            <w:tcW w:w="938" w:type="pct"/>
            <w:vMerge w:val="restar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通行保畅不及时。</w:t>
            </w:r>
          </w:p>
        </w:tc>
        <w:tc>
          <w:tcPr>
            <w:tcW w:w="134"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w:t>
            </w:r>
          </w:p>
        </w:tc>
        <w:tc>
          <w:tcPr>
            <w:tcW w:w="145"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230"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193" w:type="pct"/>
            <w:vMerge w:val="restart"/>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特殊时段执行备岗备勤规定。</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站长</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114</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根据交通拥堵情况及时启动通行保畅应急预案。</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站长</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115</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与司乘人员发生争执。</w:t>
            </w:r>
          </w:p>
        </w:tc>
        <w:tc>
          <w:tcPr>
            <w:tcW w:w="134"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w:t>
            </w:r>
          </w:p>
        </w:tc>
        <w:tc>
          <w:tcPr>
            <w:tcW w:w="145"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230"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193" w:type="pct"/>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加强职工服务意识和沟通能力，做好耐心讲解服务工作。</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站长</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116</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保洁作业</w:t>
            </w:r>
          </w:p>
        </w:tc>
        <w:tc>
          <w:tcPr>
            <w:tcW w:w="273"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车辆伤害</w:t>
            </w:r>
          </w:p>
        </w:tc>
        <w:tc>
          <w:tcPr>
            <w:tcW w:w="938" w:type="pct"/>
            <w:vMerge w:val="restar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过往车辆失控、超速、冲卡。</w:t>
            </w:r>
          </w:p>
        </w:tc>
        <w:tc>
          <w:tcPr>
            <w:tcW w:w="134"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3</w:t>
            </w:r>
          </w:p>
        </w:tc>
        <w:tc>
          <w:tcPr>
            <w:tcW w:w="145"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230"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6</w:t>
            </w:r>
          </w:p>
        </w:tc>
        <w:tc>
          <w:tcPr>
            <w:tcW w:w="193" w:type="pct"/>
            <w:vMerge w:val="restart"/>
            <w:shd w:val="clear" w:color="000000" w:fill="FAE600"/>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一般</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定期排查维修，确保收费站前限速标志、减速带、超宽车道指示标志、照明设施等完好有效。</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工程部</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工程师</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117</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车道内作业时按规定设置作业区、警示标识，关闭车道灯等。</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收费班长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118</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作业人员注意观察驶入车辆，出现异常情形时，应及时告知。</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保洁员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119</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restar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车道保洁时，保洁人员站位不合理，未穿戴反光服、冒险穿越车道等。</w:t>
            </w:r>
          </w:p>
        </w:tc>
        <w:tc>
          <w:tcPr>
            <w:tcW w:w="134"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145"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230"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4</w:t>
            </w:r>
          </w:p>
        </w:tc>
        <w:tc>
          <w:tcPr>
            <w:tcW w:w="193" w:type="pct"/>
            <w:vMerge w:val="restart"/>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车道作业时应选择合理站位。</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保洁员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120</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开展保洁员安全教育培训或交底。</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站长</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121</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岗中开展检查，发现违章行为及时纠正。</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收费班长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122</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作业人员应遵守收费站安全规定，穿戴合格，穿越车道时注意观察周边环境。</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保洁员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123</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作业后遗留杂物、工具在车道内。</w:t>
            </w:r>
          </w:p>
        </w:tc>
        <w:tc>
          <w:tcPr>
            <w:tcW w:w="134"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145"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230"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4</w:t>
            </w:r>
          </w:p>
        </w:tc>
        <w:tc>
          <w:tcPr>
            <w:tcW w:w="193" w:type="pct"/>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作业后应及时清理、恢复车道。</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　</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收费班长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124</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高处坠落</w:t>
            </w:r>
          </w:p>
        </w:tc>
        <w:tc>
          <w:tcPr>
            <w:tcW w:w="938"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恶劣天气进行边坡清理作业，或作业时注意力不集中。</w:t>
            </w:r>
          </w:p>
        </w:tc>
        <w:tc>
          <w:tcPr>
            <w:tcW w:w="134"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145"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w:t>
            </w:r>
          </w:p>
        </w:tc>
        <w:tc>
          <w:tcPr>
            <w:tcW w:w="230"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193" w:type="pct"/>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恶劣天气避免边坡作业，作业时应穿戴好防滑防雨装备，并加强现场监护。</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jc w:val="center"/>
              <w:rPr>
                <w:rFonts w:hint="eastAsia" w:ascii="宋体" w:hAnsi="宋体" w:eastAsia="宋体" w:cs="宋体"/>
                <w:color w:val="auto"/>
                <w:kern w:val="0"/>
                <w:sz w:val="18"/>
                <w:szCs w:val="18"/>
                <w:lang w:eastAsia="zh-CN"/>
              </w:rPr>
            </w:pPr>
            <w:r>
              <w:rPr>
                <w:rFonts w:hint="eastAsia" w:ascii="宋体" w:hAnsi="宋体" w:eastAsia="宋体" w:cs="宋体"/>
                <w:color w:val="auto"/>
                <w:kern w:val="0"/>
                <w:sz w:val="18"/>
                <w:szCs w:val="18"/>
                <w:lang w:eastAsia="zh-CN"/>
              </w:rPr>
              <w:t>值班领导</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125</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触电/财产损失</w:t>
            </w:r>
          </w:p>
        </w:tc>
        <w:tc>
          <w:tcPr>
            <w:tcW w:w="938"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机电设备保洁时作业不当，造成触电或设备损坏。</w:t>
            </w:r>
          </w:p>
        </w:tc>
        <w:tc>
          <w:tcPr>
            <w:tcW w:w="134"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145"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230"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4</w:t>
            </w:r>
          </w:p>
        </w:tc>
        <w:tc>
          <w:tcPr>
            <w:tcW w:w="193" w:type="pct"/>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开展业务和安全教育培训，使用合格作业工具。</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站长</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126</w:t>
            </w:r>
          </w:p>
        </w:tc>
        <w:tc>
          <w:tcPr>
            <w:tcW w:w="171"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办公生活区</w:t>
            </w:r>
          </w:p>
        </w:tc>
        <w:tc>
          <w:tcPr>
            <w:tcW w:w="194"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院区</w:t>
            </w:r>
          </w:p>
        </w:tc>
        <w:tc>
          <w:tcPr>
            <w:tcW w:w="273"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车辆伤害</w:t>
            </w:r>
          </w:p>
        </w:tc>
        <w:tc>
          <w:tcPr>
            <w:tcW w:w="938" w:type="pct"/>
            <w:vMerge w:val="restar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院区内车辆行驶速度过快，未注意观察周边环境。</w:t>
            </w:r>
          </w:p>
        </w:tc>
        <w:tc>
          <w:tcPr>
            <w:tcW w:w="134"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145"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230"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4</w:t>
            </w:r>
          </w:p>
        </w:tc>
        <w:tc>
          <w:tcPr>
            <w:tcW w:w="193" w:type="pct"/>
            <w:vMerge w:val="restart"/>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院区入口处设置限速标志、设施。</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站长</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127</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开展员工交通安全教育培训。</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站长</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128</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进入院区车辆限速10km/h，车辆驾乘人员及行人注意观察周边环境。</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全体人员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129</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火灾</w:t>
            </w:r>
          </w:p>
        </w:tc>
        <w:tc>
          <w:tcPr>
            <w:tcW w:w="938" w:type="pct"/>
            <w:vMerge w:val="restar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车辆自燃、电动车辆充电发生火灾事故。</w:t>
            </w:r>
          </w:p>
        </w:tc>
        <w:tc>
          <w:tcPr>
            <w:tcW w:w="134"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145"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230"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4</w:t>
            </w:r>
          </w:p>
        </w:tc>
        <w:tc>
          <w:tcPr>
            <w:tcW w:w="193" w:type="pct"/>
            <w:vMerge w:val="restart"/>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开展员工消防安全教育培训。</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站长</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130</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定点定时充电，严禁长时间、过夜充电。</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站长</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131</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车辆存放点、充电处放置消防器材。</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站长</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132</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安保或安全人员按规定开展巡查工作。</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安全员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133</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restar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院内易燃易爆物品存放不当、周边杂草着火。</w:t>
            </w:r>
          </w:p>
        </w:tc>
        <w:tc>
          <w:tcPr>
            <w:tcW w:w="134"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145"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230"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4</w:t>
            </w:r>
          </w:p>
        </w:tc>
        <w:tc>
          <w:tcPr>
            <w:tcW w:w="193" w:type="pct"/>
            <w:vMerge w:val="restart"/>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落实公司消防安全管理制度，开展员工安全教育培训。</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站长</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134</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易燃易爆物品应分类存放，无关物品要及时清理。</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安全员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135</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院内消防器材配置齐全有效、位置合理。</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安全员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136</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院内监控设施齐全有效、覆盖面全。</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站长</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137</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安保或安全人员按规定开展巡查工作。</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安全员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138</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物体打击</w:t>
            </w:r>
          </w:p>
        </w:tc>
        <w:tc>
          <w:tcPr>
            <w:tcW w:w="938" w:type="pct"/>
            <w:vMerge w:val="restar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院墙及办公楼的墙皮、砖瓦及高处落物。</w:t>
            </w:r>
          </w:p>
        </w:tc>
        <w:tc>
          <w:tcPr>
            <w:tcW w:w="134"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145"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w:t>
            </w:r>
          </w:p>
        </w:tc>
        <w:tc>
          <w:tcPr>
            <w:tcW w:w="230"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193" w:type="pct"/>
            <w:vMerge w:val="restart"/>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定期排查结构外墙、灯具、吊顶等，发现隐患及时报修处理。</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安全员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139</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高处作业时的工具、材料应放置稳妥。</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安全员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140</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高处坠落</w:t>
            </w:r>
          </w:p>
        </w:tc>
        <w:tc>
          <w:tcPr>
            <w:tcW w:w="938" w:type="pct"/>
            <w:vMerge w:val="restar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高处维护、清洁作业时，人员坠落。</w:t>
            </w:r>
          </w:p>
        </w:tc>
        <w:tc>
          <w:tcPr>
            <w:tcW w:w="134"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145"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230"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4</w:t>
            </w:r>
          </w:p>
        </w:tc>
        <w:tc>
          <w:tcPr>
            <w:tcW w:w="193" w:type="pct"/>
            <w:vMerge w:val="restart"/>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高处作业人员应穿戴防护用品，严禁酒后、违章冒险作业。</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安全员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141</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非紧急情况，雨雪、强风天气避免室外高处作业。</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站长</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142</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作业爬梯应放置稳妥，设人监护。</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安全员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143</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井盖等临边、洞口防护设施缺失。</w:t>
            </w:r>
          </w:p>
        </w:tc>
        <w:tc>
          <w:tcPr>
            <w:tcW w:w="134"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145"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230"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4</w:t>
            </w:r>
          </w:p>
        </w:tc>
        <w:tc>
          <w:tcPr>
            <w:tcW w:w="193" w:type="pct"/>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定期排查，确保临边、洞口防护设施齐全有效。</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安全员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144</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事故扩大</w:t>
            </w:r>
          </w:p>
        </w:tc>
        <w:tc>
          <w:tcPr>
            <w:tcW w:w="938"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车辆未按规定停放，占用应急消防车道。</w:t>
            </w:r>
          </w:p>
        </w:tc>
        <w:tc>
          <w:tcPr>
            <w:tcW w:w="134"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145"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230"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4</w:t>
            </w:r>
          </w:p>
        </w:tc>
        <w:tc>
          <w:tcPr>
            <w:tcW w:w="193" w:type="pct"/>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办公区前应划定消防禁停区域。</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安全员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145</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室外消火栓被遮挡，消防水带、水枪、钩子缺失。</w:t>
            </w:r>
          </w:p>
        </w:tc>
        <w:tc>
          <w:tcPr>
            <w:tcW w:w="134"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145"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230"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4</w:t>
            </w:r>
          </w:p>
        </w:tc>
        <w:tc>
          <w:tcPr>
            <w:tcW w:w="193" w:type="pct"/>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定期检查，确保消防设施齐全有效，无遮挡、挪用等现象。</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安全员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146</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其他</w:t>
            </w:r>
          </w:p>
        </w:tc>
        <w:tc>
          <w:tcPr>
            <w:tcW w:w="938" w:type="pct"/>
            <w:vMerge w:val="restar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外来人员闯入，造成财产损失、人员伤亡。</w:t>
            </w:r>
          </w:p>
        </w:tc>
        <w:tc>
          <w:tcPr>
            <w:tcW w:w="134"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145"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w:t>
            </w:r>
          </w:p>
        </w:tc>
        <w:tc>
          <w:tcPr>
            <w:tcW w:w="230"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193" w:type="pct"/>
            <w:vMerge w:val="restart"/>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确保监控设施齐全有效。</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站长</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147</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落实外来人员管理制度，按规定开展巡查。</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安全员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148</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restar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夜间巡查跌伤、坠落。</w:t>
            </w:r>
          </w:p>
        </w:tc>
        <w:tc>
          <w:tcPr>
            <w:tcW w:w="134"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145"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w:t>
            </w:r>
          </w:p>
        </w:tc>
        <w:tc>
          <w:tcPr>
            <w:tcW w:w="230"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193" w:type="pct"/>
            <w:vMerge w:val="restart"/>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确保夜间照明良好。</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站长</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149</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夜间巡查时注意观察周边环境。</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安全员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150</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宿办楼</w:t>
            </w:r>
          </w:p>
        </w:tc>
        <w:tc>
          <w:tcPr>
            <w:tcW w:w="273"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火灾</w:t>
            </w:r>
          </w:p>
        </w:tc>
        <w:tc>
          <w:tcPr>
            <w:tcW w:w="938" w:type="pct"/>
            <w:vMerge w:val="restar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宿办楼内超负荷用电、私拉乱接、违规使用大功率电气等违章用电行为。电气线路绝缘破损、老化、裸露、接线不规范。使用不合格的电气设备、插座等。</w:t>
            </w:r>
          </w:p>
        </w:tc>
        <w:tc>
          <w:tcPr>
            <w:tcW w:w="134"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w:t>
            </w:r>
          </w:p>
        </w:tc>
        <w:tc>
          <w:tcPr>
            <w:tcW w:w="145"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5</w:t>
            </w:r>
          </w:p>
        </w:tc>
        <w:tc>
          <w:tcPr>
            <w:tcW w:w="230"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5</w:t>
            </w:r>
          </w:p>
        </w:tc>
        <w:tc>
          <w:tcPr>
            <w:tcW w:w="193" w:type="pct"/>
            <w:vMerge w:val="restart"/>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开展用电安全管理和培训，做到人走电断，严禁违章用电行为。</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站长</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151</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使用合格的电气设备、插座。</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电工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152</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定期巡视检查，发现绝缘破损、裸露的设备及线缆等电气隐患时，及时上报维修。</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电工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153</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宿办楼内由于吸烟、违章动火等造成火灾。</w:t>
            </w:r>
          </w:p>
        </w:tc>
        <w:tc>
          <w:tcPr>
            <w:tcW w:w="134"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w:t>
            </w:r>
          </w:p>
        </w:tc>
        <w:tc>
          <w:tcPr>
            <w:tcW w:w="145"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5</w:t>
            </w:r>
          </w:p>
        </w:tc>
        <w:tc>
          <w:tcPr>
            <w:tcW w:w="230"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5</w:t>
            </w:r>
          </w:p>
        </w:tc>
        <w:tc>
          <w:tcPr>
            <w:tcW w:w="193" w:type="pct"/>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开展消防安全培训，提高人员防火意识。</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站长</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154</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雷击。</w:t>
            </w:r>
          </w:p>
        </w:tc>
        <w:tc>
          <w:tcPr>
            <w:tcW w:w="134"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w:t>
            </w:r>
          </w:p>
        </w:tc>
        <w:tc>
          <w:tcPr>
            <w:tcW w:w="145"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5</w:t>
            </w:r>
          </w:p>
        </w:tc>
        <w:tc>
          <w:tcPr>
            <w:tcW w:w="230"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5</w:t>
            </w:r>
          </w:p>
        </w:tc>
        <w:tc>
          <w:tcPr>
            <w:tcW w:w="193" w:type="pct"/>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宿办楼防雷接地定期进行检测。</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站长</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155</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触电</w:t>
            </w:r>
          </w:p>
        </w:tc>
        <w:tc>
          <w:tcPr>
            <w:tcW w:w="938" w:type="pct"/>
            <w:vMerge w:val="restar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楼内电气设备、线缆处积水潮湿。</w:t>
            </w:r>
          </w:p>
        </w:tc>
        <w:tc>
          <w:tcPr>
            <w:tcW w:w="134"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w:t>
            </w:r>
          </w:p>
        </w:tc>
        <w:tc>
          <w:tcPr>
            <w:tcW w:w="145"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230"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193" w:type="pct"/>
            <w:vMerge w:val="restart"/>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电气设备、插座应远离水壶、潮湿场所。</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全体人员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156</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下班后门窗应关闭严密，发现积水时及时上报维修。</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全体人员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157</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汛期开展专项排查。</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站长</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158</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restar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非电气作业人员进行电气维修作业，电工违章冒险电气作业。</w:t>
            </w:r>
          </w:p>
        </w:tc>
        <w:tc>
          <w:tcPr>
            <w:tcW w:w="134"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w:t>
            </w:r>
          </w:p>
        </w:tc>
        <w:tc>
          <w:tcPr>
            <w:tcW w:w="145"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230"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193" w:type="pct"/>
            <w:vMerge w:val="restart"/>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无证人员不得操作电气设备。</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站长</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159</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为电工配备合格的电气作业设备、劳动防护用品。</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站长</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160</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开展电工安全教育和业务培训。</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站长</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161</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物体打击</w:t>
            </w:r>
          </w:p>
        </w:tc>
        <w:tc>
          <w:tcPr>
            <w:tcW w:w="938" w:type="pct"/>
            <w:vMerge w:val="restar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高处灯具、设备、吊顶等坠落；楼道、阳台等处防护措施缺损、不牢。</w:t>
            </w:r>
          </w:p>
        </w:tc>
        <w:tc>
          <w:tcPr>
            <w:tcW w:w="134"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w:t>
            </w:r>
          </w:p>
        </w:tc>
        <w:tc>
          <w:tcPr>
            <w:tcW w:w="145"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w:t>
            </w:r>
          </w:p>
        </w:tc>
        <w:tc>
          <w:tcPr>
            <w:tcW w:w="230"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w:t>
            </w:r>
          </w:p>
        </w:tc>
        <w:tc>
          <w:tcPr>
            <w:tcW w:w="193" w:type="pct"/>
            <w:vMerge w:val="restart"/>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人员应注意观察周边环境，发现隐患时应及时上报。</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全体人员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162</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对发现的隐患应及时处理。</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全体人员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163</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高处坠落</w:t>
            </w:r>
          </w:p>
        </w:tc>
        <w:tc>
          <w:tcPr>
            <w:tcW w:w="938" w:type="pct"/>
            <w:vMerge w:val="restar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登高作业时无防护措施或地面湿滑、爬梯设置不稳等。</w:t>
            </w:r>
          </w:p>
        </w:tc>
        <w:tc>
          <w:tcPr>
            <w:tcW w:w="134"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145"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230"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4</w:t>
            </w:r>
          </w:p>
        </w:tc>
        <w:tc>
          <w:tcPr>
            <w:tcW w:w="193" w:type="pct"/>
            <w:vMerge w:val="restart"/>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高处作业人员应穿戴防护用品，严禁酒后、违章冒险作业。</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安全员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164</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非紧急情况，雨雪、强风天气避免室外高处作业。</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安全员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165</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作业爬梯应放置稳固，设人监护。</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安全员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166</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其他</w:t>
            </w:r>
          </w:p>
        </w:tc>
        <w:tc>
          <w:tcPr>
            <w:tcW w:w="938"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楼道、楼梯等处湿滑。</w:t>
            </w:r>
          </w:p>
        </w:tc>
        <w:tc>
          <w:tcPr>
            <w:tcW w:w="134"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145"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w:t>
            </w:r>
          </w:p>
        </w:tc>
        <w:tc>
          <w:tcPr>
            <w:tcW w:w="230"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193" w:type="pct"/>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地面有水时应及时墩干。</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保洁员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167</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事故扩大</w:t>
            </w:r>
          </w:p>
        </w:tc>
        <w:tc>
          <w:tcPr>
            <w:tcW w:w="938" w:type="pct"/>
            <w:vMerge w:val="restar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应急照明缺损、、出口疏散标志不明显、方向不正确、安全出口及通道被遮挡、占用等。</w:t>
            </w:r>
          </w:p>
        </w:tc>
        <w:tc>
          <w:tcPr>
            <w:tcW w:w="134"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145"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230"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4</w:t>
            </w:r>
          </w:p>
        </w:tc>
        <w:tc>
          <w:tcPr>
            <w:tcW w:w="193" w:type="pct"/>
            <w:vMerge w:val="restart"/>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安全出口、疏散通道及重点部位按规定设置应急照明灯、疏散指示标志。</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站长</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168</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安全出口、疏散通道严禁被占用、堵塞。</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安全员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169</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按规定开展消防巡查、检查、检测、维保，发现问题及时解决上报。</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安全员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170</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restar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灭火器材配置不足、失效、位置不当等。</w:t>
            </w:r>
          </w:p>
        </w:tc>
        <w:tc>
          <w:tcPr>
            <w:tcW w:w="134"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145"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230"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4</w:t>
            </w:r>
          </w:p>
        </w:tc>
        <w:tc>
          <w:tcPr>
            <w:tcW w:w="193" w:type="pct"/>
            <w:vMerge w:val="restart"/>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室内按规定配置消防器材。</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站长</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171</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按规定开展消防巡查、检查、维保，发现问题及时解决上报。</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安全员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172</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变配电室</w:t>
            </w:r>
          </w:p>
        </w:tc>
        <w:tc>
          <w:tcPr>
            <w:tcW w:w="273"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火灾</w:t>
            </w:r>
          </w:p>
        </w:tc>
        <w:tc>
          <w:tcPr>
            <w:tcW w:w="938" w:type="pct"/>
            <w:vMerge w:val="restar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供配电装置、设备故障。</w:t>
            </w:r>
          </w:p>
        </w:tc>
        <w:tc>
          <w:tcPr>
            <w:tcW w:w="134"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w:t>
            </w:r>
          </w:p>
        </w:tc>
        <w:tc>
          <w:tcPr>
            <w:tcW w:w="145"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5</w:t>
            </w:r>
          </w:p>
        </w:tc>
        <w:tc>
          <w:tcPr>
            <w:tcW w:w="230"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5</w:t>
            </w:r>
          </w:p>
        </w:tc>
        <w:tc>
          <w:tcPr>
            <w:tcW w:w="193" w:type="pct"/>
            <w:vMerge w:val="restart"/>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定期检查维保，对故障、老化设备及时更换维修。</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电工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173</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定期检查维护，发现隐患及时处理。</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电工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174</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restar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私拉乱接、超负荷用电。</w:t>
            </w:r>
          </w:p>
        </w:tc>
        <w:tc>
          <w:tcPr>
            <w:tcW w:w="134"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w:t>
            </w:r>
          </w:p>
        </w:tc>
        <w:tc>
          <w:tcPr>
            <w:tcW w:w="145"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5</w:t>
            </w:r>
          </w:p>
        </w:tc>
        <w:tc>
          <w:tcPr>
            <w:tcW w:w="230"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5</w:t>
            </w:r>
          </w:p>
        </w:tc>
        <w:tc>
          <w:tcPr>
            <w:tcW w:w="193" w:type="pct"/>
            <w:vMerge w:val="restart"/>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定期检查，断路器等保护装置应完好有效。</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电工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175</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加强用电安全管理和培训，严禁私拉乱接，超负荷用电。</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站长</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176</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门窗关闭严密，加强配电室管理，无关人员严禁进入。</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电工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177</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restar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线路老化、破损、虚接等。</w:t>
            </w:r>
          </w:p>
        </w:tc>
        <w:tc>
          <w:tcPr>
            <w:tcW w:w="134"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w:t>
            </w:r>
          </w:p>
        </w:tc>
        <w:tc>
          <w:tcPr>
            <w:tcW w:w="145"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5</w:t>
            </w:r>
          </w:p>
        </w:tc>
        <w:tc>
          <w:tcPr>
            <w:tcW w:w="230"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5</w:t>
            </w:r>
          </w:p>
        </w:tc>
        <w:tc>
          <w:tcPr>
            <w:tcW w:w="193" w:type="pct"/>
            <w:vMerge w:val="restart"/>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电气设备及线路应质量可靠、接线牢固。</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电工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178</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加强用电安全管理和培训。</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站长</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179</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定期检查维护，发现隐患及时处理。</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电工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180</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restar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室内积水、潮湿，温湿度环境不良。</w:t>
            </w:r>
          </w:p>
        </w:tc>
        <w:tc>
          <w:tcPr>
            <w:tcW w:w="134"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145"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5</w:t>
            </w:r>
          </w:p>
        </w:tc>
        <w:tc>
          <w:tcPr>
            <w:tcW w:w="230"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10</w:t>
            </w:r>
          </w:p>
        </w:tc>
        <w:tc>
          <w:tcPr>
            <w:tcW w:w="193" w:type="pct"/>
            <w:vMerge w:val="restart"/>
            <w:shd w:val="clear" w:color="000000" w:fill="FAE600"/>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一般</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确保机房门窗牢固。</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电工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181</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汛期前开展专项排查与整治。</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站长</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182</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室内设置通风装置、配置温湿度计。</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电工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183</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定期巡查，发现问题及时上报处理。</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电工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184</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雷击。</w:t>
            </w:r>
          </w:p>
        </w:tc>
        <w:tc>
          <w:tcPr>
            <w:tcW w:w="134"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w:t>
            </w:r>
          </w:p>
        </w:tc>
        <w:tc>
          <w:tcPr>
            <w:tcW w:w="145"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5</w:t>
            </w:r>
          </w:p>
        </w:tc>
        <w:tc>
          <w:tcPr>
            <w:tcW w:w="230"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5</w:t>
            </w:r>
          </w:p>
        </w:tc>
        <w:tc>
          <w:tcPr>
            <w:tcW w:w="193" w:type="pct"/>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定期排查，确保防雷接地设施齐全有效。</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电工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185</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虫鼠破坏。</w:t>
            </w:r>
          </w:p>
        </w:tc>
        <w:tc>
          <w:tcPr>
            <w:tcW w:w="134"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w:t>
            </w:r>
          </w:p>
        </w:tc>
        <w:tc>
          <w:tcPr>
            <w:tcW w:w="145"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5</w:t>
            </w:r>
          </w:p>
        </w:tc>
        <w:tc>
          <w:tcPr>
            <w:tcW w:w="230"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5</w:t>
            </w:r>
          </w:p>
        </w:tc>
        <w:tc>
          <w:tcPr>
            <w:tcW w:w="193" w:type="pct"/>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设置挡鼠板、粘鼠板、鼠药、纱窗等。</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电工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186</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restar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变配电室管理不严，室内吸烟、违章动火、堆放易燃易爆物品等。</w:t>
            </w:r>
          </w:p>
        </w:tc>
        <w:tc>
          <w:tcPr>
            <w:tcW w:w="134"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145"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5</w:t>
            </w:r>
          </w:p>
        </w:tc>
        <w:tc>
          <w:tcPr>
            <w:tcW w:w="230"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10</w:t>
            </w:r>
          </w:p>
        </w:tc>
        <w:tc>
          <w:tcPr>
            <w:tcW w:w="193" w:type="pct"/>
            <w:vMerge w:val="restart"/>
            <w:shd w:val="clear" w:color="000000" w:fill="FAE600"/>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一般</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 xml:space="preserve">配电室应门锁锁闭，严禁无关人员进入，张贴安全警示标识。 </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电工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187</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严格配电室安全管理，室内严禁吸烟、明火、堆放杂物等。</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电工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188</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触电</w:t>
            </w:r>
          </w:p>
        </w:tc>
        <w:tc>
          <w:tcPr>
            <w:tcW w:w="938" w:type="pct"/>
            <w:vMerge w:val="restar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配电设备及外壳接地不到、电气线路、设备绝缘破损、老化。</w:t>
            </w:r>
          </w:p>
        </w:tc>
        <w:tc>
          <w:tcPr>
            <w:tcW w:w="134"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145"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230"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4</w:t>
            </w:r>
          </w:p>
        </w:tc>
        <w:tc>
          <w:tcPr>
            <w:tcW w:w="193" w:type="pct"/>
            <w:vMerge w:val="restart"/>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配电设备及外壳按规定接地，定期检查接地装置有效性。</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电工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189</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变配电设备周边按规定配置绝缘胶垫。</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电工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190</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按规定开展隐患排查工作，发现隐患及时处理。</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电工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191</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restar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检维修时未按规定程序作业，如违规带电检修作业，未按规定挂地线、专人监护、挂牌、设置警示标识等。</w:t>
            </w:r>
          </w:p>
        </w:tc>
        <w:tc>
          <w:tcPr>
            <w:tcW w:w="134"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145"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230"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4</w:t>
            </w:r>
          </w:p>
        </w:tc>
        <w:tc>
          <w:tcPr>
            <w:tcW w:w="193" w:type="pct"/>
            <w:vMerge w:val="restart"/>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制定并严格落实电气作业安全操作规程。</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电工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192</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加强电工安全教育培训。</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电工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193</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restar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电工未穿戴劳保用品、未使用绝缘工具、酒后、冒险等违章作业。</w:t>
            </w:r>
          </w:p>
        </w:tc>
        <w:tc>
          <w:tcPr>
            <w:tcW w:w="134"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145"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230"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4</w:t>
            </w:r>
          </w:p>
        </w:tc>
        <w:tc>
          <w:tcPr>
            <w:tcW w:w="193" w:type="pct"/>
            <w:vMerge w:val="restart"/>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电气作业时严格落实安全操作规程。</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电工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194</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配齐劳保用品、绝缘工具。</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站长</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195</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加强电工安全教育培训。</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站长</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196</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非电工电气作业。</w:t>
            </w:r>
          </w:p>
        </w:tc>
        <w:tc>
          <w:tcPr>
            <w:tcW w:w="134"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145"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230"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4</w:t>
            </w:r>
          </w:p>
        </w:tc>
        <w:tc>
          <w:tcPr>
            <w:tcW w:w="193" w:type="pct"/>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严格电气安全管理，无关人员严禁进入配电室操作电气设备。</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电工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197</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restar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配电室、配电箱及带电设备缺少安全警示标识。</w:t>
            </w:r>
          </w:p>
        </w:tc>
        <w:tc>
          <w:tcPr>
            <w:tcW w:w="134"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145"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230"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4</w:t>
            </w:r>
          </w:p>
        </w:tc>
        <w:tc>
          <w:tcPr>
            <w:tcW w:w="193" w:type="pct"/>
            <w:vMerge w:val="restart"/>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带电设备外壳处设置安全警示标识。</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电工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198</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定期巡视检查，发现缺损时及时更换。</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电工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199</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事故扩大</w:t>
            </w:r>
          </w:p>
        </w:tc>
        <w:tc>
          <w:tcPr>
            <w:tcW w:w="938" w:type="pct"/>
            <w:vMerge w:val="restar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门窗不符合要求，应急照明、消防器材缺损。</w:t>
            </w:r>
          </w:p>
        </w:tc>
        <w:tc>
          <w:tcPr>
            <w:tcW w:w="134"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145"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230"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4</w:t>
            </w:r>
          </w:p>
        </w:tc>
        <w:tc>
          <w:tcPr>
            <w:tcW w:w="193" w:type="pct"/>
            <w:vMerge w:val="restart"/>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按规定设置防火门、应急照明和消防器材。</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电工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200</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定期巡视检查，发现缺损时及时更换。</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电工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201</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发电机房</w:t>
            </w:r>
          </w:p>
        </w:tc>
        <w:tc>
          <w:tcPr>
            <w:tcW w:w="273"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火灾</w:t>
            </w:r>
          </w:p>
        </w:tc>
        <w:tc>
          <w:tcPr>
            <w:tcW w:w="938"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油箱及供油管路泄漏。</w:t>
            </w:r>
          </w:p>
        </w:tc>
        <w:tc>
          <w:tcPr>
            <w:tcW w:w="134"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w:t>
            </w:r>
          </w:p>
        </w:tc>
        <w:tc>
          <w:tcPr>
            <w:tcW w:w="145"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230"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193" w:type="pct"/>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使用合规产品；油箱周边设置防流散设施，供油管路敷设合规，连接牢固；定期巡视检查，启动后对管路及连接情况进行检查。</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电工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202</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发电机线路及设备连接不牢、短路。</w:t>
            </w:r>
          </w:p>
        </w:tc>
        <w:tc>
          <w:tcPr>
            <w:tcW w:w="134"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w:t>
            </w:r>
          </w:p>
        </w:tc>
        <w:tc>
          <w:tcPr>
            <w:tcW w:w="145"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230"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193" w:type="pct"/>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按规定连接设备线路，定期排查。</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电工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203</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电缆、开关、灯具安装不当，造成电气火灾。</w:t>
            </w:r>
          </w:p>
        </w:tc>
        <w:tc>
          <w:tcPr>
            <w:tcW w:w="134"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w:t>
            </w:r>
          </w:p>
        </w:tc>
        <w:tc>
          <w:tcPr>
            <w:tcW w:w="145"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230"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193" w:type="pct"/>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电缆与油管分开敷设，不得有裸露线头、电气设备，定期排查电气隐患。</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电工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204</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蓄电池老化、漏液、短路造成火灾。</w:t>
            </w:r>
          </w:p>
        </w:tc>
        <w:tc>
          <w:tcPr>
            <w:tcW w:w="134"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w:t>
            </w:r>
          </w:p>
        </w:tc>
        <w:tc>
          <w:tcPr>
            <w:tcW w:w="145"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230"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193" w:type="pct"/>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选择质量可靠的蓄电池产品，定期巡查维护，及时更换。蓄电池及线路连接应牢固、正确。</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电工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205</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室内及排烟口下堆放无关易燃易爆品，油污、擦布未及时清理。</w:t>
            </w:r>
          </w:p>
        </w:tc>
        <w:tc>
          <w:tcPr>
            <w:tcW w:w="134"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w:t>
            </w:r>
          </w:p>
        </w:tc>
        <w:tc>
          <w:tcPr>
            <w:tcW w:w="145"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230"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193" w:type="pct"/>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室内及排烟口下不得存放易燃易爆物品，油污、擦布应及时清理。</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电工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206</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室内吸烟、违章动火。</w:t>
            </w:r>
          </w:p>
        </w:tc>
        <w:tc>
          <w:tcPr>
            <w:tcW w:w="134"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145"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230"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4</w:t>
            </w:r>
          </w:p>
        </w:tc>
        <w:tc>
          <w:tcPr>
            <w:tcW w:w="193" w:type="pct"/>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室外设置安全警示标识，加强相关人员安全教育培训，发电机房严禁烟火。</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电工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207</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消防器材不足、失效，作业人员操作不熟练。</w:t>
            </w:r>
          </w:p>
        </w:tc>
        <w:tc>
          <w:tcPr>
            <w:tcW w:w="134"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145"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230"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4</w:t>
            </w:r>
          </w:p>
        </w:tc>
        <w:tc>
          <w:tcPr>
            <w:tcW w:w="193" w:type="pct"/>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室内按规定配置消防器材，定期进行消防巡查。</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电工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208</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事故扩大</w:t>
            </w:r>
          </w:p>
        </w:tc>
        <w:tc>
          <w:tcPr>
            <w:tcW w:w="938"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发电机及附属设备设施维护保养不当，如机油、柴油不足、电瓶电压不足等，不能启动发电机。</w:t>
            </w:r>
          </w:p>
        </w:tc>
        <w:tc>
          <w:tcPr>
            <w:tcW w:w="134"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3</w:t>
            </w:r>
          </w:p>
        </w:tc>
        <w:tc>
          <w:tcPr>
            <w:tcW w:w="145"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230"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6</w:t>
            </w:r>
          </w:p>
        </w:tc>
        <w:tc>
          <w:tcPr>
            <w:tcW w:w="193" w:type="pct"/>
            <w:shd w:val="clear" w:color="000000" w:fill="FAE600"/>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一般</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加强日常维修保养；定期排查，确保油量充足、电瓶电源正常；定期测试。</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电工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209</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应急照明缺损，紧急情况无法启动。</w:t>
            </w:r>
          </w:p>
        </w:tc>
        <w:tc>
          <w:tcPr>
            <w:tcW w:w="134"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145"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230"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193" w:type="pct"/>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室内设置应急照明；定期巡视检查，发现隐患时及时维修。</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电工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210</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操作人员不熟悉作业流程，紧急情况无法启动。</w:t>
            </w:r>
          </w:p>
        </w:tc>
        <w:tc>
          <w:tcPr>
            <w:tcW w:w="134"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3</w:t>
            </w:r>
          </w:p>
        </w:tc>
        <w:tc>
          <w:tcPr>
            <w:tcW w:w="145"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230"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6</w:t>
            </w:r>
          </w:p>
        </w:tc>
        <w:tc>
          <w:tcPr>
            <w:tcW w:w="193" w:type="pct"/>
            <w:shd w:val="clear" w:color="000000" w:fill="FAE600"/>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一般</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制定安全操作规程，加强操作人员业务培训。</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电工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211</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触电</w:t>
            </w:r>
          </w:p>
        </w:tc>
        <w:tc>
          <w:tcPr>
            <w:tcW w:w="938"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发电设备及外壳接地不到位，设备及线路绝缘破损、老化。</w:t>
            </w:r>
          </w:p>
        </w:tc>
        <w:tc>
          <w:tcPr>
            <w:tcW w:w="134"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w:t>
            </w:r>
          </w:p>
        </w:tc>
        <w:tc>
          <w:tcPr>
            <w:tcW w:w="145"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w:t>
            </w:r>
          </w:p>
        </w:tc>
        <w:tc>
          <w:tcPr>
            <w:tcW w:w="230"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w:t>
            </w:r>
          </w:p>
        </w:tc>
        <w:tc>
          <w:tcPr>
            <w:tcW w:w="193" w:type="pct"/>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发电设备、蓄电池及外壳按规定接地，定期检查接地装置有效性。</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电工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212</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无关人员进入发电机房，非专业人员操作。</w:t>
            </w:r>
          </w:p>
        </w:tc>
        <w:tc>
          <w:tcPr>
            <w:tcW w:w="134"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145"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w:t>
            </w:r>
          </w:p>
        </w:tc>
        <w:tc>
          <w:tcPr>
            <w:tcW w:w="230"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193" w:type="pct"/>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加强发电机房管理，无关人员严禁进入，启动或操作发电机。</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电工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213</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操作人员违章作业，如未穿戴劳保用品、使用绝缘工具、酒后、冒险作业等。</w:t>
            </w:r>
          </w:p>
        </w:tc>
        <w:tc>
          <w:tcPr>
            <w:tcW w:w="134"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145"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w:t>
            </w:r>
          </w:p>
        </w:tc>
        <w:tc>
          <w:tcPr>
            <w:tcW w:w="230"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193" w:type="pct"/>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配齐劳保用品、绝缘工具。加强相关人员的安全教育培训，发现违章人员按公司制度处罚。</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电工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214</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机房积水、潮湿。</w:t>
            </w:r>
          </w:p>
        </w:tc>
        <w:tc>
          <w:tcPr>
            <w:tcW w:w="134"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145"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w:t>
            </w:r>
          </w:p>
        </w:tc>
        <w:tc>
          <w:tcPr>
            <w:tcW w:w="230"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193" w:type="pct"/>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定期巡视检查，发现隐患时及时维修。</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电工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215</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通风空调措施不佳，造成烟气中毒、高温中暑。</w:t>
            </w:r>
          </w:p>
        </w:tc>
        <w:tc>
          <w:tcPr>
            <w:tcW w:w="134"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w:t>
            </w:r>
          </w:p>
        </w:tc>
        <w:tc>
          <w:tcPr>
            <w:tcW w:w="145"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w:t>
            </w:r>
          </w:p>
        </w:tc>
        <w:tc>
          <w:tcPr>
            <w:tcW w:w="230"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w:t>
            </w:r>
          </w:p>
        </w:tc>
        <w:tc>
          <w:tcPr>
            <w:tcW w:w="193" w:type="pct"/>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确保室内通风良好。</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电工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216</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无防护碰触长时间运转发电设备，造成灼烫。</w:t>
            </w:r>
          </w:p>
        </w:tc>
        <w:tc>
          <w:tcPr>
            <w:tcW w:w="134"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3</w:t>
            </w:r>
          </w:p>
        </w:tc>
        <w:tc>
          <w:tcPr>
            <w:tcW w:w="145"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w:t>
            </w:r>
          </w:p>
        </w:tc>
        <w:tc>
          <w:tcPr>
            <w:tcW w:w="230"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3</w:t>
            </w:r>
          </w:p>
        </w:tc>
        <w:tc>
          <w:tcPr>
            <w:tcW w:w="193" w:type="pct"/>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加强操作人员业务培训，知悉灼烫部位；设备运行时，应远离机身。</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电工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217</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通信机房</w:t>
            </w:r>
          </w:p>
        </w:tc>
        <w:tc>
          <w:tcPr>
            <w:tcW w:w="273"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财产损失</w:t>
            </w:r>
          </w:p>
        </w:tc>
        <w:tc>
          <w:tcPr>
            <w:tcW w:w="938"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监控设备老化</w:t>
            </w:r>
          </w:p>
        </w:tc>
        <w:tc>
          <w:tcPr>
            <w:tcW w:w="134"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w:t>
            </w:r>
          </w:p>
        </w:tc>
        <w:tc>
          <w:tcPr>
            <w:tcW w:w="145"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w:t>
            </w:r>
          </w:p>
        </w:tc>
        <w:tc>
          <w:tcPr>
            <w:tcW w:w="230"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w:t>
            </w:r>
          </w:p>
        </w:tc>
        <w:tc>
          <w:tcPr>
            <w:tcW w:w="193" w:type="pct"/>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每日巡查，发现故障、老化时及时更换。</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机电维护员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218</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监控控制设备遭受病毒攻击</w:t>
            </w:r>
          </w:p>
        </w:tc>
        <w:tc>
          <w:tcPr>
            <w:tcW w:w="134"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145"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w:t>
            </w:r>
          </w:p>
        </w:tc>
        <w:tc>
          <w:tcPr>
            <w:tcW w:w="230"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193" w:type="pct"/>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定期升级杀毒软件、防火墙，非专业人员不得进入和操作。</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机电维护员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219</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人为等因素造成机电设备物理损坏。</w:t>
            </w:r>
          </w:p>
        </w:tc>
        <w:tc>
          <w:tcPr>
            <w:tcW w:w="134"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145"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w:t>
            </w:r>
          </w:p>
        </w:tc>
        <w:tc>
          <w:tcPr>
            <w:tcW w:w="230"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193" w:type="pct"/>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作业人员严格按照操作规程作业。</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机电维护员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220</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雷击造成设备损坏。</w:t>
            </w:r>
          </w:p>
        </w:tc>
        <w:tc>
          <w:tcPr>
            <w:tcW w:w="134"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w:t>
            </w:r>
          </w:p>
        </w:tc>
        <w:tc>
          <w:tcPr>
            <w:tcW w:w="145"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w:t>
            </w:r>
          </w:p>
        </w:tc>
        <w:tc>
          <w:tcPr>
            <w:tcW w:w="230"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w:t>
            </w:r>
          </w:p>
        </w:tc>
        <w:tc>
          <w:tcPr>
            <w:tcW w:w="193" w:type="pct"/>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防雷设备设施有效。</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机电维护员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221</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粉尘、温度、湿度等室内环境造成设备损坏。</w:t>
            </w:r>
          </w:p>
        </w:tc>
        <w:tc>
          <w:tcPr>
            <w:tcW w:w="134"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145"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w:t>
            </w:r>
          </w:p>
        </w:tc>
        <w:tc>
          <w:tcPr>
            <w:tcW w:w="230"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193" w:type="pct"/>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定期对设备机房进行清尘，机房内设置空调、温湿度计，保证室内温湿度满足使用要求。</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机电维护员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222</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火灾</w:t>
            </w:r>
          </w:p>
        </w:tc>
        <w:tc>
          <w:tcPr>
            <w:tcW w:w="938"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蓄电池及电气线路短路、老化。</w:t>
            </w:r>
          </w:p>
        </w:tc>
        <w:tc>
          <w:tcPr>
            <w:tcW w:w="134"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w:t>
            </w:r>
          </w:p>
        </w:tc>
        <w:tc>
          <w:tcPr>
            <w:tcW w:w="145"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5</w:t>
            </w:r>
          </w:p>
        </w:tc>
        <w:tc>
          <w:tcPr>
            <w:tcW w:w="230"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5</w:t>
            </w:r>
          </w:p>
        </w:tc>
        <w:tc>
          <w:tcPr>
            <w:tcW w:w="193" w:type="pct"/>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维修保养、及时更换。</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机电维护员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223</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室内吸烟、违章动火作业、储存易燃易爆物品等。</w:t>
            </w:r>
          </w:p>
        </w:tc>
        <w:tc>
          <w:tcPr>
            <w:tcW w:w="134"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w:t>
            </w:r>
          </w:p>
        </w:tc>
        <w:tc>
          <w:tcPr>
            <w:tcW w:w="145"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5</w:t>
            </w:r>
          </w:p>
        </w:tc>
        <w:tc>
          <w:tcPr>
            <w:tcW w:w="230"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5</w:t>
            </w:r>
          </w:p>
        </w:tc>
        <w:tc>
          <w:tcPr>
            <w:tcW w:w="193" w:type="pct"/>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加强机房日常安全管理，无关人员、设备不得进入。</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机电维护员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224</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雷击火灾。</w:t>
            </w:r>
          </w:p>
        </w:tc>
        <w:tc>
          <w:tcPr>
            <w:tcW w:w="134"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w:t>
            </w:r>
          </w:p>
        </w:tc>
        <w:tc>
          <w:tcPr>
            <w:tcW w:w="145"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5</w:t>
            </w:r>
          </w:p>
        </w:tc>
        <w:tc>
          <w:tcPr>
            <w:tcW w:w="230"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5</w:t>
            </w:r>
          </w:p>
        </w:tc>
        <w:tc>
          <w:tcPr>
            <w:tcW w:w="193" w:type="pct"/>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防雷设备设施有效。</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机电维护员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225</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消防器材不足、失效，作业人员操作不熟练。</w:t>
            </w:r>
          </w:p>
        </w:tc>
        <w:tc>
          <w:tcPr>
            <w:tcW w:w="134"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w:t>
            </w:r>
          </w:p>
        </w:tc>
        <w:tc>
          <w:tcPr>
            <w:tcW w:w="145"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5</w:t>
            </w:r>
          </w:p>
        </w:tc>
        <w:tc>
          <w:tcPr>
            <w:tcW w:w="230"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5</w:t>
            </w:r>
          </w:p>
        </w:tc>
        <w:tc>
          <w:tcPr>
            <w:tcW w:w="193" w:type="pct"/>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定期排查、维保，加强人员演练。</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机电维护员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226</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收款室</w:t>
            </w:r>
          </w:p>
        </w:tc>
        <w:tc>
          <w:tcPr>
            <w:tcW w:w="273"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票款损失</w:t>
            </w:r>
          </w:p>
        </w:tc>
        <w:tc>
          <w:tcPr>
            <w:tcW w:w="938"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门、窗、锁、监控器、报警器、保险柜、密码锁损等缺损。</w:t>
            </w:r>
          </w:p>
        </w:tc>
        <w:tc>
          <w:tcPr>
            <w:tcW w:w="134"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w:t>
            </w:r>
          </w:p>
        </w:tc>
        <w:tc>
          <w:tcPr>
            <w:tcW w:w="145"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230"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193" w:type="pct"/>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每日班前检查，发现问题及时上报。</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票证员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227</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restar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人员出外未锁门、保险柜、钥匙外借，不按规定保管、缴存款等。</w:t>
            </w:r>
          </w:p>
        </w:tc>
        <w:tc>
          <w:tcPr>
            <w:tcW w:w="134"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w:t>
            </w:r>
          </w:p>
        </w:tc>
        <w:tc>
          <w:tcPr>
            <w:tcW w:w="145"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230"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193" w:type="pct"/>
            <w:vMerge w:val="restart"/>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制定票证、收款室相关管理规定。</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营运部</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经理</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228</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开展票证业务和安全教育培训。</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营运部</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经理</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229</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执行班前交底、班中稽查检查制度，对发现的不规范行为及时纠正。</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站长</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230</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restar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违法分子偷盗或抢劫财物。</w:t>
            </w:r>
          </w:p>
        </w:tc>
        <w:tc>
          <w:tcPr>
            <w:tcW w:w="134"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w:t>
            </w:r>
          </w:p>
        </w:tc>
        <w:tc>
          <w:tcPr>
            <w:tcW w:w="145"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230"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193" w:type="pct"/>
            <w:vMerge w:val="restart"/>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确保“三铁一器”、“三专六防”完好有效。</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站长</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231</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制定防盗抢应急预案，定期开展演练。</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营运部</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经理</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232</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火灾</w:t>
            </w:r>
          </w:p>
        </w:tc>
        <w:tc>
          <w:tcPr>
            <w:tcW w:w="938" w:type="pct"/>
            <w:vMerge w:val="restar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私拉乱接电源、使用大功率电器，违规存放易燃易爆物品等。</w:t>
            </w:r>
          </w:p>
        </w:tc>
        <w:tc>
          <w:tcPr>
            <w:tcW w:w="134"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145"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230"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4</w:t>
            </w:r>
          </w:p>
        </w:tc>
        <w:tc>
          <w:tcPr>
            <w:tcW w:w="193" w:type="pct"/>
            <w:vMerge w:val="restart"/>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开展用电、消防安全教育培训，提高员工安全意识。</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站长</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233</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每日开展检查，发现的问题及时处理。</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站长</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234</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事故扩大</w:t>
            </w:r>
          </w:p>
        </w:tc>
        <w:tc>
          <w:tcPr>
            <w:tcW w:w="938" w:type="pct"/>
            <w:vMerge w:val="restar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灭火器缺损、失效，人员应急处置能力不足。</w:t>
            </w:r>
          </w:p>
        </w:tc>
        <w:tc>
          <w:tcPr>
            <w:tcW w:w="134"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w:t>
            </w:r>
          </w:p>
        </w:tc>
        <w:tc>
          <w:tcPr>
            <w:tcW w:w="145"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230"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193" w:type="pct"/>
            <w:vMerge w:val="restart"/>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每日对对灭火器外观、压力等进行巡查，发现的问题及时上报。</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票证员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235</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定期组织演练，提高收款室人员灭火救援能力。</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站长</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236</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水泵房</w:t>
            </w:r>
          </w:p>
        </w:tc>
        <w:tc>
          <w:tcPr>
            <w:tcW w:w="273"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物体打击</w:t>
            </w:r>
          </w:p>
        </w:tc>
        <w:tc>
          <w:tcPr>
            <w:tcW w:w="938" w:type="pct"/>
            <w:vMerge w:val="restar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水泵软接头由于安装不符合规范、压力过大等原因发生爆裂，可能对人员造成伤害。</w:t>
            </w:r>
          </w:p>
        </w:tc>
        <w:tc>
          <w:tcPr>
            <w:tcW w:w="134"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145"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230"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4</w:t>
            </w:r>
          </w:p>
        </w:tc>
        <w:tc>
          <w:tcPr>
            <w:tcW w:w="193" w:type="pct"/>
            <w:vMerge w:val="restart"/>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水泵、接头应质量可靠、安装规范，压力调整合格。</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电工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237</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定期巡视检查，发现问题及时上报处理。</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电工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238</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触电</w:t>
            </w:r>
          </w:p>
        </w:tc>
        <w:tc>
          <w:tcPr>
            <w:tcW w:w="938"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水泵接地不当、漏电等原因，可能引起接触人员发生触电。</w:t>
            </w:r>
          </w:p>
        </w:tc>
        <w:tc>
          <w:tcPr>
            <w:tcW w:w="134"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145"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230"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4</w:t>
            </w:r>
          </w:p>
        </w:tc>
        <w:tc>
          <w:tcPr>
            <w:tcW w:w="193" w:type="pct"/>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水泵按规定进行接地。</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电工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239</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设备运转部位保护罩固定不牢，机械伤人。</w:t>
            </w:r>
          </w:p>
        </w:tc>
        <w:tc>
          <w:tcPr>
            <w:tcW w:w="134"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145"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230"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4</w:t>
            </w:r>
          </w:p>
        </w:tc>
        <w:tc>
          <w:tcPr>
            <w:tcW w:w="193" w:type="pct"/>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水泵运转部位保护罩应齐全牢固，设置警示标志。</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电工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240</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水泵控制箱/柜接地、漏电保护安装不当等原因造成作业人员发生触电。</w:t>
            </w:r>
          </w:p>
        </w:tc>
        <w:tc>
          <w:tcPr>
            <w:tcW w:w="134"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145"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230"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4</w:t>
            </w:r>
          </w:p>
        </w:tc>
        <w:tc>
          <w:tcPr>
            <w:tcW w:w="193" w:type="pct"/>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水泵控制箱/柜接地、漏电保护齐全有效，设置警示标志。</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电工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241</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restar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泵房积水、潮湿、线缆破损等，造成触电事故。</w:t>
            </w:r>
          </w:p>
        </w:tc>
        <w:tc>
          <w:tcPr>
            <w:tcW w:w="134"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145"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230"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4</w:t>
            </w:r>
          </w:p>
        </w:tc>
        <w:tc>
          <w:tcPr>
            <w:tcW w:w="193" w:type="pct"/>
            <w:vMerge w:val="restart"/>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定期检查，确保门窗完好无漏水，设备及管路无泄漏。</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电工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242</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电气线缆及设备应设置在可靠位置，防止水泡、破损漏电等。</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电工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243</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高处坠落/淹溺</w:t>
            </w:r>
          </w:p>
        </w:tc>
        <w:tc>
          <w:tcPr>
            <w:tcW w:w="938" w:type="pct"/>
            <w:vMerge w:val="restar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消防水池内巡查、维修时发生人员坠落事故。</w:t>
            </w:r>
          </w:p>
        </w:tc>
        <w:tc>
          <w:tcPr>
            <w:tcW w:w="134"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145"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230"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4</w:t>
            </w:r>
          </w:p>
        </w:tc>
        <w:tc>
          <w:tcPr>
            <w:tcW w:w="193" w:type="pct"/>
            <w:vMerge w:val="restart"/>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消防水池盖完好、上锁。</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电工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244</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池内巡查、维修时应设专人监护。</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电工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245</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事故扩大</w:t>
            </w:r>
          </w:p>
        </w:tc>
        <w:tc>
          <w:tcPr>
            <w:tcW w:w="938" w:type="pct"/>
            <w:vMerge w:val="restar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日常维修保养不到位、应急照明缺损、未定期测试、操作人员不熟悉作业流程等，造成事故发生后无法及时启动。</w:t>
            </w:r>
          </w:p>
        </w:tc>
        <w:tc>
          <w:tcPr>
            <w:tcW w:w="134"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145"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230"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4</w:t>
            </w:r>
          </w:p>
        </w:tc>
        <w:tc>
          <w:tcPr>
            <w:tcW w:w="193" w:type="pct"/>
            <w:vMerge w:val="restart"/>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按规定维修保养，定期对消防泵启动试验，确保设备正常使用。</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电工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246</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泵房内常规照明、应急照明应齐全有效。</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电工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247</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加强日常巡检，确保设备运转正常，阀门、开关处于正确位置，压力处于正常范围。</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电工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248</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按规定开展人员培训和应急演练，确保相关人员熟悉作业流程。</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站长</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249</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按规定开展消防巡查、检查、维保，发现问题及时解决上报。</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电工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250</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食堂</w:t>
            </w:r>
          </w:p>
        </w:tc>
        <w:tc>
          <w:tcPr>
            <w:tcW w:w="273"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火灾</w:t>
            </w:r>
          </w:p>
        </w:tc>
        <w:tc>
          <w:tcPr>
            <w:tcW w:w="938"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食用油、酒精类等可燃物质遇明火、高温、电气火花等因素，可能引发火灾。</w:t>
            </w:r>
          </w:p>
        </w:tc>
        <w:tc>
          <w:tcPr>
            <w:tcW w:w="134"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145"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5</w:t>
            </w:r>
          </w:p>
        </w:tc>
        <w:tc>
          <w:tcPr>
            <w:tcW w:w="230"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10</w:t>
            </w:r>
          </w:p>
        </w:tc>
        <w:tc>
          <w:tcPr>
            <w:tcW w:w="193" w:type="pct"/>
            <w:shd w:val="clear" w:color="000000" w:fill="FAE600"/>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一般</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食用油、酒精应单独存放，远离火源。</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食堂管理员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251</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restar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炉灶失火。</w:t>
            </w:r>
          </w:p>
        </w:tc>
        <w:tc>
          <w:tcPr>
            <w:tcW w:w="134"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w:t>
            </w:r>
          </w:p>
        </w:tc>
        <w:tc>
          <w:tcPr>
            <w:tcW w:w="145"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5</w:t>
            </w:r>
          </w:p>
        </w:tc>
        <w:tc>
          <w:tcPr>
            <w:tcW w:w="230"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5</w:t>
            </w:r>
          </w:p>
        </w:tc>
        <w:tc>
          <w:tcPr>
            <w:tcW w:w="193" w:type="pct"/>
            <w:vMerge w:val="restart"/>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后厨配备灭火器和灭火毯。</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食堂管理员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252</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炉灶周边严禁堆放易燃易爆物品。</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食堂管理员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253</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定期巡查维修炉灶，使用状态稳定、良好。</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食堂管理员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254</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对后厨人员开展消防安全教育培训和应急演练。</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食堂管理员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255</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restar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油气管道及阀门老化、破损、泄露。</w:t>
            </w:r>
          </w:p>
        </w:tc>
        <w:tc>
          <w:tcPr>
            <w:tcW w:w="134"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w:t>
            </w:r>
          </w:p>
        </w:tc>
        <w:tc>
          <w:tcPr>
            <w:tcW w:w="145"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5</w:t>
            </w:r>
          </w:p>
        </w:tc>
        <w:tc>
          <w:tcPr>
            <w:tcW w:w="230"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5</w:t>
            </w:r>
          </w:p>
        </w:tc>
        <w:tc>
          <w:tcPr>
            <w:tcW w:w="193" w:type="pct"/>
            <w:vMerge w:val="restart"/>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定期排查阀门、管道，确保在有效的使用期内。</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食堂管理员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256</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定期巡查，确保泄漏报警装置齐全、有效。</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食堂管理员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257</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定期巡视检查，发现隐患及时排查。</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食堂管理员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258</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烟道内所集聚的油污因高温、明火、电气火花可能引发火灾。</w:t>
            </w:r>
          </w:p>
        </w:tc>
        <w:tc>
          <w:tcPr>
            <w:tcW w:w="134"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145"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5</w:t>
            </w:r>
          </w:p>
        </w:tc>
        <w:tc>
          <w:tcPr>
            <w:tcW w:w="230"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10</w:t>
            </w:r>
          </w:p>
        </w:tc>
        <w:tc>
          <w:tcPr>
            <w:tcW w:w="193" w:type="pct"/>
            <w:shd w:val="clear" w:color="000000" w:fill="FAE600"/>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一般</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每季度清理一次烟道。</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食堂管理员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259</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食堂内超负荷用电、违章使用大功率电气、私拉乱接等。</w:t>
            </w:r>
          </w:p>
        </w:tc>
        <w:tc>
          <w:tcPr>
            <w:tcW w:w="134"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w:t>
            </w:r>
          </w:p>
        </w:tc>
        <w:tc>
          <w:tcPr>
            <w:tcW w:w="145"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5</w:t>
            </w:r>
          </w:p>
        </w:tc>
        <w:tc>
          <w:tcPr>
            <w:tcW w:w="230"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5</w:t>
            </w:r>
          </w:p>
        </w:tc>
        <w:tc>
          <w:tcPr>
            <w:tcW w:w="193" w:type="pct"/>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加强安全用电管理，严禁超负荷用电、违章使用大功率电器。</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食堂管理员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260</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火灾/触电</w:t>
            </w:r>
          </w:p>
        </w:tc>
        <w:tc>
          <w:tcPr>
            <w:tcW w:w="938" w:type="pct"/>
            <w:vMerge w:val="restar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电气线路、插座及设备防水、防潮措施不当</w:t>
            </w:r>
          </w:p>
        </w:tc>
        <w:tc>
          <w:tcPr>
            <w:tcW w:w="134"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w:t>
            </w:r>
          </w:p>
        </w:tc>
        <w:tc>
          <w:tcPr>
            <w:tcW w:w="145"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5</w:t>
            </w:r>
          </w:p>
        </w:tc>
        <w:tc>
          <w:tcPr>
            <w:tcW w:w="230"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5</w:t>
            </w:r>
          </w:p>
        </w:tc>
        <w:tc>
          <w:tcPr>
            <w:tcW w:w="193" w:type="pct"/>
            <w:vMerge w:val="restart"/>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食堂电气线路、灯具、插座应防潮。</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电工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261</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电气线路、插座及设备应连接可靠，无裸露、破损、挤压等现象。</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电工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262</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restar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虫鼠咬断线缆，造成短路。</w:t>
            </w:r>
          </w:p>
        </w:tc>
        <w:tc>
          <w:tcPr>
            <w:tcW w:w="134"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145"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230"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4</w:t>
            </w:r>
          </w:p>
        </w:tc>
        <w:tc>
          <w:tcPr>
            <w:tcW w:w="193" w:type="pct"/>
            <w:vMerge w:val="restart"/>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食堂配置防鼠器材。</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食堂管理员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263</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做好食堂卫生，定期消杀。</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食堂管理员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264</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烤箱、烤炉、电饼铛等电气炊事设备绝缘失效、线头裸露、虚接、接地不当等。</w:t>
            </w:r>
          </w:p>
        </w:tc>
        <w:tc>
          <w:tcPr>
            <w:tcW w:w="134"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145"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230"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4</w:t>
            </w:r>
          </w:p>
        </w:tc>
        <w:tc>
          <w:tcPr>
            <w:tcW w:w="193" w:type="pct"/>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电气线路、插座及设备应连接可靠，接地良好，无裸露、破损、虚接、挤压等现象。</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电工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265</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灼烫</w:t>
            </w:r>
          </w:p>
        </w:tc>
        <w:tc>
          <w:tcPr>
            <w:tcW w:w="938" w:type="pct"/>
            <w:vMerge w:val="restar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烤箱、烤炉、电饼铛等温度过高对人员造成烫伤。</w:t>
            </w:r>
          </w:p>
        </w:tc>
        <w:tc>
          <w:tcPr>
            <w:tcW w:w="134"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145"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w:t>
            </w:r>
          </w:p>
        </w:tc>
        <w:tc>
          <w:tcPr>
            <w:tcW w:w="230"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193" w:type="pct"/>
            <w:vMerge w:val="restart"/>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高温灼烫部位应有防护措施或张贴安全警示标识。</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食堂管理员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266</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为作业人员配备防护手套。</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食堂管理员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267</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机械伤害</w:t>
            </w:r>
          </w:p>
        </w:tc>
        <w:tc>
          <w:tcPr>
            <w:tcW w:w="938"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人员误操作接触和面机、压面机等设备的转动部位，可能发生机械伤害。</w:t>
            </w:r>
          </w:p>
        </w:tc>
        <w:tc>
          <w:tcPr>
            <w:tcW w:w="134"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145"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w:t>
            </w:r>
          </w:p>
        </w:tc>
        <w:tc>
          <w:tcPr>
            <w:tcW w:w="230"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193" w:type="pct"/>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转动部位防护装置应完好有效。</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食堂管理员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268</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食物中毒</w:t>
            </w:r>
          </w:p>
        </w:tc>
        <w:tc>
          <w:tcPr>
            <w:tcW w:w="938" w:type="pct"/>
            <w:vMerge w:val="restar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使用过期、质量不合格食品及原材料，食物保存不当发生变质等。</w:t>
            </w:r>
          </w:p>
        </w:tc>
        <w:tc>
          <w:tcPr>
            <w:tcW w:w="134"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w:t>
            </w:r>
          </w:p>
        </w:tc>
        <w:tc>
          <w:tcPr>
            <w:tcW w:w="145"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5</w:t>
            </w:r>
          </w:p>
        </w:tc>
        <w:tc>
          <w:tcPr>
            <w:tcW w:w="230"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5</w:t>
            </w:r>
          </w:p>
        </w:tc>
        <w:tc>
          <w:tcPr>
            <w:tcW w:w="193" w:type="pct"/>
            <w:vMerge w:val="restart"/>
            <w:shd w:val="clear" w:color="000000" w:fill="FAE600"/>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一般</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严格执行食材采购制度，定点采购治理合格的食品、原材料。</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食堂管理员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269</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分类储存，及时清理过期变质食品及原材料。</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食堂管理员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270</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配备并定期检查冷藏设施完好有效。</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食堂管理员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271</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restar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食堂卫生条件差，存在蝇、鼠，餐具不洁净、不消毒等。</w:t>
            </w:r>
          </w:p>
        </w:tc>
        <w:tc>
          <w:tcPr>
            <w:tcW w:w="134"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145"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230"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4</w:t>
            </w:r>
          </w:p>
        </w:tc>
        <w:tc>
          <w:tcPr>
            <w:tcW w:w="193" w:type="pct"/>
            <w:vMerge w:val="restart"/>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做好食堂卫生清洁和检查工作。</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食堂管理员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272</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配备并定期检查消毒柜完好有效。</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食堂管理员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273</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餐具应按时清洁，定期消毒。</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食堂管理员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274</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餐厅及后厨做好防鼠、防疫工作</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食堂管理员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275</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restar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生熟不分、食材烹饪不熟等。</w:t>
            </w:r>
          </w:p>
        </w:tc>
        <w:tc>
          <w:tcPr>
            <w:tcW w:w="134"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145"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230"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4</w:t>
            </w:r>
          </w:p>
        </w:tc>
        <w:tc>
          <w:tcPr>
            <w:tcW w:w="193" w:type="pct"/>
            <w:vMerge w:val="restart"/>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刀具、案板应生熟分开，张贴标识。</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食堂管理员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276</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开展业务培训，食堂操作人员应严格按规定作业。</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食堂管理员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277</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其他</w:t>
            </w:r>
          </w:p>
        </w:tc>
        <w:tc>
          <w:tcPr>
            <w:tcW w:w="938"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地面湿滑造成人员摔伤。</w:t>
            </w:r>
          </w:p>
        </w:tc>
        <w:tc>
          <w:tcPr>
            <w:tcW w:w="134"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145"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w:t>
            </w:r>
          </w:p>
        </w:tc>
        <w:tc>
          <w:tcPr>
            <w:tcW w:w="230"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193" w:type="pct"/>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地面有水时应及时墩干，人员穿防滑鞋。</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食堂管理员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278</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刀具使用、放置不当。</w:t>
            </w:r>
          </w:p>
        </w:tc>
        <w:tc>
          <w:tcPr>
            <w:tcW w:w="134"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145"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w:t>
            </w:r>
          </w:p>
        </w:tc>
        <w:tc>
          <w:tcPr>
            <w:tcW w:w="230"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193" w:type="pct"/>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刀具应放置稳妥。</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食堂管理员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279</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restar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高温中暑。</w:t>
            </w:r>
          </w:p>
        </w:tc>
        <w:tc>
          <w:tcPr>
            <w:tcW w:w="134"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w:t>
            </w:r>
          </w:p>
        </w:tc>
        <w:tc>
          <w:tcPr>
            <w:tcW w:w="145"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w:t>
            </w:r>
          </w:p>
        </w:tc>
        <w:tc>
          <w:tcPr>
            <w:tcW w:w="230"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w:t>
            </w:r>
          </w:p>
        </w:tc>
        <w:tc>
          <w:tcPr>
            <w:tcW w:w="193" w:type="pct"/>
            <w:vMerge w:val="restart"/>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操作间应通风良好，条件许可时配备空调设施。</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食堂管理员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280</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夏天时配备防暑降温食品。</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食堂管理员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281</w:t>
            </w:r>
          </w:p>
        </w:tc>
        <w:tc>
          <w:tcPr>
            <w:tcW w:w="171" w:type="pct"/>
            <w:vMerge w:val="restart"/>
            <w:vAlign w:val="center"/>
          </w:tcPr>
          <w:p>
            <w:pPr>
              <w:spacing w:after="0" w:line="320" w:lineRule="exact"/>
              <w:ind w:left="0" w:firstLine="0"/>
              <w:rPr>
                <w:rFonts w:ascii="宋体" w:hAnsi="宋体" w:eastAsia="宋体" w:cs="宋体"/>
                <w:color w:val="auto"/>
                <w:kern w:val="0"/>
                <w:sz w:val="18"/>
                <w:szCs w:val="18"/>
              </w:rPr>
            </w:pPr>
            <w:r>
              <w:rPr>
                <w:rFonts w:ascii="宋体" w:hAnsi="宋体" w:eastAsia="宋体" w:cs="宋体"/>
                <w:color w:val="auto"/>
                <w:kern w:val="0"/>
                <w:sz w:val="18"/>
                <w:szCs w:val="18"/>
              </w:rPr>
              <w:t>锅炉房</w:t>
            </w:r>
          </w:p>
        </w:tc>
        <w:tc>
          <w:tcPr>
            <w:tcW w:w="194" w:type="pct"/>
            <w:vMerge w:val="restart"/>
            <w:vAlign w:val="center"/>
          </w:tcPr>
          <w:p>
            <w:pPr>
              <w:spacing w:after="0" w:line="320" w:lineRule="exact"/>
              <w:ind w:left="0" w:firstLine="0"/>
              <w:rPr>
                <w:rFonts w:ascii="宋体" w:hAnsi="宋体" w:eastAsia="宋体" w:cs="宋体"/>
                <w:color w:val="auto"/>
                <w:kern w:val="0"/>
                <w:sz w:val="18"/>
                <w:szCs w:val="18"/>
              </w:rPr>
            </w:pPr>
            <w:r>
              <w:rPr>
                <w:rFonts w:ascii="宋体" w:hAnsi="宋体" w:eastAsia="宋体" w:cs="宋体"/>
                <w:color w:val="auto"/>
                <w:kern w:val="0"/>
                <w:sz w:val="18"/>
                <w:szCs w:val="18"/>
              </w:rPr>
              <w:t>锅炉房</w:t>
            </w:r>
          </w:p>
        </w:tc>
        <w:tc>
          <w:tcPr>
            <w:tcW w:w="273" w:type="pct"/>
            <w:vMerge w:val="restart"/>
            <w:vAlign w:val="center"/>
          </w:tcPr>
          <w:p>
            <w:pPr>
              <w:spacing w:after="0" w:line="320" w:lineRule="exact"/>
              <w:ind w:left="0" w:firstLine="0"/>
              <w:rPr>
                <w:rFonts w:ascii="宋体" w:hAnsi="宋体" w:eastAsia="宋体" w:cs="宋体"/>
                <w:color w:val="auto"/>
                <w:kern w:val="0"/>
                <w:sz w:val="18"/>
                <w:szCs w:val="18"/>
              </w:rPr>
            </w:pPr>
            <w:r>
              <w:rPr>
                <w:rFonts w:ascii="宋体" w:hAnsi="宋体" w:eastAsia="宋体" w:cs="宋体"/>
                <w:color w:val="auto"/>
                <w:kern w:val="0"/>
                <w:sz w:val="18"/>
                <w:szCs w:val="18"/>
              </w:rPr>
              <w:t>火灾</w:t>
            </w:r>
          </w:p>
        </w:tc>
        <w:tc>
          <w:tcPr>
            <w:tcW w:w="938"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电动机火灾：电机绝缘破坏，发生相间、匝间短路；绕组断线或接触不良。</w:t>
            </w:r>
          </w:p>
        </w:tc>
        <w:tc>
          <w:tcPr>
            <w:tcW w:w="134"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 xml:space="preserve">3 </w:t>
            </w:r>
          </w:p>
        </w:tc>
        <w:tc>
          <w:tcPr>
            <w:tcW w:w="145"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 xml:space="preserve">1 </w:t>
            </w:r>
          </w:p>
        </w:tc>
        <w:tc>
          <w:tcPr>
            <w:tcW w:w="230"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 xml:space="preserve">3 </w:t>
            </w:r>
          </w:p>
        </w:tc>
        <w:tc>
          <w:tcPr>
            <w:tcW w:w="193" w:type="pct"/>
            <w:tcBorders>
              <w:top w:val="single" w:color="auto" w:sz="6" w:space="0"/>
              <w:bottom w:val="single" w:color="auto" w:sz="6" w:space="0"/>
            </w:tcBorders>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低风险</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加强对电动机的巡查维护。</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水电工</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282</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控制柜等电气设备老化、故障、连接松动。</w:t>
            </w:r>
          </w:p>
        </w:tc>
        <w:tc>
          <w:tcPr>
            <w:tcW w:w="134"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 xml:space="preserve">3 </w:t>
            </w:r>
          </w:p>
        </w:tc>
        <w:tc>
          <w:tcPr>
            <w:tcW w:w="145"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 xml:space="preserve">1 </w:t>
            </w:r>
          </w:p>
        </w:tc>
        <w:tc>
          <w:tcPr>
            <w:tcW w:w="230"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 xml:space="preserve">3 </w:t>
            </w:r>
          </w:p>
        </w:tc>
        <w:tc>
          <w:tcPr>
            <w:tcW w:w="193" w:type="pct"/>
            <w:tcBorders>
              <w:top w:val="single" w:color="auto" w:sz="6" w:space="0"/>
              <w:bottom w:val="single" w:color="auto" w:sz="6" w:space="0"/>
            </w:tcBorders>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低风险</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设备应在设计使用期限内；及时维护与保养；定期排查；条件许可时更新。</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水电工</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283</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压力表、超温、超压、液位等报警装置失效。</w:t>
            </w:r>
          </w:p>
        </w:tc>
        <w:tc>
          <w:tcPr>
            <w:tcW w:w="134"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 xml:space="preserve">3 </w:t>
            </w:r>
          </w:p>
        </w:tc>
        <w:tc>
          <w:tcPr>
            <w:tcW w:w="145"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 xml:space="preserve">1 </w:t>
            </w:r>
          </w:p>
        </w:tc>
        <w:tc>
          <w:tcPr>
            <w:tcW w:w="230"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 xml:space="preserve">3 </w:t>
            </w:r>
          </w:p>
        </w:tc>
        <w:tc>
          <w:tcPr>
            <w:tcW w:w="193" w:type="pct"/>
            <w:tcBorders>
              <w:top w:val="single" w:color="auto" w:sz="6" w:space="0"/>
              <w:bottom w:val="single" w:color="auto" w:sz="6" w:space="0"/>
            </w:tcBorders>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低风险</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定期排查，发现不正常时及时上报维修。</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水电工</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284</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柜内元器件容量不足、接线截面过小，超负荷用电。</w:t>
            </w:r>
          </w:p>
        </w:tc>
        <w:tc>
          <w:tcPr>
            <w:tcW w:w="134"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 xml:space="preserve">3 </w:t>
            </w:r>
          </w:p>
        </w:tc>
        <w:tc>
          <w:tcPr>
            <w:tcW w:w="145"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 xml:space="preserve">1 </w:t>
            </w:r>
          </w:p>
        </w:tc>
        <w:tc>
          <w:tcPr>
            <w:tcW w:w="230"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 xml:space="preserve">3 </w:t>
            </w:r>
          </w:p>
        </w:tc>
        <w:tc>
          <w:tcPr>
            <w:tcW w:w="193" w:type="pct"/>
            <w:tcBorders>
              <w:top w:val="single" w:color="auto" w:sz="6" w:space="0"/>
              <w:bottom w:val="single" w:color="auto" w:sz="6" w:space="0"/>
            </w:tcBorders>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低风险</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元器件应选型合理，配件齐全；定期排查；按照容量合理开启加热装置。</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水电工</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285</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线路老化、破损、虚接、短路、截面积过小等。</w:t>
            </w:r>
          </w:p>
        </w:tc>
        <w:tc>
          <w:tcPr>
            <w:tcW w:w="134"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 xml:space="preserve">3 </w:t>
            </w:r>
          </w:p>
        </w:tc>
        <w:tc>
          <w:tcPr>
            <w:tcW w:w="145"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 xml:space="preserve">1 </w:t>
            </w:r>
          </w:p>
        </w:tc>
        <w:tc>
          <w:tcPr>
            <w:tcW w:w="230"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 xml:space="preserve">3 </w:t>
            </w:r>
          </w:p>
        </w:tc>
        <w:tc>
          <w:tcPr>
            <w:tcW w:w="193" w:type="pct"/>
            <w:tcBorders>
              <w:top w:val="single" w:color="auto" w:sz="6" w:space="0"/>
              <w:bottom w:val="single" w:color="auto" w:sz="6" w:space="0"/>
            </w:tcBorders>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低风险</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线型选择应合格，质量可靠，接线规范；按规定定期巡检，发现隐患及时处理。</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水电工</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286</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室内设备及线路积水、潮湿、积尘。</w:t>
            </w:r>
          </w:p>
        </w:tc>
        <w:tc>
          <w:tcPr>
            <w:tcW w:w="134"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 xml:space="preserve">3 </w:t>
            </w:r>
          </w:p>
        </w:tc>
        <w:tc>
          <w:tcPr>
            <w:tcW w:w="145"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 xml:space="preserve">1 </w:t>
            </w:r>
          </w:p>
        </w:tc>
        <w:tc>
          <w:tcPr>
            <w:tcW w:w="230"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 xml:space="preserve">3 </w:t>
            </w:r>
          </w:p>
        </w:tc>
        <w:tc>
          <w:tcPr>
            <w:tcW w:w="193" w:type="pct"/>
            <w:tcBorders>
              <w:top w:val="single" w:color="auto" w:sz="6" w:space="0"/>
              <w:bottom w:val="single" w:color="auto" w:sz="6" w:space="0"/>
            </w:tcBorders>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低风险</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室内门窗通风装置良好；定期清扫、巡查，确保室内环境良好。</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水电工</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287</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室内吸烟、违章动火。</w:t>
            </w:r>
          </w:p>
        </w:tc>
        <w:tc>
          <w:tcPr>
            <w:tcW w:w="134"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 xml:space="preserve">3 </w:t>
            </w:r>
          </w:p>
        </w:tc>
        <w:tc>
          <w:tcPr>
            <w:tcW w:w="145"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 xml:space="preserve">1 </w:t>
            </w:r>
          </w:p>
        </w:tc>
        <w:tc>
          <w:tcPr>
            <w:tcW w:w="230"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 xml:space="preserve">3 </w:t>
            </w:r>
          </w:p>
        </w:tc>
        <w:tc>
          <w:tcPr>
            <w:tcW w:w="193" w:type="pct"/>
            <w:tcBorders>
              <w:top w:val="single" w:color="auto" w:sz="6" w:space="0"/>
              <w:bottom w:val="single" w:color="auto" w:sz="6" w:space="0"/>
            </w:tcBorders>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低风险</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室内严禁吸烟，室外张贴安全警示标识；动火作业时应执行审批制度。</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水电工</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288</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室内堆放无关易燃易爆物品（杂物）。</w:t>
            </w:r>
          </w:p>
        </w:tc>
        <w:tc>
          <w:tcPr>
            <w:tcW w:w="134"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 xml:space="preserve">3 </w:t>
            </w:r>
          </w:p>
        </w:tc>
        <w:tc>
          <w:tcPr>
            <w:tcW w:w="145"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 xml:space="preserve">1 </w:t>
            </w:r>
          </w:p>
        </w:tc>
        <w:tc>
          <w:tcPr>
            <w:tcW w:w="230"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 xml:space="preserve">3 </w:t>
            </w:r>
          </w:p>
        </w:tc>
        <w:tc>
          <w:tcPr>
            <w:tcW w:w="193" w:type="pct"/>
            <w:tcBorders>
              <w:top w:val="single" w:color="auto" w:sz="6" w:space="0"/>
              <w:bottom w:val="single" w:color="auto" w:sz="6" w:space="0"/>
            </w:tcBorders>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低风险</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室内严禁堆放杂物，室外张贴安全警示标识；定期排查，保证室内整洁。</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水电工</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289</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消防器材不足、失效。</w:t>
            </w:r>
          </w:p>
        </w:tc>
        <w:tc>
          <w:tcPr>
            <w:tcW w:w="134"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 xml:space="preserve">3 </w:t>
            </w:r>
          </w:p>
        </w:tc>
        <w:tc>
          <w:tcPr>
            <w:tcW w:w="145"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 xml:space="preserve">1 </w:t>
            </w:r>
          </w:p>
        </w:tc>
        <w:tc>
          <w:tcPr>
            <w:tcW w:w="230"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 xml:space="preserve">3 </w:t>
            </w:r>
          </w:p>
        </w:tc>
        <w:tc>
          <w:tcPr>
            <w:tcW w:w="193" w:type="pct"/>
            <w:tcBorders>
              <w:top w:val="single" w:color="auto" w:sz="6" w:space="0"/>
              <w:bottom w:val="single" w:color="auto" w:sz="6" w:space="0"/>
            </w:tcBorders>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低风险</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室内按规定配置消防器材，定期巡查、维保。</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水电工</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290</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restart"/>
            <w:vAlign w:val="center"/>
          </w:tcPr>
          <w:p>
            <w:pPr>
              <w:spacing w:after="0" w:line="320" w:lineRule="exact"/>
              <w:ind w:left="0" w:firstLine="0"/>
              <w:rPr>
                <w:rFonts w:ascii="宋体" w:hAnsi="宋体" w:eastAsia="宋体" w:cs="宋体"/>
                <w:color w:val="auto"/>
                <w:kern w:val="0"/>
                <w:sz w:val="18"/>
                <w:szCs w:val="18"/>
              </w:rPr>
            </w:pPr>
            <w:r>
              <w:rPr>
                <w:rFonts w:ascii="宋体" w:hAnsi="宋体" w:eastAsia="宋体" w:cs="宋体"/>
                <w:color w:val="auto"/>
                <w:kern w:val="0"/>
                <w:sz w:val="18"/>
                <w:szCs w:val="18"/>
              </w:rPr>
              <w:t>触电</w:t>
            </w:r>
          </w:p>
        </w:tc>
        <w:tc>
          <w:tcPr>
            <w:tcW w:w="938"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控制柜等设备外壳及接地不到位。</w:t>
            </w:r>
          </w:p>
        </w:tc>
        <w:tc>
          <w:tcPr>
            <w:tcW w:w="134"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 xml:space="preserve">3 </w:t>
            </w:r>
          </w:p>
        </w:tc>
        <w:tc>
          <w:tcPr>
            <w:tcW w:w="145"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 xml:space="preserve">1 </w:t>
            </w:r>
          </w:p>
        </w:tc>
        <w:tc>
          <w:tcPr>
            <w:tcW w:w="230"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 xml:space="preserve">3 </w:t>
            </w:r>
          </w:p>
        </w:tc>
        <w:tc>
          <w:tcPr>
            <w:tcW w:w="193" w:type="pct"/>
            <w:tcBorders>
              <w:top w:val="single" w:color="auto" w:sz="6" w:space="0"/>
              <w:bottom w:val="single" w:color="auto" w:sz="6" w:space="0"/>
            </w:tcBorders>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低风险</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带电操作设备外壳应接地良好，门体跨接。</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水电工</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291</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电气线路及设备绝缘破损、老化。</w:t>
            </w:r>
          </w:p>
        </w:tc>
        <w:tc>
          <w:tcPr>
            <w:tcW w:w="134"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 xml:space="preserve">3 </w:t>
            </w:r>
          </w:p>
        </w:tc>
        <w:tc>
          <w:tcPr>
            <w:tcW w:w="145"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 xml:space="preserve">1 </w:t>
            </w:r>
          </w:p>
        </w:tc>
        <w:tc>
          <w:tcPr>
            <w:tcW w:w="230"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 xml:space="preserve">3 </w:t>
            </w:r>
          </w:p>
        </w:tc>
        <w:tc>
          <w:tcPr>
            <w:tcW w:w="193" w:type="pct"/>
            <w:tcBorders>
              <w:top w:val="single" w:color="auto" w:sz="6" w:space="0"/>
              <w:bottom w:val="single" w:color="auto" w:sz="6" w:space="0"/>
            </w:tcBorders>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低风险</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加强日常巡检，发现问题及时解决上报。</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水电工</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292</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非电气作业人员违章检修作业。</w:t>
            </w:r>
          </w:p>
        </w:tc>
        <w:tc>
          <w:tcPr>
            <w:tcW w:w="134"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 xml:space="preserve">3 </w:t>
            </w:r>
          </w:p>
        </w:tc>
        <w:tc>
          <w:tcPr>
            <w:tcW w:w="145"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 xml:space="preserve">1 </w:t>
            </w:r>
          </w:p>
        </w:tc>
        <w:tc>
          <w:tcPr>
            <w:tcW w:w="230"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 xml:space="preserve">3 </w:t>
            </w:r>
          </w:p>
        </w:tc>
        <w:tc>
          <w:tcPr>
            <w:tcW w:w="193" w:type="pct"/>
            <w:tcBorders>
              <w:top w:val="single" w:color="auto" w:sz="6" w:space="0"/>
              <w:bottom w:val="single" w:color="auto" w:sz="6" w:space="0"/>
            </w:tcBorders>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低风险</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存在电气隐患时及时上报维修。</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水电工</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293</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管道及设备泄漏、潮湿、积水。</w:t>
            </w:r>
          </w:p>
        </w:tc>
        <w:tc>
          <w:tcPr>
            <w:tcW w:w="134"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 xml:space="preserve">3 </w:t>
            </w:r>
          </w:p>
        </w:tc>
        <w:tc>
          <w:tcPr>
            <w:tcW w:w="145"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 xml:space="preserve">1 </w:t>
            </w:r>
          </w:p>
        </w:tc>
        <w:tc>
          <w:tcPr>
            <w:tcW w:w="230"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 xml:space="preserve">3 </w:t>
            </w:r>
          </w:p>
        </w:tc>
        <w:tc>
          <w:tcPr>
            <w:tcW w:w="193" w:type="pct"/>
            <w:tcBorders>
              <w:top w:val="single" w:color="auto" w:sz="6" w:space="0"/>
              <w:bottom w:val="single" w:color="auto" w:sz="6" w:space="0"/>
            </w:tcBorders>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低风险</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加强日常巡检，发现问题及时解决上报。</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水电工</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294</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restart"/>
            <w:vAlign w:val="center"/>
          </w:tcPr>
          <w:p>
            <w:pPr>
              <w:spacing w:after="0" w:line="320" w:lineRule="exact"/>
              <w:ind w:left="0" w:firstLine="0"/>
              <w:rPr>
                <w:rFonts w:ascii="宋体" w:hAnsi="宋体" w:eastAsia="宋体" w:cs="宋体"/>
                <w:color w:val="auto"/>
                <w:kern w:val="0"/>
                <w:sz w:val="18"/>
                <w:szCs w:val="18"/>
              </w:rPr>
            </w:pPr>
            <w:r>
              <w:rPr>
                <w:rFonts w:ascii="宋体" w:hAnsi="宋体" w:eastAsia="宋体" w:cs="宋体"/>
                <w:color w:val="auto"/>
                <w:kern w:val="0"/>
                <w:sz w:val="18"/>
                <w:szCs w:val="18"/>
              </w:rPr>
              <w:t>高处坠落</w:t>
            </w:r>
          </w:p>
        </w:tc>
        <w:tc>
          <w:tcPr>
            <w:tcW w:w="938"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攀爬栏杆设置不牢。</w:t>
            </w:r>
          </w:p>
        </w:tc>
        <w:tc>
          <w:tcPr>
            <w:tcW w:w="134"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 xml:space="preserve">3 </w:t>
            </w:r>
          </w:p>
        </w:tc>
        <w:tc>
          <w:tcPr>
            <w:tcW w:w="145"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 xml:space="preserve">1 </w:t>
            </w:r>
          </w:p>
        </w:tc>
        <w:tc>
          <w:tcPr>
            <w:tcW w:w="230"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 xml:space="preserve">3 </w:t>
            </w:r>
          </w:p>
        </w:tc>
        <w:tc>
          <w:tcPr>
            <w:tcW w:w="193" w:type="pct"/>
            <w:tcBorders>
              <w:top w:val="single" w:color="auto" w:sz="6" w:space="0"/>
              <w:bottom w:val="single" w:color="auto" w:sz="6" w:space="0"/>
            </w:tcBorders>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低风险</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加强日常巡查维护，确保护栏齐全稳固。</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水电工</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295</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夜间照明不良、应急照明缺损。</w:t>
            </w:r>
          </w:p>
        </w:tc>
        <w:tc>
          <w:tcPr>
            <w:tcW w:w="134"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 xml:space="preserve">3 </w:t>
            </w:r>
          </w:p>
        </w:tc>
        <w:tc>
          <w:tcPr>
            <w:tcW w:w="145"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 xml:space="preserve">1 </w:t>
            </w:r>
          </w:p>
        </w:tc>
        <w:tc>
          <w:tcPr>
            <w:tcW w:w="230"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 xml:space="preserve">3 </w:t>
            </w:r>
          </w:p>
        </w:tc>
        <w:tc>
          <w:tcPr>
            <w:tcW w:w="193" w:type="pct"/>
            <w:tcBorders>
              <w:top w:val="single" w:color="auto" w:sz="6" w:space="0"/>
              <w:bottom w:val="single" w:color="auto" w:sz="6" w:space="0"/>
            </w:tcBorders>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低风险</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设置常规照明、应急照明，加强日常巡检，发现问题及时解决上报。</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水电工</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296</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作业人员注意力不集中、酒后、冒险作业。</w:t>
            </w:r>
          </w:p>
        </w:tc>
        <w:tc>
          <w:tcPr>
            <w:tcW w:w="134"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 xml:space="preserve">3 </w:t>
            </w:r>
          </w:p>
        </w:tc>
        <w:tc>
          <w:tcPr>
            <w:tcW w:w="145"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 xml:space="preserve">1 </w:t>
            </w:r>
          </w:p>
        </w:tc>
        <w:tc>
          <w:tcPr>
            <w:tcW w:w="230"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 xml:space="preserve">3 </w:t>
            </w:r>
          </w:p>
        </w:tc>
        <w:tc>
          <w:tcPr>
            <w:tcW w:w="193" w:type="pct"/>
            <w:tcBorders>
              <w:top w:val="single" w:color="auto" w:sz="6" w:space="0"/>
              <w:bottom w:val="single" w:color="auto" w:sz="6" w:space="0"/>
            </w:tcBorders>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低风险</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严格要求职工遵守作业规程、加强安全教育。</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水电工</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297</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检查水位时，注意力不集中。</w:t>
            </w:r>
          </w:p>
        </w:tc>
        <w:tc>
          <w:tcPr>
            <w:tcW w:w="134"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 xml:space="preserve">3 </w:t>
            </w:r>
          </w:p>
        </w:tc>
        <w:tc>
          <w:tcPr>
            <w:tcW w:w="145"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 xml:space="preserve">1 </w:t>
            </w:r>
          </w:p>
        </w:tc>
        <w:tc>
          <w:tcPr>
            <w:tcW w:w="230"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 xml:space="preserve">3 </w:t>
            </w:r>
          </w:p>
        </w:tc>
        <w:tc>
          <w:tcPr>
            <w:tcW w:w="193" w:type="pct"/>
            <w:tcBorders>
              <w:top w:val="single" w:color="auto" w:sz="6" w:space="0"/>
              <w:bottom w:val="single" w:color="auto" w:sz="6" w:space="0"/>
            </w:tcBorders>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低风险</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严格要求职工遵守作业规程、加强安全教育。</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水电工</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298</w:t>
            </w:r>
          </w:p>
        </w:tc>
        <w:tc>
          <w:tcPr>
            <w:tcW w:w="171"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维修作业</w:t>
            </w:r>
          </w:p>
        </w:tc>
        <w:tc>
          <w:tcPr>
            <w:tcW w:w="194"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高处维修作业</w:t>
            </w:r>
          </w:p>
        </w:tc>
        <w:tc>
          <w:tcPr>
            <w:tcW w:w="273"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高处坠落</w:t>
            </w:r>
          </w:p>
        </w:tc>
        <w:tc>
          <w:tcPr>
            <w:tcW w:w="938" w:type="pct"/>
            <w:vMerge w:val="restar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爬梯、高处防护措施不到位。</w:t>
            </w:r>
          </w:p>
        </w:tc>
        <w:tc>
          <w:tcPr>
            <w:tcW w:w="134"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145"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230"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4</w:t>
            </w:r>
          </w:p>
        </w:tc>
        <w:tc>
          <w:tcPr>
            <w:tcW w:w="193" w:type="pct"/>
            <w:vMerge w:val="restart"/>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楼梯及超过2m作业平台应设置护栏。</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站长</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299</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作业爬梯应放置稳妥，设人监护。</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安全员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3</w:t>
            </w:r>
            <w:r>
              <w:rPr>
                <w:rFonts w:ascii="宋体" w:hAnsi="宋体" w:eastAsia="宋体" w:cs="宋体"/>
                <w:color w:val="auto"/>
                <w:kern w:val="0"/>
                <w:sz w:val="18"/>
                <w:szCs w:val="18"/>
              </w:rPr>
              <w:t>00</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除抢险作业外，恶劣天气不得室外高处作业。</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安全员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3</w:t>
            </w:r>
            <w:r>
              <w:rPr>
                <w:rFonts w:ascii="宋体" w:hAnsi="宋体" w:eastAsia="宋体" w:cs="宋体"/>
                <w:color w:val="auto"/>
                <w:kern w:val="0"/>
                <w:sz w:val="18"/>
                <w:szCs w:val="18"/>
              </w:rPr>
              <w:t>01</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高处坠落</w:t>
            </w:r>
          </w:p>
        </w:tc>
        <w:tc>
          <w:tcPr>
            <w:tcW w:w="938"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高处作业时个体防护措施不当。</w:t>
            </w:r>
          </w:p>
        </w:tc>
        <w:tc>
          <w:tcPr>
            <w:tcW w:w="134"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145"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230"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4</w:t>
            </w:r>
          </w:p>
        </w:tc>
        <w:tc>
          <w:tcPr>
            <w:tcW w:w="193" w:type="pct"/>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高处作业人员应佩戴安全带、防滑鞋。</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安全员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3</w:t>
            </w:r>
            <w:r>
              <w:rPr>
                <w:rFonts w:ascii="宋体" w:hAnsi="宋体" w:eastAsia="宋体" w:cs="宋体"/>
                <w:color w:val="auto"/>
                <w:kern w:val="0"/>
                <w:sz w:val="18"/>
                <w:szCs w:val="18"/>
              </w:rPr>
              <w:t>02</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高处坠落</w:t>
            </w:r>
          </w:p>
        </w:tc>
        <w:tc>
          <w:tcPr>
            <w:tcW w:w="938" w:type="pct"/>
            <w:vMerge w:val="restar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高处作业人员注意力不集中、酒后，及高抛低接等冒险作业。</w:t>
            </w:r>
          </w:p>
        </w:tc>
        <w:tc>
          <w:tcPr>
            <w:tcW w:w="134"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145"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230"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4</w:t>
            </w:r>
          </w:p>
        </w:tc>
        <w:tc>
          <w:tcPr>
            <w:tcW w:w="193" w:type="pct"/>
            <w:vMerge w:val="restart"/>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制定并严格落实高处作业规程,加强安全教育培训。</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安全员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ascii="宋体" w:hAnsi="宋体" w:eastAsia="宋体" w:cs="宋体"/>
                <w:color w:val="auto"/>
                <w:kern w:val="0"/>
                <w:sz w:val="18"/>
                <w:szCs w:val="18"/>
              </w:rPr>
              <w:t>303</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作业时开展现场检查，及时纠正违章行为。</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安全员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3</w:t>
            </w:r>
            <w:r>
              <w:rPr>
                <w:rFonts w:ascii="宋体" w:hAnsi="宋体" w:eastAsia="宋体" w:cs="宋体"/>
                <w:color w:val="auto"/>
                <w:kern w:val="0"/>
                <w:sz w:val="18"/>
                <w:szCs w:val="18"/>
              </w:rPr>
              <w:t>04</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物体打击</w:t>
            </w:r>
          </w:p>
        </w:tc>
        <w:tc>
          <w:tcPr>
            <w:tcW w:w="938"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高处作业平台上或临边位置，工具、材料放置不稳。</w:t>
            </w:r>
          </w:p>
        </w:tc>
        <w:tc>
          <w:tcPr>
            <w:tcW w:w="134"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145"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230"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4</w:t>
            </w:r>
          </w:p>
        </w:tc>
        <w:tc>
          <w:tcPr>
            <w:tcW w:w="193" w:type="pct"/>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高处作业平台上或临边位置的工具、材料放置应放置稳妥。</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安全员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3</w:t>
            </w:r>
            <w:r>
              <w:rPr>
                <w:rFonts w:ascii="宋体" w:hAnsi="宋体" w:eastAsia="宋体" w:cs="宋体"/>
                <w:color w:val="auto"/>
                <w:kern w:val="0"/>
                <w:sz w:val="18"/>
                <w:szCs w:val="18"/>
              </w:rPr>
              <w:t>05</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有限空间作业</w:t>
            </w:r>
          </w:p>
        </w:tc>
        <w:tc>
          <w:tcPr>
            <w:tcW w:w="273"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中毒窒息</w:t>
            </w:r>
          </w:p>
        </w:tc>
        <w:tc>
          <w:tcPr>
            <w:tcW w:w="938" w:type="pct"/>
            <w:vMerge w:val="restar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污水井等有限空间作业准备不周，如作业前不清楚井下情况，未进行通风，作业时个体防护措施不当，无人监护等。</w:t>
            </w:r>
          </w:p>
        </w:tc>
        <w:tc>
          <w:tcPr>
            <w:tcW w:w="134"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145"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5</w:t>
            </w:r>
          </w:p>
        </w:tc>
        <w:tc>
          <w:tcPr>
            <w:tcW w:w="230"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10</w:t>
            </w:r>
          </w:p>
        </w:tc>
        <w:tc>
          <w:tcPr>
            <w:tcW w:w="193" w:type="pct"/>
            <w:vMerge w:val="restart"/>
            <w:shd w:val="clear" w:color="000000" w:fill="FAE600"/>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一般</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作业前应告知相关人员井下基本情况，作业前进行风险及应急处置告知，避免盲目施救。</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站长</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3</w:t>
            </w:r>
            <w:r>
              <w:rPr>
                <w:rFonts w:ascii="宋体" w:hAnsi="宋体" w:eastAsia="宋体" w:cs="宋体"/>
                <w:color w:val="auto"/>
                <w:kern w:val="0"/>
                <w:sz w:val="18"/>
                <w:szCs w:val="18"/>
              </w:rPr>
              <w:t>06</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作业前先进行通风，设专人监护。</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站长</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3</w:t>
            </w:r>
            <w:r>
              <w:rPr>
                <w:rFonts w:ascii="宋体" w:hAnsi="宋体" w:eastAsia="宋体" w:cs="宋体"/>
                <w:color w:val="auto"/>
                <w:kern w:val="0"/>
                <w:sz w:val="18"/>
                <w:szCs w:val="18"/>
              </w:rPr>
              <w:t>07</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井下作业人员宜佩戴呼吸器。</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站长</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3</w:t>
            </w:r>
            <w:r>
              <w:rPr>
                <w:rFonts w:ascii="宋体" w:hAnsi="宋体" w:eastAsia="宋体" w:cs="宋体"/>
                <w:color w:val="auto"/>
                <w:kern w:val="0"/>
                <w:sz w:val="18"/>
                <w:szCs w:val="18"/>
              </w:rPr>
              <w:t>08</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高处坠落</w:t>
            </w:r>
          </w:p>
        </w:tc>
        <w:tc>
          <w:tcPr>
            <w:tcW w:w="938"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爬梯、高处防护不到位，作业时个体防护措施不当。</w:t>
            </w:r>
          </w:p>
        </w:tc>
        <w:tc>
          <w:tcPr>
            <w:tcW w:w="134"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145"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230"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4</w:t>
            </w:r>
          </w:p>
        </w:tc>
        <w:tc>
          <w:tcPr>
            <w:tcW w:w="193" w:type="pct"/>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井口周边设置围挡，设置下井专用爬梯。</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安全员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3</w:t>
            </w:r>
            <w:r>
              <w:rPr>
                <w:rFonts w:ascii="宋体" w:hAnsi="宋体" w:eastAsia="宋体" w:cs="宋体"/>
                <w:color w:val="auto"/>
                <w:kern w:val="0"/>
                <w:sz w:val="18"/>
                <w:szCs w:val="18"/>
              </w:rPr>
              <w:t>09</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物体打击</w:t>
            </w:r>
          </w:p>
        </w:tc>
        <w:tc>
          <w:tcPr>
            <w:tcW w:w="938" w:type="pct"/>
            <w:vMerge w:val="restar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井口临边防护措施不当，井口放置工具、堆载物品等。</w:t>
            </w:r>
          </w:p>
        </w:tc>
        <w:tc>
          <w:tcPr>
            <w:tcW w:w="134"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145"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230"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4</w:t>
            </w:r>
          </w:p>
        </w:tc>
        <w:tc>
          <w:tcPr>
            <w:tcW w:w="193" w:type="pct"/>
            <w:vMerge w:val="restart"/>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作业时设置围挡，工具、材料应与井口保持安全距离。</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安全员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3</w:t>
            </w:r>
            <w:r>
              <w:rPr>
                <w:rFonts w:ascii="宋体" w:hAnsi="宋体" w:eastAsia="宋体" w:cs="宋体"/>
                <w:color w:val="auto"/>
                <w:kern w:val="0"/>
                <w:sz w:val="18"/>
                <w:szCs w:val="18"/>
              </w:rPr>
              <w:t>10</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作业人员应穿戴防滑鞋，临边人员应与井口保持安全距离。</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安全员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3</w:t>
            </w:r>
            <w:r>
              <w:rPr>
                <w:rFonts w:ascii="宋体" w:hAnsi="宋体" w:eastAsia="宋体" w:cs="宋体"/>
                <w:color w:val="auto"/>
                <w:kern w:val="0"/>
                <w:sz w:val="18"/>
                <w:szCs w:val="18"/>
              </w:rPr>
              <w:t>11</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高处坠落</w:t>
            </w:r>
          </w:p>
        </w:tc>
        <w:tc>
          <w:tcPr>
            <w:tcW w:w="938"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作业人员注意力不集中、酒后、冒险作业</w:t>
            </w:r>
          </w:p>
        </w:tc>
        <w:tc>
          <w:tcPr>
            <w:tcW w:w="134"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145"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230"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4</w:t>
            </w:r>
          </w:p>
        </w:tc>
        <w:tc>
          <w:tcPr>
            <w:tcW w:w="193" w:type="pct"/>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作业时开展现场检查，及时纠正违章行为。</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安全员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3</w:t>
            </w:r>
            <w:r>
              <w:rPr>
                <w:rFonts w:ascii="宋体" w:hAnsi="宋体" w:eastAsia="宋体" w:cs="宋体"/>
                <w:color w:val="auto"/>
                <w:kern w:val="0"/>
                <w:sz w:val="18"/>
                <w:szCs w:val="18"/>
              </w:rPr>
              <w:t>12</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水电维修作业</w:t>
            </w:r>
          </w:p>
        </w:tc>
        <w:tc>
          <w:tcPr>
            <w:tcW w:w="273"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触电</w:t>
            </w:r>
          </w:p>
        </w:tc>
        <w:tc>
          <w:tcPr>
            <w:tcW w:w="938"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机电电设备及外壳接地不当，电气线路及设备绝缘破损、老化。</w:t>
            </w:r>
          </w:p>
        </w:tc>
        <w:tc>
          <w:tcPr>
            <w:tcW w:w="134"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145"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230"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4</w:t>
            </w:r>
          </w:p>
        </w:tc>
        <w:tc>
          <w:tcPr>
            <w:tcW w:w="193" w:type="pct"/>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作业前检查设备、线路接地及连接情况，进行安全确认后方可作业。</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电工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3</w:t>
            </w:r>
            <w:r>
              <w:rPr>
                <w:rFonts w:ascii="宋体" w:hAnsi="宋体" w:eastAsia="宋体" w:cs="宋体"/>
                <w:color w:val="auto"/>
                <w:kern w:val="0"/>
                <w:sz w:val="18"/>
                <w:szCs w:val="18"/>
              </w:rPr>
              <w:t>13</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restar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检维修作业操作程序不当，带电检修作业。</w:t>
            </w:r>
          </w:p>
        </w:tc>
        <w:tc>
          <w:tcPr>
            <w:tcW w:w="134"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145"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230"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4</w:t>
            </w:r>
          </w:p>
        </w:tc>
        <w:tc>
          <w:tcPr>
            <w:tcW w:w="193" w:type="pct"/>
            <w:vMerge w:val="restart"/>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制定并严格落实机电设备检修安全操作规程。</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电工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ascii="宋体" w:hAnsi="宋体" w:eastAsia="宋体" w:cs="宋体"/>
                <w:color w:val="auto"/>
                <w:kern w:val="0"/>
                <w:sz w:val="18"/>
                <w:szCs w:val="18"/>
              </w:rPr>
              <w:t>314</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3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45"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30"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作业前先进行断电，带电作业应使用绝缘工具，设专人监护。</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电工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3</w:t>
            </w:r>
            <w:r>
              <w:rPr>
                <w:rFonts w:ascii="宋体" w:hAnsi="宋体" w:eastAsia="宋体" w:cs="宋体"/>
                <w:color w:val="auto"/>
                <w:kern w:val="0"/>
                <w:sz w:val="18"/>
                <w:szCs w:val="18"/>
              </w:rPr>
              <w:t>15</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机械伤害</w:t>
            </w:r>
          </w:p>
        </w:tc>
        <w:tc>
          <w:tcPr>
            <w:tcW w:w="938"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作业时被卷入机械设备运转部位。</w:t>
            </w:r>
          </w:p>
        </w:tc>
        <w:tc>
          <w:tcPr>
            <w:tcW w:w="134"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145"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w:t>
            </w:r>
          </w:p>
        </w:tc>
        <w:tc>
          <w:tcPr>
            <w:tcW w:w="230"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193" w:type="pct"/>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作业前进行停机，设备运转时检修时应保持安全间距，避免穿松散服装。</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电工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82"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3</w:t>
            </w:r>
            <w:r>
              <w:rPr>
                <w:rFonts w:ascii="宋体" w:hAnsi="宋体" w:eastAsia="宋体" w:cs="宋体"/>
                <w:color w:val="auto"/>
                <w:kern w:val="0"/>
                <w:sz w:val="18"/>
                <w:szCs w:val="18"/>
              </w:rPr>
              <w:t>16</w:t>
            </w:r>
          </w:p>
        </w:tc>
        <w:tc>
          <w:tcPr>
            <w:tcW w:w="171"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194"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273" w:type="pct"/>
            <w:vMerge w:val="continue"/>
            <w:vAlign w:val="center"/>
          </w:tcPr>
          <w:p>
            <w:pPr>
              <w:spacing w:after="0" w:line="320" w:lineRule="exact"/>
              <w:ind w:left="0" w:firstLine="0"/>
              <w:rPr>
                <w:rFonts w:ascii="宋体" w:hAnsi="宋体" w:eastAsia="宋体" w:cs="宋体"/>
                <w:color w:val="auto"/>
                <w:kern w:val="0"/>
                <w:sz w:val="18"/>
                <w:szCs w:val="18"/>
              </w:rPr>
            </w:pPr>
          </w:p>
        </w:tc>
        <w:tc>
          <w:tcPr>
            <w:tcW w:w="938"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砂轮机、切割机等小型作业工具对人体的伤害。</w:t>
            </w:r>
          </w:p>
        </w:tc>
        <w:tc>
          <w:tcPr>
            <w:tcW w:w="134"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145"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1</w:t>
            </w:r>
          </w:p>
        </w:tc>
        <w:tc>
          <w:tcPr>
            <w:tcW w:w="230"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2</w:t>
            </w:r>
          </w:p>
        </w:tc>
        <w:tc>
          <w:tcPr>
            <w:tcW w:w="193" w:type="pct"/>
            <w:shd w:val="clear" w:color="000000" w:fill="3764FF"/>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低</w:t>
            </w:r>
          </w:p>
        </w:tc>
        <w:tc>
          <w:tcPr>
            <w:tcW w:w="2026"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使用质量合格的小型作业工具，作业人员佩戴防护手套、护目镜等劳保用品。</w:t>
            </w:r>
          </w:p>
        </w:tc>
        <w:tc>
          <w:tcPr>
            <w:tcW w:w="257" w:type="pct"/>
            <w:shd w:val="clear" w:color="auto" w:fill="auto"/>
            <w:vAlign w:val="center"/>
          </w:tcPr>
          <w:p>
            <w:pPr>
              <w:spacing w:after="0" w:line="320" w:lineRule="exact"/>
              <w:ind w:left="0" w:firstLine="0"/>
              <w:jc w:val="center"/>
              <w:rPr>
                <w:rFonts w:ascii="宋体" w:hAnsi="宋体" w:eastAsia="宋体" w:cs="宋体"/>
                <w:color w:val="auto"/>
                <w:kern w:val="0"/>
                <w:sz w:val="18"/>
                <w:szCs w:val="18"/>
              </w:rPr>
            </w:pPr>
            <w:r>
              <w:rPr>
                <w:rFonts w:hint="eastAsia" w:ascii="宋体" w:hAnsi="宋体" w:eastAsia="宋体" w:cs="宋体"/>
                <w:color w:val="auto"/>
                <w:kern w:val="0"/>
                <w:sz w:val="18"/>
                <w:szCs w:val="18"/>
              </w:rPr>
              <w:t>收费站</w:t>
            </w:r>
          </w:p>
        </w:tc>
        <w:tc>
          <w:tcPr>
            <w:tcW w:w="257" w:type="pct"/>
            <w:shd w:val="clear" w:color="auto" w:fill="auto"/>
            <w:vAlign w:val="center"/>
          </w:tcPr>
          <w:p>
            <w:pPr>
              <w:spacing w:after="0" w:line="320" w:lineRule="exact"/>
              <w:ind w:left="0" w:firstLine="0"/>
              <w:rPr>
                <w:rFonts w:ascii="宋体" w:hAnsi="宋体" w:eastAsia="宋体" w:cs="宋体"/>
                <w:color w:val="auto"/>
                <w:kern w:val="0"/>
                <w:sz w:val="18"/>
                <w:szCs w:val="18"/>
              </w:rPr>
            </w:pPr>
            <w:r>
              <w:rPr>
                <w:rFonts w:hint="eastAsia" w:ascii="宋体" w:hAnsi="宋体" w:eastAsia="宋体" w:cs="宋体"/>
                <w:color w:val="auto"/>
                <w:kern w:val="0"/>
                <w:sz w:val="18"/>
                <w:szCs w:val="18"/>
              </w:rPr>
              <w:t>电工</w:t>
            </w:r>
          </w:p>
        </w:tc>
      </w:tr>
    </w:tbl>
    <w:p>
      <w:pPr>
        <w:spacing w:after="0" w:line="240" w:lineRule="auto"/>
        <w:ind w:left="0" w:firstLine="0"/>
        <w:rPr>
          <w:rFonts w:cs="Calibri" w:asciiTheme="minorEastAsia" w:hAnsiTheme="minorEastAsia" w:eastAsiaTheme="minorEastAsia"/>
          <w:b/>
          <w:color w:val="auto"/>
          <w:sz w:val="28"/>
          <w:szCs w:val="24"/>
        </w:rPr>
      </w:pPr>
      <w:r>
        <w:rPr>
          <w:rFonts w:cs="Calibri" w:asciiTheme="minorEastAsia" w:hAnsiTheme="minorEastAsia" w:eastAsiaTheme="minorEastAsia"/>
          <w:b/>
          <w:color w:val="auto"/>
          <w:sz w:val="28"/>
          <w:szCs w:val="24"/>
        </w:rPr>
        <w:br w:type="page"/>
      </w:r>
    </w:p>
    <w:p>
      <w:pPr>
        <w:widowControl w:val="0"/>
        <w:spacing w:beforeLines="50" w:afterLines="50" w:line="560" w:lineRule="exact"/>
        <w:ind w:left="0" w:hanging="11"/>
        <w:outlineLvl w:val="1"/>
        <w:rPr>
          <w:rFonts w:cs="Calibri" w:asciiTheme="minorEastAsia" w:hAnsiTheme="minorEastAsia" w:eastAsiaTheme="minorEastAsia"/>
          <w:b/>
          <w:color w:val="auto"/>
          <w:sz w:val="28"/>
          <w:szCs w:val="24"/>
        </w:rPr>
      </w:pPr>
      <w:bookmarkStart w:id="18" w:name="_Toc80301751"/>
      <w:r>
        <w:rPr>
          <w:rFonts w:hint="eastAsia" w:cs="Calibri" w:asciiTheme="minorEastAsia" w:hAnsiTheme="minorEastAsia" w:eastAsiaTheme="minorEastAsia"/>
          <w:b/>
          <w:color w:val="auto"/>
          <w:sz w:val="28"/>
          <w:szCs w:val="24"/>
        </w:rPr>
        <w:t>2.</w:t>
      </w:r>
      <w:r>
        <w:rPr>
          <w:rFonts w:cs="Calibri" w:asciiTheme="minorEastAsia" w:hAnsiTheme="minorEastAsia" w:eastAsiaTheme="minorEastAsia"/>
          <w:b/>
          <w:color w:val="auto"/>
          <w:sz w:val="28"/>
          <w:szCs w:val="24"/>
        </w:rPr>
        <w:t>2</w:t>
      </w:r>
      <w:r>
        <w:rPr>
          <w:rFonts w:hint="eastAsia" w:cs="Calibri" w:asciiTheme="minorEastAsia" w:hAnsiTheme="minorEastAsia" w:eastAsiaTheme="minorEastAsia"/>
          <w:b/>
          <w:color w:val="auto"/>
          <w:sz w:val="28"/>
          <w:szCs w:val="24"/>
        </w:rPr>
        <w:t>风险告知牌</w:t>
      </w:r>
      <w:bookmarkEnd w:id="18"/>
    </w:p>
    <w:p>
      <w:pPr>
        <w:widowControl w:val="0"/>
        <w:spacing w:after="0" w:line="480" w:lineRule="exact"/>
        <w:ind w:left="0" w:firstLine="480"/>
        <w:jc w:val="both"/>
        <w:rPr>
          <w:rFonts w:cs="Calibri" w:asciiTheme="minorEastAsia" w:hAnsiTheme="minorEastAsia" w:eastAsiaTheme="minorEastAsia"/>
          <w:color w:val="auto"/>
          <w:szCs w:val="24"/>
        </w:rPr>
      </w:pPr>
      <w:r>
        <w:rPr>
          <w:rFonts w:cs="Calibri" w:asciiTheme="minorEastAsia" w:hAnsiTheme="minorEastAsia" w:eastAsiaTheme="minorEastAsia"/>
          <w:color w:val="auto"/>
          <w:szCs w:val="24"/>
        </w:rPr>
        <w:t>根据收费站院区</w:t>
      </w:r>
      <w:r>
        <w:rPr>
          <w:rFonts w:hint="eastAsia" w:cs="Calibri" w:asciiTheme="minorEastAsia" w:hAnsiTheme="minorEastAsia" w:eastAsiaTheme="minorEastAsia"/>
          <w:color w:val="auto"/>
          <w:szCs w:val="24"/>
        </w:rPr>
        <w:t>、</w:t>
      </w:r>
      <w:r>
        <w:rPr>
          <w:rFonts w:cs="Calibri" w:asciiTheme="minorEastAsia" w:hAnsiTheme="minorEastAsia" w:eastAsiaTheme="minorEastAsia"/>
          <w:color w:val="auto"/>
          <w:szCs w:val="24"/>
        </w:rPr>
        <w:t>收费广场设备设施配置情况</w:t>
      </w:r>
      <w:r>
        <w:rPr>
          <w:rFonts w:hint="eastAsia" w:cs="Calibri" w:asciiTheme="minorEastAsia" w:hAnsiTheme="minorEastAsia" w:eastAsiaTheme="minorEastAsia"/>
          <w:color w:val="auto"/>
          <w:szCs w:val="24"/>
        </w:rPr>
        <w:t>及作业情况，制定重点部位、区域、场所的风险告知牌。</w:t>
      </w:r>
    </w:p>
    <w:p>
      <w:pPr>
        <w:widowControl w:val="0"/>
        <w:spacing w:after="0" w:line="480" w:lineRule="exact"/>
        <w:ind w:left="0" w:firstLine="480"/>
        <w:jc w:val="both"/>
        <w:rPr>
          <w:rFonts w:cs="Calibri" w:asciiTheme="minorEastAsia" w:hAnsiTheme="minorEastAsia" w:eastAsiaTheme="minorEastAsia"/>
          <w:color w:val="auto"/>
          <w:szCs w:val="24"/>
        </w:rPr>
      </w:pPr>
    </w:p>
    <w:p>
      <w:pPr>
        <w:widowControl w:val="0"/>
        <w:spacing w:after="0" w:line="480" w:lineRule="exact"/>
        <w:ind w:left="0" w:firstLine="480"/>
        <w:jc w:val="both"/>
        <w:rPr>
          <w:rFonts w:cs="Calibri" w:asciiTheme="minorEastAsia" w:hAnsiTheme="minorEastAsia" w:eastAsiaTheme="minorEastAsia"/>
          <w:color w:val="auto"/>
          <w:szCs w:val="24"/>
        </w:rPr>
      </w:pPr>
    </w:p>
    <w:p>
      <w:pPr>
        <w:widowControl w:val="0"/>
        <w:spacing w:after="0" w:line="480" w:lineRule="exact"/>
        <w:ind w:left="0" w:firstLine="480"/>
        <w:jc w:val="both"/>
        <w:rPr>
          <w:rFonts w:cs="Calibri" w:asciiTheme="minorEastAsia" w:hAnsiTheme="minorEastAsia" w:eastAsiaTheme="minorEastAsia"/>
          <w:color w:val="auto"/>
          <w:szCs w:val="24"/>
        </w:rPr>
      </w:pPr>
    </w:p>
    <w:p>
      <w:pPr>
        <w:widowControl w:val="0"/>
        <w:spacing w:after="0" w:line="480" w:lineRule="exact"/>
        <w:ind w:left="0" w:firstLine="480"/>
        <w:jc w:val="both"/>
        <w:rPr>
          <w:rFonts w:cs="Calibri" w:asciiTheme="minorEastAsia" w:hAnsiTheme="minorEastAsia" w:eastAsiaTheme="minorEastAsia"/>
          <w:color w:val="auto"/>
          <w:szCs w:val="24"/>
        </w:rPr>
      </w:pPr>
    </w:p>
    <w:p>
      <w:pPr>
        <w:widowControl w:val="0"/>
        <w:spacing w:after="0" w:line="480" w:lineRule="exact"/>
        <w:ind w:left="0" w:firstLine="480"/>
        <w:jc w:val="both"/>
        <w:rPr>
          <w:rFonts w:cs="Calibri" w:asciiTheme="minorEastAsia" w:hAnsiTheme="minorEastAsia" w:eastAsiaTheme="minorEastAsia"/>
          <w:color w:val="auto"/>
          <w:szCs w:val="24"/>
        </w:rPr>
      </w:pPr>
    </w:p>
    <w:p>
      <w:pPr>
        <w:widowControl w:val="0"/>
        <w:spacing w:after="0" w:line="480" w:lineRule="exact"/>
        <w:ind w:left="0" w:firstLine="480"/>
        <w:jc w:val="both"/>
        <w:rPr>
          <w:rFonts w:cs="Calibri" w:asciiTheme="minorEastAsia" w:hAnsiTheme="minorEastAsia" w:eastAsiaTheme="minorEastAsia"/>
          <w:color w:val="auto"/>
          <w:szCs w:val="24"/>
        </w:rPr>
      </w:pPr>
    </w:p>
    <w:p>
      <w:pPr>
        <w:widowControl w:val="0"/>
        <w:spacing w:after="0" w:line="480" w:lineRule="exact"/>
        <w:ind w:left="0" w:firstLine="480"/>
        <w:jc w:val="both"/>
        <w:rPr>
          <w:rFonts w:cs="Calibri" w:asciiTheme="minorEastAsia" w:hAnsiTheme="minorEastAsia" w:eastAsiaTheme="minorEastAsia"/>
          <w:color w:val="auto"/>
          <w:szCs w:val="24"/>
        </w:rPr>
      </w:pPr>
    </w:p>
    <w:p>
      <w:pPr>
        <w:widowControl w:val="0"/>
        <w:spacing w:after="0" w:line="480" w:lineRule="exact"/>
        <w:ind w:left="0" w:firstLine="480"/>
        <w:jc w:val="both"/>
        <w:rPr>
          <w:rFonts w:cs="Calibri" w:asciiTheme="minorEastAsia" w:hAnsiTheme="minorEastAsia" w:eastAsiaTheme="minorEastAsia"/>
          <w:color w:val="auto"/>
          <w:szCs w:val="24"/>
        </w:rPr>
      </w:pPr>
    </w:p>
    <w:p>
      <w:pPr>
        <w:widowControl w:val="0"/>
        <w:spacing w:after="0" w:line="480" w:lineRule="exact"/>
        <w:ind w:left="0" w:firstLine="480"/>
        <w:jc w:val="both"/>
        <w:rPr>
          <w:rFonts w:cs="Calibri" w:asciiTheme="minorEastAsia" w:hAnsiTheme="minorEastAsia" w:eastAsiaTheme="minorEastAsia"/>
          <w:color w:val="auto"/>
          <w:szCs w:val="24"/>
        </w:rPr>
      </w:pPr>
    </w:p>
    <w:p>
      <w:pPr>
        <w:widowControl w:val="0"/>
        <w:spacing w:after="0" w:line="480" w:lineRule="exact"/>
        <w:ind w:left="0" w:firstLine="480"/>
        <w:jc w:val="both"/>
        <w:rPr>
          <w:rFonts w:cs="Calibri" w:asciiTheme="minorEastAsia" w:hAnsiTheme="minorEastAsia" w:eastAsiaTheme="minorEastAsia"/>
          <w:color w:val="auto"/>
          <w:szCs w:val="24"/>
        </w:rPr>
      </w:pPr>
    </w:p>
    <w:p>
      <w:pPr>
        <w:widowControl w:val="0"/>
        <w:spacing w:after="0" w:line="480" w:lineRule="exact"/>
        <w:ind w:left="0" w:firstLine="480"/>
        <w:jc w:val="both"/>
        <w:rPr>
          <w:rFonts w:cs="Calibri" w:asciiTheme="minorEastAsia" w:hAnsiTheme="minorEastAsia" w:eastAsiaTheme="minorEastAsia"/>
          <w:color w:val="auto"/>
          <w:szCs w:val="24"/>
        </w:rPr>
      </w:pPr>
    </w:p>
    <w:p>
      <w:pPr>
        <w:widowControl w:val="0"/>
        <w:spacing w:after="0" w:line="480" w:lineRule="exact"/>
        <w:ind w:left="0" w:firstLine="480"/>
        <w:jc w:val="both"/>
        <w:rPr>
          <w:rFonts w:cs="Calibri" w:asciiTheme="minorEastAsia" w:hAnsiTheme="minorEastAsia" w:eastAsiaTheme="minorEastAsia"/>
          <w:color w:val="auto"/>
          <w:szCs w:val="24"/>
        </w:rPr>
      </w:pPr>
    </w:p>
    <w:p>
      <w:pPr>
        <w:widowControl w:val="0"/>
        <w:spacing w:after="0" w:line="480" w:lineRule="exact"/>
        <w:ind w:left="0" w:firstLine="480"/>
        <w:jc w:val="both"/>
        <w:rPr>
          <w:rFonts w:cs="Calibri" w:asciiTheme="minorEastAsia" w:hAnsiTheme="minorEastAsia" w:eastAsiaTheme="minorEastAsia"/>
          <w:color w:val="auto"/>
          <w:szCs w:val="24"/>
        </w:rPr>
      </w:pPr>
    </w:p>
    <w:p>
      <w:pPr>
        <w:widowControl w:val="0"/>
        <w:spacing w:after="0" w:line="480" w:lineRule="exact"/>
        <w:ind w:left="0" w:firstLine="480"/>
        <w:jc w:val="both"/>
        <w:rPr>
          <w:rFonts w:cs="Calibri" w:asciiTheme="minorEastAsia" w:hAnsiTheme="minorEastAsia" w:eastAsiaTheme="minorEastAsia"/>
          <w:color w:val="auto"/>
          <w:szCs w:val="24"/>
        </w:rPr>
      </w:pPr>
    </w:p>
    <w:p>
      <w:pPr>
        <w:widowControl w:val="0"/>
        <w:spacing w:after="0" w:line="480" w:lineRule="exact"/>
        <w:ind w:left="0" w:firstLine="480"/>
        <w:jc w:val="both"/>
        <w:rPr>
          <w:rFonts w:cs="Calibri" w:asciiTheme="minorEastAsia" w:hAnsiTheme="minorEastAsia" w:eastAsiaTheme="minorEastAsia"/>
          <w:color w:val="auto"/>
          <w:szCs w:val="24"/>
        </w:rPr>
      </w:pPr>
    </w:p>
    <w:p>
      <w:pPr>
        <w:widowControl w:val="0"/>
        <w:spacing w:after="0" w:line="480" w:lineRule="exact"/>
        <w:ind w:left="0" w:firstLine="480"/>
        <w:jc w:val="both"/>
        <w:rPr>
          <w:rFonts w:cs="Calibri" w:asciiTheme="minorEastAsia" w:hAnsiTheme="minorEastAsia" w:eastAsiaTheme="minorEastAsia"/>
          <w:color w:val="auto"/>
          <w:szCs w:val="24"/>
        </w:rPr>
      </w:pPr>
    </w:p>
    <w:p>
      <w:pPr>
        <w:widowControl w:val="0"/>
        <w:spacing w:after="0" w:line="480" w:lineRule="exact"/>
        <w:ind w:left="0" w:firstLine="480"/>
        <w:jc w:val="both"/>
        <w:rPr>
          <w:rFonts w:cs="Calibri" w:asciiTheme="minorEastAsia" w:hAnsiTheme="minorEastAsia" w:eastAsiaTheme="minorEastAsia"/>
          <w:color w:val="auto"/>
          <w:szCs w:val="24"/>
        </w:rPr>
      </w:pPr>
    </w:p>
    <w:p>
      <w:pPr>
        <w:widowControl w:val="0"/>
        <w:spacing w:after="0" w:line="480" w:lineRule="exact"/>
        <w:ind w:left="0" w:firstLine="480"/>
        <w:jc w:val="both"/>
        <w:rPr>
          <w:rFonts w:cs="Calibri" w:asciiTheme="minorEastAsia" w:hAnsiTheme="minorEastAsia" w:eastAsiaTheme="minorEastAsia"/>
          <w:color w:val="auto"/>
          <w:szCs w:val="24"/>
        </w:rPr>
      </w:pPr>
    </w:p>
    <w:tbl>
      <w:tblPr>
        <w:tblStyle w:val="30"/>
        <w:tblpPr w:leftFromText="180" w:rightFromText="180" w:vertAnchor="text" w:horzAnchor="margin" w:tblpXSpec="center" w:tblpY="47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07"/>
        <w:gridCol w:w="4147"/>
        <w:gridCol w:w="1800"/>
        <w:gridCol w:w="5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607" w:type="dxa"/>
            <w:shd w:val="clear" w:color="auto" w:fill="auto"/>
            <w:vAlign w:val="center"/>
          </w:tcPr>
          <w:p>
            <w:pPr>
              <w:widowControl w:val="0"/>
              <w:spacing w:after="0" w:line="240" w:lineRule="auto"/>
              <w:ind w:left="0" w:firstLine="0"/>
              <w:jc w:val="center"/>
              <w:rPr>
                <w:rFonts w:ascii="宋体" w:hAnsi="宋体" w:eastAsia="宋体" w:cs="Times New Roman"/>
                <w:b/>
                <w:color w:val="auto"/>
                <w:szCs w:val="24"/>
              </w:rPr>
            </w:pPr>
            <w:r>
              <w:rPr>
                <w:rFonts w:hint="eastAsia" w:ascii="宋体" w:hAnsi="宋体" w:eastAsia="宋体" w:cs="Times New Roman"/>
                <w:b/>
                <w:color w:val="auto"/>
                <w:szCs w:val="24"/>
              </w:rPr>
              <w:t>风险点名称</w:t>
            </w:r>
          </w:p>
        </w:tc>
        <w:tc>
          <w:tcPr>
            <w:tcW w:w="4147" w:type="dxa"/>
            <w:shd w:val="clear" w:color="auto" w:fill="auto"/>
            <w:vAlign w:val="center"/>
          </w:tcPr>
          <w:p>
            <w:pPr>
              <w:widowControl w:val="0"/>
              <w:spacing w:after="0" w:line="240" w:lineRule="auto"/>
              <w:ind w:left="0" w:firstLine="0"/>
              <w:jc w:val="center"/>
              <w:rPr>
                <w:rFonts w:ascii="宋体" w:hAnsi="宋体" w:eastAsia="宋体" w:cs="Times New Roman"/>
                <w:b/>
                <w:color w:val="auto"/>
                <w:szCs w:val="24"/>
              </w:rPr>
            </w:pPr>
            <w:r>
              <w:rPr>
                <w:rFonts w:hint="eastAsia" w:ascii="宋体" w:hAnsi="宋体" w:eastAsia="宋体" w:cs="Times New Roman"/>
                <w:b/>
                <w:color w:val="auto"/>
                <w:szCs w:val="24"/>
              </w:rPr>
              <w:t>配电室</w:t>
            </w:r>
          </w:p>
        </w:tc>
        <w:tc>
          <w:tcPr>
            <w:tcW w:w="1800" w:type="dxa"/>
            <w:vMerge w:val="restart"/>
            <w:shd w:val="clear" w:color="auto" w:fill="auto"/>
            <w:vAlign w:val="center"/>
          </w:tcPr>
          <w:p>
            <w:pPr>
              <w:widowControl w:val="0"/>
              <w:spacing w:after="0" w:line="240" w:lineRule="auto"/>
              <w:ind w:left="0" w:firstLine="0"/>
              <w:jc w:val="center"/>
              <w:rPr>
                <w:rFonts w:ascii="宋体" w:hAnsi="宋体" w:eastAsia="宋体" w:cs="Times New Roman"/>
                <w:b/>
                <w:color w:val="auto"/>
                <w:szCs w:val="24"/>
              </w:rPr>
            </w:pPr>
            <w:r>
              <w:rPr>
                <w:rFonts w:hint="eastAsia" w:ascii="宋体" w:hAnsi="宋体" w:eastAsia="宋体" w:cs="Times New Roman"/>
                <w:b/>
                <w:color w:val="auto"/>
                <w:szCs w:val="24"/>
              </w:rPr>
              <w:t>致险因素描述</w:t>
            </w:r>
          </w:p>
        </w:tc>
        <w:tc>
          <w:tcPr>
            <w:tcW w:w="5966" w:type="dxa"/>
            <w:vMerge w:val="restart"/>
            <w:shd w:val="clear" w:color="auto" w:fill="auto"/>
            <w:vAlign w:val="center"/>
          </w:tcPr>
          <w:p>
            <w:pPr>
              <w:widowControl w:val="0"/>
              <w:spacing w:after="0" w:line="240" w:lineRule="auto"/>
              <w:ind w:left="0" w:firstLine="0"/>
              <w:rPr>
                <w:rFonts w:ascii="宋体" w:hAnsi="宋体" w:eastAsia="宋体" w:cs="Times New Roman"/>
                <w:b/>
                <w:color w:val="auto"/>
                <w:sz w:val="21"/>
                <w:szCs w:val="21"/>
              </w:rPr>
            </w:pPr>
            <w:r>
              <w:rPr>
                <w:rFonts w:hint="eastAsia" w:ascii="宋体" w:hAnsi="宋体" w:eastAsia="宋体" w:cs="Times New Roman"/>
                <w:b/>
                <w:color w:val="auto"/>
                <w:sz w:val="21"/>
                <w:szCs w:val="21"/>
              </w:rPr>
              <w:t>1.作业人员未持证上岗；</w:t>
            </w:r>
          </w:p>
          <w:p>
            <w:pPr>
              <w:widowControl w:val="0"/>
              <w:spacing w:after="0" w:line="240" w:lineRule="auto"/>
              <w:ind w:left="0" w:firstLine="0"/>
              <w:rPr>
                <w:rFonts w:ascii="宋体" w:hAnsi="宋体" w:eastAsia="宋体" w:cs="Times New Roman"/>
                <w:b/>
                <w:color w:val="auto"/>
                <w:sz w:val="21"/>
                <w:szCs w:val="21"/>
              </w:rPr>
            </w:pPr>
            <w:r>
              <w:rPr>
                <w:rFonts w:hint="eastAsia" w:ascii="宋体" w:hAnsi="宋体" w:eastAsia="宋体" w:cs="Times New Roman"/>
                <w:b/>
                <w:color w:val="auto"/>
                <w:sz w:val="21"/>
                <w:szCs w:val="21"/>
              </w:rPr>
              <w:t>2.停复电或检维修作业未遵守安全操作规程；</w:t>
            </w:r>
          </w:p>
          <w:p>
            <w:pPr>
              <w:widowControl w:val="0"/>
              <w:spacing w:after="0" w:line="240" w:lineRule="auto"/>
              <w:ind w:left="0" w:firstLine="0"/>
              <w:rPr>
                <w:rFonts w:ascii="宋体" w:hAnsi="宋体" w:eastAsia="宋体" w:cs="Times New Roman"/>
                <w:b/>
                <w:color w:val="auto"/>
                <w:sz w:val="21"/>
                <w:szCs w:val="21"/>
              </w:rPr>
            </w:pPr>
            <w:r>
              <w:rPr>
                <w:rFonts w:hint="eastAsia" w:ascii="宋体" w:hAnsi="宋体" w:eastAsia="宋体" w:cs="Times New Roman"/>
                <w:b/>
                <w:color w:val="auto"/>
                <w:sz w:val="21"/>
                <w:szCs w:val="21"/>
              </w:rPr>
              <w:t>3.检修工具及劳动防护用品有缺陷；</w:t>
            </w:r>
          </w:p>
          <w:p>
            <w:pPr>
              <w:widowControl w:val="0"/>
              <w:spacing w:after="0" w:line="240" w:lineRule="auto"/>
              <w:ind w:left="0" w:firstLine="0"/>
              <w:rPr>
                <w:rFonts w:ascii="宋体" w:hAnsi="宋体" w:eastAsia="宋体" w:cs="Times New Roman"/>
                <w:b/>
                <w:color w:val="auto"/>
                <w:sz w:val="21"/>
                <w:szCs w:val="21"/>
              </w:rPr>
            </w:pPr>
            <w:r>
              <w:rPr>
                <w:rFonts w:hint="eastAsia" w:ascii="宋体" w:hAnsi="宋体" w:eastAsia="宋体" w:cs="Times New Roman"/>
                <w:b/>
                <w:color w:val="auto"/>
                <w:sz w:val="21"/>
                <w:szCs w:val="21"/>
              </w:rPr>
              <w:t>4.安全防护设施有缺陷；</w:t>
            </w:r>
          </w:p>
          <w:p>
            <w:pPr>
              <w:widowControl w:val="0"/>
              <w:spacing w:after="0" w:line="240" w:lineRule="auto"/>
              <w:ind w:left="0" w:firstLine="0"/>
              <w:rPr>
                <w:rFonts w:ascii="宋体" w:hAnsi="宋体" w:eastAsia="宋体" w:cs="Times New Roman"/>
                <w:b/>
                <w:color w:val="auto"/>
                <w:sz w:val="21"/>
                <w:szCs w:val="21"/>
              </w:rPr>
            </w:pPr>
            <w:r>
              <w:rPr>
                <w:rFonts w:hint="eastAsia" w:ascii="宋体" w:hAnsi="宋体" w:eastAsia="宋体" w:cs="Times New Roman"/>
                <w:b/>
                <w:color w:val="auto"/>
                <w:sz w:val="21"/>
                <w:szCs w:val="21"/>
              </w:rPr>
              <w:t>5.多人协调作业配合不当。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607" w:type="dxa"/>
            <w:shd w:val="clear" w:color="auto" w:fill="auto"/>
            <w:vAlign w:val="center"/>
          </w:tcPr>
          <w:p>
            <w:pPr>
              <w:widowControl w:val="0"/>
              <w:spacing w:after="0" w:line="240" w:lineRule="auto"/>
              <w:ind w:left="0" w:firstLine="0"/>
              <w:jc w:val="center"/>
              <w:rPr>
                <w:rFonts w:ascii="宋体" w:hAnsi="宋体" w:eastAsia="宋体" w:cs="Times New Roman"/>
                <w:b/>
                <w:color w:val="auto"/>
                <w:szCs w:val="24"/>
              </w:rPr>
            </w:pPr>
            <w:r>
              <w:rPr>
                <w:rFonts w:hint="eastAsia" w:ascii="宋体" w:hAnsi="宋体" w:eastAsia="宋体" w:cs="Times New Roman"/>
                <w:b/>
                <w:color w:val="auto"/>
                <w:szCs w:val="24"/>
              </w:rPr>
              <w:t>风险等级</w:t>
            </w:r>
          </w:p>
        </w:tc>
        <w:tc>
          <w:tcPr>
            <w:tcW w:w="4147" w:type="dxa"/>
            <w:shd w:val="clear" w:color="auto" w:fill="FAE600"/>
            <w:vAlign w:val="center"/>
          </w:tcPr>
          <w:p>
            <w:pPr>
              <w:spacing w:line="240" w:lineRule="auto"/>
              <w:jc w:val="center"/>
              <w:rPr>
                <w:rFonts w:ascii="宋体" w:hAnsi="宋体" w:eastAsia="宋体"/>
                <w:b/>
                <w:color w:val="auto"/>
              </w:rPr>
            </w:pPr>
            <w:r>
              <w:rPr>
                <w:rFonts w:ascii="宋体" w:hAnsi="宋体" w:eastAsia="宋体"/>
                <w:b/>
                <w:color w:val="auto"/>
              </w:rPr>
              <w:t>一般风险</w:t>
            </w:r>
          </w:p>
        </w:tc>
        <w:tc>
          <w:tcPr>
            <w:tcW w:w="1800" w:type="dxa"/>
            <w:vMerge w:val="continue"/>
            <w:shd w:val="clear" w:color="auto" w:fill="auto"/>
            <w:vAlign w:val="center"/>
          </w:tcPr>
          <w:p>
            <w:pPr>
              <w:spacing w:line="240" w:lineRule="auto"/>
              <w:jc w:val="center"/>
              <w:rPr>
                <w:rFonts w:ascii="宋体" w:hAnsi="宋体" w:eastAsia="宋体"/>
                <w:b/>
                <w:color w:val="auto"/>
              </w:rPr>
            </w:pPr>
          </w:p>
        </w:tc>
        <w:tc>
          <w:tcPr>
            <w:tcW w:w="5966" w:type="dxa"/>
            <w:vMerge w:val="continue"/>
            <w:shd w:val="clear" w:color="auto" w:fill="auto"/>
            <w:vAlign w:val="center"/>
          </w:tcPr>
          <w:p>
            <w:pPr>
              <w:spacing w:line="240" w:lineRule="auto"/>
              <w:rPr>
                <w:rFonts w:ascii="宋体" w:hAnsi="宋体" w:eastAsia="宋体"/>
                <w:b/>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607" w:type="dxa"/>
            <w:shd w:val="clear" w:color="auto" w:fill="auto"/>
            <w:vAlign w:val="center"/>
          </w:tcPr>
          <w:p>
            <w:pPr>
              <w:widowControl w:val="0"/>
              <w:spacing w:after="0" w:line="240" w:lineRule="auto"/>
              <w:ind w:left="0" w:firstLine="0"/>
              <w:jc w:val="center"/>
              <w:rPr>
                <w:rFonts w:ascii="宋体" w:hAnsi="宋体" w:eastAsia="宋体" w:cs="Times New Roman"/>
                <w:b/>
                <w:color w:val="auto"/>
                <w:szCs w:val="24"/>
              </w:rPr>
            </w:pPr>
            <w:r>
              <w:rPr>
                <w:rFonts w:hint="eastAsia" w:ascii="宋体" w:hAnsi="宋体" w:eastAsia="宋体" w:cs="Times New Roman"/>
                <w:b/>
                <w:color w:val="auto"/>
                <w:szCs w:val="24"/>
              </w:rPr>
              <w:t>事故类型</w:t>
            </w:r>
          </w:p>
        </w:tc>
        <w:tc>
          <w:tcPr>
            <w:tcW w:w="4147" w:type="dxa"/>
            <w:shd w:val="clear" w:color="auto" w:fill="auto"/>
            <w:vAlign w:val="center"/>
          </w:tcPr>
          <w:p>
            <w:pPr>
              <w:widowControl w:val="0"/>
              <w:spacing w:after="0" w:line="240" w:lineRule="auto"/>
              <w:ind w:left="0" w:firstLine="0"/>
              <w:jc w:val="center"/>
              <w:rPr>
                <w:rFonts w:ascii="宋体" w:hAnsi="宋体" w:eastAsia="宋体" w:cs="Times New Roman"/>
                <w:b/>
                <w:color w:val="auto"/>
                <w:szCs w:val="24"/>
              </w:rPr>
            </w:pPr>
            <w:r>
              <w:rPr>
                <w:rFonts w:hint="eastAsia" w:ascii="宋体" w:hAnsi="宋体" w:eastAsia="宋体" w:cs="Times New Roman"/>
                <w:b/>
                <w:color w:val="auto"/>
                <w:szCs w:val="24"/>
              </w:rPr>
              <w:t>触电 火灾</w:t>
            </w:r>
          </w:p>
        </w:tc>
        <w:tc>
          <w:tcPr>
            <w:tcW w:w="1800" w:type="dxa"/>
            <w:vMerge w:val="continue"/>
            <w:shd w:val="clear" w:color="auto" w:fill="auto"/>
            <w:vAlign w:val="center"/>
          </w:tcPr>
          <w:p>
            <w:pPr>
              <w:spacing w:line="240" w:lineRule="auto"/>
              <w:jc w:val="center"/>
              <w:rPr>
                <w:rFonts w:ascii="宋体" w:hAnsi="宋体" w:eastAsia="宋体"/>
                <w:b/>
                <w:color w:val="auto"/>
              </w:rPr>
            </w:pPr>
          </w:p>
        </w:tc>
        <w:tc>
          <w:tcPr>
            <w:tcW w:w="5966" w:type="dxa"/>
            <w:vMerge w:val="continue"/>
            <w:shd w:val="clear" w:color="auto" w:fill="auto"/>
            <w:vAlign w:val="center"/>
          </w:tcPr>
          <w:p>
            <w:pPr>
              <w:spacing w:line="240" w:lineRule="auto"/>
              <w:rPr>
                <w:rFonts w:ascii="宋体" w:hAnsi="宋体" w:eastAsia="宋体"/>
                <w:b/>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6754" w:type="dxa"/>
            <w:gridSpan w:val="2"/>
            <w:shd w:val="clear" w:color="auto" w:fill="auto"/>
          </w:tcPr>
          <w:p>
            <w:pPr>
              <w:widowControl w:val="0"/>
              <w:spacing w:after="0" w:line="240" w:lineRule="auto"/>
              <w:ind w:left="0" w:firstLine="0"/>
              <w:jc w:val="center"/>
              <w:rPr>
                <w:rFonts w:ascii="宋体" w:hAnsi="宋体" w:eastAsia="宋体" w:cs="Times New Roman"/>
                <w:b/>
                <w:color w:val="auto"/>
                <w:szCs w:val="24"/>
              </w:rPr>
            </w:pPr>
            <w:r>
              <w:rPr>
                <w:rFonts w:hint="eastAsia" w:ascii="宋体" w:hAnsi="宋体" w:eastAsia="宋体" w:cs="Times New Roman"/>
                <w:b/>
                <w:color w:val="auto"/>
                <w:szCs w:val="24"/>
              </w:rPr>
              <w:t>安全标志</w:t>
            </w:r>
          </w:p>
          <w:p>
            <w:pPr>
              <w:spacing w:line="240" w:lineRule="auto"/>
              <w:rPr>
                <w:rFonts w:ascii="宋体" w:hAnsi="宋体" w:eastAsia="宋体"/>
                <w:b/>
                <w:color w:val="auto"/>
              </w:rPr>
            </w:pPr>
            <w:r>
              <w:rPr>
                <w:rFonts w:ascii="宋体" w:hAnsi="宋体" w:eastAsia="宋体"/>
                <w:color w:val="auto"/>
              </w:rPr>
              <w:drawing>
                <wp:inline distT="0" distB="0" distL="0" distR="0">
                  <wp:extent cx="925195" cy="1148080"/>
                  <wp:effectExtent l="0" t="0" r="825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925195" cy="1148080"/>
                          </a:xfrm>
                          <a:prstGeom prst="rect">
                            <a:avLst/>
                          </a:prstGeom>
                          <a:noFill/>
                          <a:ln>
                            <a:noFill/>
                          </a:ln>
                        </pic:spPr>
                      </pic:pic>
                    </a:graphicData>
                  </a:graphic>
                </wp:inline>
              </w:drawing>
            </w:r>
            <w:r>
              <w:rPr>
                <w:rFonts w:ascii="宋体" w:hAnsi="宋体" w:eastAsia="宋体"/>
                <w:color w:val="auto"/>
              </w:rPr>
              <w:drawing>
                <wp:inline distT="0" distB="0" distL="0" distR="0">
                  <wp:extent cx="903605" cy="114808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03605" cy="1148080"/>
                          </a:xfrm>
                          <a:prstGeom prst="rect">
                            <a:avLst/>
                          </a:prstGeom>
                          <a:noFill/>
                          <a:ln>
                            <a:noFill/>
                          </a:ln>
                        </pic:spPr>
                      </pic:pic>
                    </a:graphicData>
                  </a:graphic>
                </wp:inline>
              </w:drawing>
            </w:r>
            <w:r>
              <w:rPr>
                <w:rFonts w:ascii="宋体" w:hAnsi="宋体" w:eastAsia="宋体"/>
                <w:color w:val="auto"/>
              </w:rPr>
              <w:drawing>
                <wp:inline distT="0" distB="0" distL="0" distR="0">
                  <wp:extent cx="925195" cy="1148080"/>
                  <wp:effectExtent l="0" t="0" r="825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925195" cy="1148080"/>
                          </a:xfrm>
                          <a:prstGeom prst="rect">
                            <a:avLst/>
                          </a:prstGeom>
                          <a:noFill/>
                          <a:ln>
                            <a:noFill/>
                          </a:ln>
                        </pic:spPr>
                      </pic:pic>
                    </a:graphicData>
                  </a:graphic>
                </wp:inline>
              </w:drawing>
            </w:r>
            <w:r>
              <w:rPr>
                <w:rFonts w:ascii="宋体" w:hAnsi="宋体" w:eastAsia="宋体"/>
                <w:color w:val="auto"/>
              </w:rPr>
              <w:drawing>
                <wp:inline distT="0" distB="0" distL="0" distR="0">
                  <wp:extent cx="925195" cy="1148080"/>
                  <wp:effectExtent l="0" t="0" r="825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925195" cy="1148080"/>
                          </a:xfrm>
                          <a:prstGeom prst="rect">
                            <a:avLst/>
                          </a:prstGeom>
                          <a:noFill/>
                          <a:ln>
                            <a:noFill/>
                          </a:ln>
                        </pic:spPr>
                      </pic:pic>
                    </a:graphicData>
                  </a:graphic>
                </wp:inline>
              </w:drawing>
            </w:r>
          </w:p>
        </w:tc>
        <w:tc>
          <w:tcPr>
            <w:tcW w:w="1800" w:type="dxa"/>
            <w:shd w:val="clear" w:color="auto" w:fill="auto"/>
            <w:vAlign w:val="center"/>
          </w:tcPr>
          <w:p>
            <w:pPr>
              <w:widowControl w:val="0"/>
              <w:spacing w:after="0" w:line="240" w:lineRule="auto"/>
              <w:ind w:left="0" w:firstLine="0"/>
              <w:jc w:val="center"/>
              <w:rPr>
                <w:rFonts w:ascii="宋体" w:hAnsi="宋体" w:eastAsia="宋体" w:cs="Times New Roman"/>
                <w:b/>
                <w:color w:val="auto"/>
                <w:szCs w:val="24"/>
              </w:rPr>
            </w:pPr>
            <w:r>
              <w:rPr>
                <w:rFonts w:hint="eastAsia" w:ascii="宋体" w:hAnsi="宋体" w:eastAsia="宋体" w:cs="Times New Roman"/>
                <w:b/>
                <w:color w:val="auto"/>
                <w:szCs w:val="24"/>
              </w:rPr>
              <w:t>风险管控措施</w:t>
            </w:r>
          </w:p>
        </w:tc>
        <w:tc>
          <w:tcPr>
            <w:tcW w:w="5966" w:type="dxa"/>
            <w:shd w:val="clear" w:color="auto" w:fill="auto"/>
            <w:vAlign w:val="center"/>
          </w:tcPr>
          <w:p>
            <w:pPr>
              <w:widowControl w:val="0"/>
              <w:spacing w:after="0" w:line="240" w:lineRule="auto"/>
              <w:ind w:left="0" w:firstLine="0"/>
              <w:rPr>
                <w:rFonts w:ascii="宋体" w:hAnsi="宋体" w:eastAsia="宋体" w:cs="Times New Roman"/>
                <w:b/>
                <w:color w:val="auto"/>
                <w:sz w:val="21"/>
                <w:szCs w:val="21"/>
              </w:rPr>
            </w:pPr>
            <w:r>
              <w:rPr>
                <w:rFonts w:hint="eastAsia" w:ascii="宋体" w:hAnsi="宋体" w:eastAsia="宋体" w:cs="Times New Roman"/>
                <w:b/>
                <w:color w:val="auto"/>
                <w:sz w:val="21"/>
                <w:szCs w:val="21"/>
              </w:rPr>
              <w:t>1.作业人员必须持证上岗；</w:t>
            </w:r>
          </w:p>
          <w:p>
            <w:pPr>
              <w:widowControl w:val="0"/>
              <w:spacing w:after="0" w:line="240" w:lineRule="auto"/>
              <w:ind w:left="0" w:firstLine="0"/>
              <w:rPr>
                <w:rFonts w:ascii="宋体" w:hAnsi="宋体" w:eastAsia="宋体" w:cs="Times New Roman"/>
                <w:b/>
                <w:color w:val="auto"/>
                <w:sz w:val="21"/>
                <w:szCs w:val="21"/>
              </w:rPr>
            </w:pPr>
            <w:r>
              <w:rPr>
                <w:rFonts w:hint="eastAsia" w:ascii="宋体" w:hAnsi="宋体" w:eastAsia="宋体" w:cs="Times New Roman"/>
                <w:b/>
                <w:color w:val="auto"/>
                <w:sz w:val="21"/>
                <w:szCs w:val="21"/>
              </w:rPr>
              <w:t>2.作业人员须接受岗前安全教育，熟知岗位危险源及防范措施；</w:t>
            </w:r>
          </w:p>
          <w:p>
            <w:pPr>
              <w:widowControl w:val="0"/>
              <w:spacing w:after="0" w:line="240" w:lineRule="auto"/>
              <w:ind w:left="0" w:firstLine="0"/>
              <w:rPr>
                <w:rFonts w:ascii="宋体" w:hAnsi="宋体" w:eastAsia="宋体" w:cs="Times New Roman"/>
                <w:b/>
                <w:color w:val="auto"/>
                <w:sz w:val="21"/>
                <w:szCs w:val="21"/>
              </w:rPr>
            </w:pPr>
            <w:r>
              <w:rPr>
                <w:rFonts w:hint="eastAsia" w:ascii="宋体" w:hAnsi="宋体" w:eastAsia="宋体" w:cs="Times New Roman"/>
                <w:b/>
                <w:color w:val="auto"/>
                <w:sz w:val="21"/>
                <w:szCs w:val="21"/>
              </w:rPr>
              <w:t>3.检修工具及劳动防护用品应合格且在检验有效期内；</w:t>
            </w:r>
          </w:p>
          <w:p>
            <w:pPr>
              <w:widowControl w:val="0"/>
              <w:spacing w:after="0" w:line="240" w:lineRule="auto"/>
              <w:ind w:left="0" w:firstLine="0"/>
              <w:rPr>
                <w:rFonts w:ascii="宋体" w:hAnsi="宋体" w:eastAsia="宋体" w:cs="Times New Roman"/>
                <w:b/>
                <w:color w:val="auto"/>
                <w:sz w:val="21"/>
                <w:szCs w:val="21"/>
              </w:rPr>
            </w:pPr>
            <w:r>
              <w:rPr>
                <w:rFonts w:hint="eastAsia" w:ascii="宋体" w:hAnsi="宋体" w:eastAsia="宋体" w:cs="Times New Roman"/>
                <w:b/>
                <w:color w:val="auto"/>
                <w:sz w:val="21"/>
                <w:szCs w:val="21"/>
              </w:rPr>
              <w:t>4.定期检查配电设备及安全防护情况，发现异常时应及时修复；</w:t>
            </w:r>
          </w:p>
          <w:p>
            <w:pPr>
              <w:widowControl w:val="0"/>
              <w:spacing w:after="0" w:line="240" w:lineRule="auto"/>
              <w:ind w:left="0" w:firstLine="0"/>
              <w:rPr>
                <w:rFonts w:ascii="宋体" w:hAnsi="宋体" w:eastAsia="宋体" w:cs="Times New Roman"/>
                <w:b/>
                <w:color w:val="auto"/>
                <w:sz w:val="21"/>
                <w:szCs w:val="21"/>
              </w:rPr>
            </w:pPr>
            <w:r>
              <w:rPr>
                <w:rFonts w:hint="eastAsia" w:ascii="宋体" w:hAnsi="宋体" w:eastAsia="宋体" w:cs="Times New Roman"/>
                <w:b/>
                <w:color w:val="auto"/>
                <w:sz w:val="21"/>
                <w:szCs w:val="21"/>
              </w:rPr>
              <w:t>5.多人协调作业时应事先制定安全防护措施及指挥人员。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607" w:type="dxa"/>
            <w:shd w:val="clear" w:color="auto" w:fill="auto"/>
            <w:vAlign w:val="center"/>
          </w:tcPr>
          <w:p>
            <w:pPr>
              <w:spacing w:line="240" w:lineRule="auto"/>
              <w:jc w:val="center"/>
              <w:rPr>
                <w:rFonts w:ascii="宋体" w:hAnsi="宋体" w:eastAsia="宋体"/>
                <w:b/>
                <w:color w:val="auto"/>
              </w:rPr>
            </w:pPr>
            <w:r>
              <w:rPr>
                <w:rFonts w:hint="eastAsia" w:ascii="宋体" w:hAnsi="宋体" w:eastAsia="宋体"/>
                <w:b/>
                <w:color w:val="auto"/>
              </w:rPr>
              <w:t>责任部门</w:t>
            </w:r>
          </w:p>
        </w:tc>
        <w:tc>
          <w:tcPr>
            <w:tcW w:w="4147" w:type="dxa"/>
            <w:shd w:val="clear" w:color="auto" w:fill="auto"/>
            <w:vAlign w:val="center"/>
          </w:tcPr>
          <w:p>
            <w:pPr>
              <w:spacing w:line="240" w:lineRule="auto"/>
              <w:rPr>
                <w:rFonts w:ascii="宋体" w:hAnsi="宋体" w:eastAsia="宋体"/>
                <w:b/>
                <w:color w:val="auto"/>
              </w:rPr>
            </w:pPr>
          </w:p>
        </w:tc>
        <w:tc>
          <w:tcPr>
            <w:tcW w:w="1800" w:type="dxa"/>
            <w:vMerge w:val="restart"/>
            <w:shd w:val="clear" w:color="auto" w:fill="auto"/>
            <w:vAlign w:val="center"/>
          </w:tcPr>
          <w:p>
            <w:pPr>
              <w:widowControl w:val="0"/>
              <w:spacing w:after="0" w:line="240" w:lineRule="auto"/>
              <w:ind w:left="0" w:firstLine="0"/>
              <w:jc w:val="center"/>
              <w:rPr>
                <w:rFonts w:ascii="宋体" w:hAnsi="宋体" w:eastAsia="宋体" w:cs="Times New Roman"/>
                <w:b/>
                <w:color w:val="auto"/>
                <w:szCs w:val="24"/>
              </w:rPr>
            </w:pPr>
            <w:r>
              <w:rPr>
                <w:rFonts w:hint="eastAsia" w:ascii="宋体" w:hAnsi="宋体" w:eastAsia="宋体" w:cs="Times New Roman"/>
                <w:b/>
                <w:color w:val="auto"/>
                <w:szCs w:val="24"/>
              </w:rPr>
              <w:t>应急处置措施</w:t>
            </w:r>
          </w:p>
        </w:tc>
        <w:tc>
          <w:tcPr>
            <w:tcW w:w="5966" w:type="dxa"/>
            <w:vMerge w:val="restart"/>
            <w:shd w:val="clear" w:color="auto" w:fill="auto"/>
            <w:vAlign w:val="center"/>
          </w:tcPr>
          <w:p>
            <w:pPr>
              <w:widowControl w:val="0"/>
              <w:spacing w:after="0" w:line="240" w:lineRule="auto"/>
              <w:ind w:left="0" w:firstLine="0"/>
              <w:rPr>
                <w:rFonts w:ascii="宋体" w:hAnsi="宋体" w:eastAsia="宋体" w:cs="Times New Roman"/>
                <w:b/>
                <w:color w:val="auto"/>
                <w:sz w:val="21"/>
                <w:szCs w:val="21"/>
              </w:rPr>
            </w:pPr>
            <w:r>
              <w:rPr>
                <w:rFonts w:hint="eastAsia" w:ascii="宋体" w:hAnsi="宋体" w:eastAsia="宋体" w:cs="Times New Roman"/>
                <w:b/>
                <w:color w:val="auto"/>
                <w:sz w:val="21"/>
                <w:szCs w:val="21"/>
              </w:rPr>
              <w:t>1.触电时应迅速切断电源，或者用绝缘物体挑开电线或带电物体，使伤者尽快脱离电源，将伤者移至安全地带；</w:t>
            </w:r>
          </w:p>
          <w:p>
            <w:pPr>
              <w:widowControl w:val="0"/>
              <w:spacing w:after="0" w:line="240" w:lineRule="auto"/>
              <w:ind w:left="0" w:firstLine="0"/>
              <w:rPr>
                <w:rFonts w:ascii="宋体" w:hAnsi="宋体" w:eastAsia="宋体" w:cs="Times New Roman"/>
                <w:b/>
                <w:color w:val="auto"/>
                <w:sz w:val="21"/>
                <w:szCs w:val="21"/>
              </w:rPr>
            </w:pPr>
            <w:r>
              <w:rPr>
                <w:rFonts w:hint="eastAsia" w:ascii="宋体" w:hAnsi="宋体" w:eastAsia="宋体" w:cs="Times New Roman"/>
                <w:b/>
                <w:color w:val="auto"/>
                <w:sz w:val="21"/>
                <w:szCs w:val="21"/>
              </w:rPr>
              <w:t>2.若触电者失去知觉，应使其平卧，以利呼吸；若触电者呼吸、脉搏停止，必须实施人工呼吸或胸外心脏挤压法抢救；</w:t>
            </w:r>
          </w:p>
          <w:p>
            <w:pPr>
              <w:widowControl w:val="0"/>
              <w:spacing w:after="0" w:line="240" w:lineRule="auto"/>
              <w:ind w:left="0" w:firstLine="0"/>
              <w:rPr>
                <w:rFonts w:ascii="宋体" w:hAnsi="宋体" w:eastAsia="宋体" w:cs="Times New Roman"/>
                <w:b/>
                <w:color w:val="auto"/>
                <w:sz w:val="21"/>
                <w:szCs w:val="21"/>
              </w:rPr>
            </w:pPr>
            <w:r>
              <w:rPr>
                <w:rFonts w:hint="eastAsia" w:ascii="宋体" w:hAnsi="宋体" w:eastAsia="宋体" w:cs="Times New Roman"/>
                <w:b/>
                <w:color w:val="auto"/>
                <w:sz w:val="21"/>
                <w:szCs w:val="21"/>
              </w:rPr>
              <w:t>3.火灾时，及时疏散至安全地带，按预案进行初期火灾控制。</w:t>
            </w:r>
          </w:p>
          <w:p>
            <w:pPr>
              <w:widowControl w:val="0"/>
              <w:spacing w:after="0" w:line="240" w:lineRule="auto"/>
              <w:ind w:left="0" w:firstLine="0"/>
              <w:rPr>
                <w:rFonts w:ascii="宋体" w:hAnsi="宋体" w:eastAsia="宋体" w:cs="Times New Roman"/>
                <w:b/>
                <w:color w:val="auto"/>
                <w:sz w:val="21"/>
                <w:szCs w:val="21"/>
              </w:rPr>
            </w:pPr>
            <w:r>
              <w:rPr>
                <w:rFonts w:hint="eastAsia" w:ascii="宋体" w:hAnsi="宋体" w:eastAsia="宋体" w:cs="Times New Roman"/>
                <w:b/>
                <w:color w:val="auto"/>
                <w:sz w:val="21"/>
                <w:szCs w:val="21"/>
              </w:rPr>
              <w:t>4.按预案及信息报告流程向上级报告，拨打120等急救电话。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607" w:type="dxa"/>
            <w:shd w:val="clear" w:color="auto" w:fill="auto"/>
            <w:vAlign w:val="center"/>
          </w:tcPr>
          <w:p>
            <w:pPr>
              <w:spacing w:line="240" w:lineRule="auto"/>
              <w:jc w:val="center"/>
              <w:rPr>
                <w:rFonts w:ascii="宋体" w:hAnsi="宋体" w:eastAsia="宋体"/>
                <w:b/>
                <w:color w:val="auto"/>
              </w:rPr>
            </w:pPr>
            <w:r>
              <w:rPr>
                <w:rFonts w:hint="eastAsia" w:ascii="宋体" w:hAnsi="宋体" w:eastAsia="宋体"/>
                <w:b/>
                <w:color w:val="auto"/>
              </w:rPr>
              <w:t>责任人</w:t>
            </w:r>
          </w:p>
        </w:tc>
        <w:tc>
          <w:tcPr>
            <w:tcW w:w="4147" w:type="dxa"/>
            <w:shd w:val="clear" w:color="auto" w:fill="auto"/>
            <w:vAlign w:val="center"/>
          </w:tcPr>
          <w:p>
            <w:pPr>
              <w:spacing w:line="240" w:lineRule="auto"/>
              <w:rPr>
                <w:rFonts w:ascii="宋体" w:hAnsi="宋体" w:eastAsia="宋体"/>
                <w:b/>
                <w:color w:val="auto"/>
              </w:rPr>
            </w:pPr>
          </w:p>
        </w:tc>
        <w:tc>
          <w:tcPr>
            <w:tcW w:w="1800" w:type="dxa"/>
            <w:vMerge w:val="continue"/>
            <w:shd w:val="clear" w:color="auto" w:fill="auto"/>
            <w:vAlign w:val="center"/>
          </w:tcPr>
          <w:p>
            <w:pPr>
              <w:spacing w:line="240" w:lineRule="auto"/>
              <w:jc w:val="center"/>
              <w:rPr>
                <w:rFonts w:ascii="宋体" w:hAnsi="宋体" w:eastAsia="宋体"/>
                <w:b/>
                <w:color w:val="auto"/>
              </w:rPr>
            </w:pPr>
          </w:p>
        </w:tc>
        <w:tc>
          <w:tcPr>
            <w:tcW w:w="5966" w:type="dxa"/>
            <w:vMerge w:val="continue"/>
            <w:shd w:val="clear" w:color="auto" w:fill="auto"/>
            <w:vAlign w:val="center"/>
          </w:tcPr>
          <w:p>
            <w:pPr>
              <w:spacing w:line="240" w:lineRule="auto"/>
              <w:rPr>
                <w:rFonts w:ascii="宋体" w:hAnsi="宋体" w:eastAsia="宋体"/>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607" w:type="dxa"/>
            <w:shd w:val="clear" w:color="auto" w:fill="auto"/>
            <w:vAlign w:val="center"/>
          </w:tcPr>
          <w:p>
            <w:pPr>
              <w:spacing w:line="240" w:lineRule="auto"/>
              <w:jc w:val="center"/>
              <w:rPr>
                <w:rFonts w:ascii="宋体" w:hAnsi="宋体" w:eastAsia="宋体"/>
                <w:b/>
                <w:color w:val="auto"/>
              </w:rPr>
            </w:pPr>
            <w:r>
              <w:rPr>
                <w:rFonts w:hint="eastAsia" w:ascii="宋体" w:hAnsi="宋体" w:eastAsia="宋体"/>
                <w:b/>
                <w:color w:val="auto"/>
              </w:rPr>
              <w:t>责任电话</w:t>
            </w:r>
          </w:p>
        </w:tc>
        <w:tc>
          <w:tcPr>
            <w:tcW w:w="4147" w:type="dxa"/>
            <w:shd w:val="clear" w:color="auto" w:fill="auto"/>
            <w:vAlign w:val="center"/>
          </w:tcPr>
          <w:p>
            <w:pPr>
              <w:spacing w:line="240" w:lineRule="auto"/>
              <w:rPr>
                <w:rFonts w:ascii="宋体" w:hAnsi="宋体" w:eastAsia="宋体"/>
                <w:b/>
                <w:color w:val="auto"/>
              </w:rPr>
            </w:pPr>
          </w:p>
        </w:tc>
        <w:tc>
          <w:tcPr>
            <w:tcW w:w="1800" w:type="dxa"/>
            <w:vMerge w:val="continue"/>
            <w:shd w:val="clear" w:color="auto" w:fill="auto"/>
            <w:vAlign w:val="center"/>
          </w:tcPr>
          <w:p>
            <w:pPr>
              <w:spacing w:line="240" w:lineRule="auto"/>
              <w:jc w:val="center"/>
              <w:rPr>
                <w:rFonts w:ascii="宋体" w:hAnsi="宋体" w:eastAsia="宋体"/>
                <w:b/>
                <w:color w:val="auto"/>
              </w:rPr>
            </w:pPr>
          </w:p>
        </w:tc>
        <w:tc>
          <w:tcPr>
            <w:tcW w:w="5966" w:type="dxa"/>
            <w:vMerge w:val="continue"/>
            <w:shd w:val="clear" w:color="auto" w:fill="auto"/>
            <w:vAlign w:val="center"/>
          </w:tcPr>
          <w:p>
            <w:pPr>
              <w:spacing w:line="240" w:lineRule="auto"/>
              <w:rPr>
                <w:rFonts w:ascii="宋体" w:hAnsi="宋体" w:eastAsia="宋体"/>
                <w:color w:val="auto"/>
              </w:rPr>
            </w:pPr>
          </w:p>
        </w:tc>
      </w:tr>
    </w:tbl>
    <w:p>
      <w:pPr>
        <w:widowControl w:val="0"/>
        <w:spacing w:after="0" w:line="480" w:lineRule="exact"/>
        <w:ind w:left="0" w:firstLine="480"/>
        <w:jc w:val="both"/>
        <w:rPr>
          <w:rFonts w:cs="Calibri" w:asciiTheme="minorEastAsia" w:hAnsiTheme="minorEastAsia" w:eastAsiaTheme="minorEastAsia"/>
          <w:color w:val="auto"/>
          <w:szCs w:val="24"/>
        </w:rPr>
      </w:pPr>
    </w:p>
    <w:tbl>
      <w:tblPr>
        <w:tblStyle w:val="30"/>
        <w:tblpPr w:leftFromText="180" w:rightFromText="180" w:vertAnchor="text" w:horzAnchor="margin" w:tblpXSpec="center" w:tblpY="19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1"/>
        <w:gridCol w:w="4147"/>
        <w:gridCol w:w="1800"/>
        <w:gridCol w:w="5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61" w:type="dxa"/>
            <w:shd w:val="clear" w:color="auto" w:fill="auto"/>
            <w:vAlign w:val="center"/>
          </w:tcPr>
          <w:p>
            <w:pPr>
              <w:widowControl w:val="0"/>
              <w:spacing w:after="0" w:line="360" w:lineRule="auto"/>
              <w:ind w:left="0" w:firstLine="0"/>
              <w:jc w:val="center"/>
              <w:rPr>
                <w:rFonts w:ascii="宋体" w:hAnsi="宋体" w:eastAsia="宋体" w:cs="Times New Roman"/>
                <w:b/>
                <w:color w:val="auto"/>
                <w:szCs w:val="24"/>
              </w:rPr>
            </w:pPr>
            <w:r>
              <w:rPr>
                <w:rFonts w:hint="eastAsia" w:ascii="宋体" w:hAnsi="宋体" w:eastAsia="宋体" w:cs="Times New Roman"/>
                <w:b/>
                <w:color w:val="auto"/>
                <w:szCs w:val="24"/>
              </w:rPr>
              <w:t>风险点名称</w:t>
            </w:r>
          </w:p>
        </w:tc>
        <w:tc>
          <w:tcPr>
            <w:tcW w:w="4147" w:type="dxa"/>
            <w:shd w:val="clear" w:color="auto" w:fill="auto"/>
            <w:vAlign w:val="center"/>
          </w:tcPr>
          <w:p>
            <w:pPr>
              <w:widowControl w:val="0"/>
              <w:spacing w:after="0" w:line="360" w:lineRule="auto"/>
              <w:ind w:left="0" w:firstLine="0"/>
              <w:jc w:val="center"/>
              <w:rPr>
                <w:rFonts w:ascii="宋体" w:hAnsi="宋体" w:eastAsia="宋体" w:cs="Times New Roman"/>
                <w:b/>
                <w:color w:val="auto"/>
                <w:szCs w:val="24"/>
              </w:rPr>
            </w:pPr>
            <w:r>
              <w:rPr>
                <w:rFonts w:hint="eastAsia" w:ascii="宋体" w:hAnsi="宋体" w:eastAsia="宋体" w:cs="Times New Roman"/>
                <w:b/>
                <w:color w:val="auto"/>
                <w:szCs w:val="24"/>
              </w:rPr>
              <w:t>水泵房</w:t>
            </w:r>
          </w:p>
        </w:tc>
        <w:tc>
          <w:tcPr>
            <w:tcW w:w="1800" w:type="dxa"/>
            <w:vMerge w:val="restart"/>
            <w:shd w:val="clear" w:color="auto" w:fill="auto"/>
            <w:vAlign w:val="center"/>
          </w:tcPr>
          <w:p>
            <w:pPr>
              <w:widowControl w:val="0"/>
              <w:spacing w:after="0" w:line="360" w:lineRule="auto"/>
              <w:ind w:left="0" w:firstLine="0"/>
              <w:jc w:val="center"/>
              <w:rPr>
                <w:rFonts w:ascii="宋体" w:hAnsi="宋体" w:eastAsia="宋体" w:cs="Times New Roman"/>
                <w:b/>
                <w:color w:val="auto"/>
                <w:szCs w:val="24"/>
              </w:rPr>
            </w:pPr>
            <w:r>
              <w:rPr>
                <w:rFonts w:hint="eastAsia" w:ascii="宋体" w:hAnsi="宋体" w:eastAsia="宋体" w:cs="Times New Roman"/>
                <w:b/>
                <w:color w:val="auto"/>
                <w:szCs w:val="24"/>
              </w:rPr>
              <w:t>致险因素描述</w:t>
            </w:r>
          </w:p>
        </w:tc>
        <w:tc>
          <w:tcPr>
            <w:tcW w:w="5966" w:type="dxa"/>
            <w:vMerge w:val="restart"/>
            <w:shd w:val="clear" w:color="auto" w:fill="auto"/>
            <w:vAlign w:val="center"/>
          </w:tcPr>
          <w:p>
            <w:pPr>
              <w:widowControl w:val="0"/>
              <w:spacing w:beforeLines="50" w:after="0" w:line="240" w:lineRule="auto"/>
              <w:ind w:left="0" w:firstLine="0"/>
              <w:rPr>
                <w:rFonts w:ascii="宋体" w:hAnsi="宋体" w:eastAsia="宋体" w:cs="Times New Roman"/>
                <w:b/>
                <w:color w:val="auto"/>
                <w:sz w:val="21"/>
                <w:szCs w:val="21"/>
              </w:rPr>
            </w:pPr>
            <w:r>
              <w:rPr>
                <w:rFonts w:hint="eastAsia" w:ascii="宋体" w:hAnsi="宋体" w:eastAsia="宋体" w:cs="Times New Roman"/>
                <w:b/>
                <w:color w:val="auto"/>
                <w:sz w:val="21"/>
                <w:szCs w:val="21"/>
              </w:rPr>
              <w:t>1.电气作业人员未持证上岗；</w:t>
            </w:r>
          </w:p>
          <w:p>
            <w:pPr>
              <w:widowControl w:val="0"/>
              <w:spacing w:beforeLines="50" w:after="0" w:line="240" w:lineRule="auto"/>
              <w:ind w:left="0" w:firstLine="0"/>
              <w:rPr>
                <w:rFonts w:ascii="宋体" w:hAnsi="宋体" w:eastAsia="宋体" w:cs="Times New Roman"/>
                <w:b/>
                <w:color w:val="auto"/>
                <w:sz w:val="21"/>
                <w:szCs w:val="21"/>
              </w:rPr>
            </w:pPr>
            <w:r>
              <w:rPr>
                <w:rFonts w:hint="eastAsia" w:ascii="宋体" w:hAnsi="宋体" w:eastAsia="宋体" w:cs="Times New Roman"/>
                <w:b/>
                <w:color w:val="auto"/>
                <w:sz w:val="21"/>
                <w:szCs w:val="21"/>
              </w:rPr>
              <w:t>2.试验、检维修作业未遵守安全操作规程；</w:t>
            </w:r>
          </w:p>
          <w:p>
            <w:pPr>
              <w:widowControl w:val="0"/>
              <w:spacing w:beforeLines="50" w:after="0" w:line="240" w:lineRule="auto"/>
              <w:ind w:left="0" w:firstLine="0"/>
              <w:rPr>
                <w:rFonts w:ascii="宋体" w:hAnsi="宋体" w:eastAsia="宋体" w:cs="Times New Roman"/>
                <w:b/>
                <w:color w:val="auto"/>
                <w:sz w:val="21"/>
                <w:szCs w:val="21"/>
              </w:rPr>
            </w:pPr>
            <w:r>
              <w:rPr>
                <w:rFonts w:hint="eastAsia" w:ascii="宋体" w:hAnsi="宋体" w:eastAsia="宋体" w:cs="Times New Roman"/>
                <w:b/>
                <w:color w:val="auto"/>
                <w:sz w:val="21"/>
                <w:szCs w:val="21"/>
              </w:rPr>
              <w:t>3.检修工具及劳动防护用品有缺陷；</w:t>
            </w:r>
          </w:p>
          <w:p>
            <w:pPr>
              <w:widowControl w:val="0"/>
              <w:spacing w:beforeLines="50" w:after="0" w:line="240" w:lineRule="auto"/>
              <w:ind w:left="0" w:firstLine="0"/>
              <w:rPr>
                <w:rFonts w:ascii="宋体" w:hAnsi="宋体" w:eastAsia="宋体" w:cs="Times New Roman"/>
                <w:b/>
                <w:color w:val="auto"/>
                <w:szCs w:val="24"/>
              </w:rPr>
            </w:pPr>
            <w:r>
              <w:rPr>
                <w:rFonts w:hint="eastAsia" w:ascii="宋体" w:hAnsi="宋体" w:eastAsia="宋体" w:cs="Times New Roman"/>
                <w:b/>
                <w:color w:val="auto"/>
                <w:sz w:val="21"/>
                <w:szCs w:val="21"/>
              </w:rPr>
              <w:t>4.通风不良。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61" w:type="dxa"/>
            <w:tcBorders>
              <w:bottom w:val="single" w:color="auto" w:sz="4" w:space="0"/>
            </w:tcBorders>
            <w:shd w:val="clear" w:color="auto" w:fill="auto"/>
            <w:vAlign w:val="center"/>
          </w:tcPr>
          <w:p>
            <w:pPr>
              <w:widowControl w:val="0"/>
              <w:spacing w:after="0" w:line="360" w:lineRule="auto"/>
              <w:ind w:left="0" w:firstLine="0"/>
              <w:jc w:val="center"/>
              <w:rPr>
                <w:rFonts w:ascii="宋体" w:hAnsi="宋体" w:eastAsia="宋体" w:cs="Times New Roman"/>
                <w:b/>
                <w:color w:val="auto"/>
                <w:szCs w:val="24"/>
              </w:rPr>
            </w:pPr>
            <w:r>
              <w:rPr>
                <w:rFonts w:hint="eastAsia" w:ascii="宋体" w:hAnsi="宋体" w:eastAsia="宋体" w:cs="Times New Roman"/>
                <w:b/>
                <w:color w:val="auto"/>
                <w:szCs w:val="24"/>
              </w:rPr>
              <w:t>风险等级</w:t>
            </w:r>
          </w:p>
        </w:tc>
        <w:tc>
          <w:tcPr>
            <w:tcW w:w="4147" w:type="dxa"/>
            <w:shd w:val="clear" w:color="auto" w:fill="FAE600"/>
            <w:vAlign w:val="center"/>
          </w:tcPr>
          <w:p>
            <w:pPr>
              <w:widowControl w:val="0"/>
              <w:spacing w:after="0" w:line="360" w:lineRule="auto"/>
              <w:ind w:left="0" w:firstLine="0"/>
              <w:jc w:val="center"/>
              <w:rPr>
                <w:rFonts w:ascii="宋体" w:hAnsi="宋体" w:eastAsia="宋体" w:cs="Times New Roman"/>
                <w:b/>
                <w:color w:val="auto"/>
                <w:szCs w:val="24"/>
              </w:rPr>
            </w:pPr>
            <w:r>
              <w:rPr>
                <w:rFonts w:ascii="宋体" w:hAnsi="宋体" w:eastAsia="宋体" w:cs="Times New Roman"/>
                <w:b/>
                <w:color w:val="auto"/>
                <w:szCs w:val="24"/>
              </w:rPr>
              <w:t>一般风险</w:t>
            </w:r>
          </w:p>
        </w:tc>
        <w:tc>
          <w:tcPr>
            <w:tcW w:w="1800" w:type="dxa"/>
            <w:vMerge w:val="continue"/>
            <w:shd w:val="clear" w:color="auto" w:fill="auto"/>
            <w:vAlign w:val="center"/>
          </w:tcPr>
          <w:p>
            <w:pPr>
              <w:widowControl w:val="0"/>
              <w:spacing w:after="0" w:line="360" w:lineRule="auto"/>
              <w:ind w:left="0" w:firstLine="0"/>
              <w:jc w:val="center"/>
              <w:rPr>
                <w:rFonts w:ascii="宋体" w:hAnsi="宋体" w:eastAsia="宋体" w:cs="Times New Roman"/>
                <w:b/>
                <w:color w:val="auto"/>
                <w:szCs w:val="24"/>
              </w:rPr>
            </w:pPr>
          </w:p>
        </w:tc>
        <w:tc>
          <w:tcPr>
            <w:tcW w:w="5966" w:type="dxa"/>
            <w:vMerge w:val="continue"/>
            <w:shd w:val="clear" w:color="auto" w:fill="auto"/>
            <w:vAlign w:val="center"/>
          </w:tcPr>
          <w:p>
            <w:pPr>
              <w:widowControl w:val="0"/>
              <w:spacing w:after="0" w:line="360" w:lineRule="auto"/>
              <w:ind w:left="0" w:firstLine="0"/>
              <w:rPr>
                <w:rFonts w:ascii="宋体" w:hAnsi="宋体" w:eastAsia="宋体" w:cs="Times New Roman"/>
                <w:b/>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61" w:type="dxa"/>
            <w:tcBorders>
              <w:bottom w:val="single" w:color="auto" w:sz="4" w:space="0"/>
            </w:tcBorders>
            <w:shd w:val="clear" w:color="auto" w:fill="auto"/>
            <w:vAlign w:val="center"/>
          </w:tcPr>
          <w:p>
            <w:pPr>
              <w:widowControl w:val="0"/>
              <w:spacing w:after="0" w:line="360" w:lineRule="auto"/>
              <w:ind w:left="0" w:firstLine="0"/>
              <w:jc w:val="center"/>
              <w:rPr>
                <w:rFonts w:ascii="宋体" w:hAnsi="宋体" w:eastAsia="宋体" w:cs="Times New Roman"/>
                <w:b/>
                <w:color w:val="auto"/>
                <w:szCs w:val="24"/>
              </w:rPr>
            </w:pPr>
            <w:r>
              <w:rPr>
                <w:rFonts w:hint="eastAsia" w:ascii="宋体" w:hAnsi="宋体" w:eastAsia="宋体" w:cs="Times New Roman"/>
                <w:b/>
                <w:color w:val="auto"/>
                <w:szCs w:val="24"/>
              </w:rPr>
              <w:t>事故类型</w:t>
            </w:r>
          </w:p>
        </w:tc>
        <w:tc>
          <w:tcPr>
            <w:tcW w:w="4147" w:type="dxa"/>
            <w:shd w:val="clear" w:color="auto" w:fill="auto"/>
            <w:vAlign w:val="center"/>
          </w:tcPr>
          <w:p>
            <w:pPr>
              <w:widowControl w:val="0"/>
              <w:spacing w:after="0" w:line="360" w:lineRule="auto"/>
              <w:ind w:left="0" w:firstLine="0"/>
              <w:jc w:val="center"/>
              <w:rPr>
                <w:rFonts w:ascii="宋体" w:hAnsi="宋体" w:eastAsia="宋体" w:cs="Times New Roman"/>
                <w:b/>
                <w:color w:val="auto"/>
                <w:szCs w:val="24"/>
              </w:rPr>
            </w:pPr>
            <w:r>
              <w:rPr>
                <w:rFonts w:hint="eastAsia" w:ascii="宋体" w:hAnsi="宋体" w:eastAsia="宋体" w:cs="Times New Roman"/>
                <w:b/>
                <w:color w:val="auto"/>
                <w:szCs w:val="24"/>
              </w:rPr>
              <w:t>触电 中毒窒息 机械伤害</w:t>
            </w:r>
          </w:p>
        </w:tc>
        <w:tc>
          <w:tcPr>
            <w:tcW w:w="1800" w:type="dxa"/>
            <w:vMerge w:val="continue"/>
            <w:shd w:val="clear" w:color="auto" w:fill="auto"/>
            <w:vAlign w:val="center"/>
          </w:tcPr>
          <w:p>
            <w:pPr>
              <w:widowControl w:val="0"/>
              <w:spacing w:after="0" w:line="360" w:lineRule="auto"/>
              <w:ind w:left="0" w:firstLine="0"/>
              <w:jc w:val="center"/>
              <w:rPr>
                <w:rFonts w:ascii="宋体" w:hAnsi="宋体" w:eastAsia="宋体" w:cs="Times New Roman"/>
                <w:b/>
                <w:color w:val="auto"/>
                <w:szCs w:val="24"/>
              </w:rPr>
            </w:pPr>
          </w:p>
        </w:tc>
        <w:tc>
          <w:tcPr>
            <w:tcW w:w="5966" w:type="dxa"/>
            <w:vMerge w:val="continue"/>
            <w:shd w:val="clear" w:color="auto" w:fill="auto"/>
            <w:vAlign w:val="center"/>
          </w:tcPr>
          <w:p>
            <w:pPr>
              <w:widowControl w:val="0"/>
              <w:spacing w:after="0" w:line="360" w:lineRule="auto"/>
              <w:ind w:left="0" w:firstLine="0"/>
              <w:rPr>
                <w:rFonts w:ascii="宋体" w:hAnsi="宋体" w:eastAsia="宋体" w:cs="Times New Roman"/>
                <w:b/>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1" w:hRule="atLeast"/>
        </w:trPr>
        <w:tc>
          <w:tcPr>
            <w:tcW w:w="6408" w:type="dxa"/>
            <w:gridSpan w:val="2"/>
            <w:tcBorders>
              <w:bottom w:val="single" w:color="auto" w:sz="6" w:space="0"/>
            </w:tcBorders>
            <w:shd w:val="clear" w:color="auto" w:fill="auto"/>
            <w:vAlign w:val="center"/>
          </w:tcPr>
          <w:p>
            <w:pPr>
              <w:widowControl w:val="0"/>
              <w:spacing w:after="0" w:line="360" w:lineRule="auto"/>
              <w:ind w:left="0" w:firstLine="0"/>
              <w:jc w:val="center"/>
              <w:rPr>
                <w:rFonts w:ascii="宋体" w:hAnsi="宋体" w:eastAsia="宋体" w:cs="Times New Roman"/>
                <w:b/>
                <w:color w:val="auto"/>
                <w:szCs w:val="24"/>
              </w:rPr>
            </w:pPr>
            <w:r>
              <w:rPr>
                <w:rFonts w:hint="eastAsia" w:ascii="宋体" w:hAnsi="宋体" w:eastAsia="宋体" w:cs="Times New Roman"/>
                <w:b/>
                <w:color w:val="auto"/>
                <w:szCs w:val="24"/>
              </w:rPr>
              <w:t>安全标志</w:t>
            </w:r>
          </w:p>
          <w:p>
            <w:pPr>
              <w:widowControl w:val="0"/>
              <w:spacing w:after="0" w:line="360" w:lineRule="auto"/>
              <w:ind w:left="0" w:firstLine="0"/>
              <w:jc w:val="center"/>
              <w:rPr>
                <w:rFonts w:ascii="宋体" w:hAnsi="宋体" w:eastAsia="宋体" w:cs="Times New Roman"/>
                <w:b/>
                <w:color w:val="auto"/>
                <w:szCs w:val="24"/>
              </w:rPr>
            </w:pPr>
            <w:r>
              <w:rPr>
                <w:rFonts w:ascii="宋体" w:hAnsi="宋体" w:eastAsia="宋体" w:cs="Times New Roman"/>
                <w:color w:val="auto"/>
                <w:sz w:val="21"/>
                <w:szCs w:val="24"/>
              </w:rPr>
              <w:drawing>
                <wp:inline distT="0" distB="0" distL="0" distR="0">
                  <wp:extent cx="956945" cy="1190625"/>
                  <wp:effectExtent l="0" t="0" r="0"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956945" cy="1190625"/>
                          </a:xfrm>
                          <a:prstGeom prst="rect">
                            <a:avLst/>
                          </a:prstGeom>
                          <a:noFill/>
                          <a:ln>
                            <a:noFill/>
                          </a:ln>
                        </pic:spPr>
                      </pic:pic>
                    </a:graphicData>
                  </a:graphic>
                </wp:inline>
              </w:drawing>
            </w:r>
            <w:r>
              <w:rPr>
                <w:rFonts w:hint="eastAsia" w:ascii="宋体" w:hAnsi="宋体" w:eastAsia="宋体" w:cs="Times New Roman"/>
                <w:b/>
                <w:color w:val="auto"/>
                <w:szCs w:val="24"/>
              </w:rPr>
              <w:t xml:space="preserve"> </w:t>
            </w:r>
            <w:r>
              <w:rPr>
                <w:rFonts w:ascii="宋体" w:hAnsi="宋体" w:eastAsia="宋体" w:cs="Times New Roman"/>
                <w:color w:val="auto"/>
                <w:sz w:val="21"/>
                <w:szCs w:val="24"/>
              </w:rPr>
              <w:drawing>
                <wp:inline distT="0" distB="0" distL="0" distR="0">
                  <wp:extent cx="946150" cy="1190625"/>
                  <wp:effectExtent l="0" t="0" r="6350"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946150" cy="1190625"/>
                          </a:xfrm>
                          <a:prstGeom prst="rect">
                            <a:avLst/>
                          </a:prstGeom>
                          <a:noFill/>
                          <a:ln>
                            <a:noFill/>
                          </a:ln>
                        </pic:spPr>
                      </pic:pic>
                    </a:graphicData>
                  </a:graphic>
                </wp:inline>
              </w:drawing>
            </w:r>
            <w:r>
              <w:rPr>
                <w:rFonts w:hint="eastAsia" w:ascii="宋体" w:hAnsi="宋体" w:eastAsia="宋体" w:cs="Times New Roman"/>
                <w:b/>
                <w:color w:val="auto"/>
                <w:szCs w:val="24"/>
              </w:rPr>
              <w:t xml:space="preserve"> </w:t>
            </w:r>
            <w:r>
              <w:rPr>
                <w:rFonts w:ascii="宋体" w:hAnsi="宋体" w:eastAsia="宋体"/>
                <w:color w:val="auto"/>
              </w:rPr>
              <w:drawing>
                <wp:inline distT="0" distB="0" distL="0" distR="0">
                  <wp:extent cx="925195" cy="1190625"/>
                  <wp:effectExtent l="0" t="0" r="8255"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925195" cy="1190625"/>
                          </a:xfrm>
                          <a:prstGeom prst="rect">
                            <a:avLst/>
                          </a:prstGeom>
                          <a:noFill/>
                          <a:ln>
                            <a:noFill/>
                          </a:ln>
                        </pic:spPr>
                      </pic:pic>
                    </a:graphicData>
                  </a:graphic>
                </wp:inline>
              </w:drawing>
            </w:r>
          </w:p>
        </w:tc>
        <w:tc>
          <w:tcPr>
            <w:tcW w:w="1800" w:type="dxa"/>
            <w:tcBorders>
              <w:bottom w:val="single" w:color="auto" w:sz="6" w:space="0"/>
            </w:tcBorders>
            <w:shd w:val="clear" w:color="auto" w:fill="auto"/>
            <w:vAlign w:val="center"/>
          </w:tcPr>
          <w:p>
            <w:pPr>
              <w:widowControl w:val="0"/>
              <w:spacing w:after="0" w:line="360" w:lineRule="auto"/>
              <w:ind w:left="0" w:firstLine="0"/>
              <w:jc w:val="center"/>
              <w:rPr>
                <w:rFonts w:ascii="宋体" w:hAnsi="宋体" w:eastAsia="宋体" w:cs="Times New Roman"/>
                <w:b/>
                <w:color w:val="auto"/>
                <w:szCs w:val="24"/>
              </w:rPr>
            </w:pPr>
            <w:r>
              <w:rPr>
                <w:rFonts w:hint="eastAsia" w:ascii="宋体" w:hAnsi="宋体" w:eastAsia="宋体" w:cs="Times New Roman"/>
                <w:b/>
                <w:color w:val="auto"/>
                <w:szCs w:val="24"/>
              </w:rPr>
              <w:t>风险管控措施</w:t>
            </w:r>
          </w:p>
        </w:tc>
        <w:tc>
          <w:tcPr>
            <w:tcW w:w="5966" w:type="dxa"/>
            <w:tcBorders>
              <w:bottom w:val="single" w:color="auto" w:sz="4" w:space="0"/>
            </w:tcBorders>
            <w:shd w:val="clear" w:color="auto" w:fill="auto"/>
            <w:vAlign w:val="center"/>
          </w:tcPr>
          <w:p>
            <w:pPr>
              <w:widowControl w:val="0"/>
              <w:spacing w:beforeLines="50" w:after="0" w:line="240" w:lineRule="auto"/>
              <w:ind w:left="0" w:firstLine="0"/>
              <w:rPr>
                <w:rFonts w:ascii="宋体" w:hAnsi="宋体" w:eastAsia="宋体" w:cs="Times New Roman"/>
                <w:b/>
                <w:color w:val="auto"/>
                <w:sz w:val="21"/>
                <w:szCs w:val="21"/>
              </w:rPr>
            </w:pPr>
            <w:r>
              <w:rPr>
                <w:rFonts w:hint="eastAsia" w:ascii="宋体" w:hAnsi="宋体" w:eastAsia="宋体" w:cs="Times New Roman"/>
                <w:b/>
                <w:color w:val="auto"/>
                <w:sz w:val="21"/>
                <w:szCs w:val="21"/>
              </w:rPr>
              <w:t>1.电气作业人员必须持证上岗；</w:t>
            </w:r>
          </w:p>
          <w:p>
            <w:pPr>
              <w:widowControl w:val="0"/>
              <w:spacing w:beforeLines="50" w:after="0" w:line="240" w:lineRule="auto"/>
              <w:ind w:left="0" w:firstLine="0"/>
              <w:rPr>
                <w:rFonts w:ascii="宋体" w:hAnsi="宋体" w:eastAsia="宋体" w:cs="Times New Roman"/>
                <w:b/>
                <w:color w:val="auto"/>
                <w:sz w:val="21"/>
                <w:szCs w:val="21"/>
              </w:rPr>
            </w:pPr>
            <w:r>
              <w:rPr>
                <w:rFonts w:hint="eastAsia" w:ascii="宋体" w:hAnsi="宋体" w:eastAsia="宋体" w:cs="Times New Roman"/>
                <w:b/>
                <w:color w:val="auto"/>
                <w:sz w:val="21"/>
                <w:szCs w:val="21"/>
              </w:rPr>
              <w:t>2.作业人员须接受岗前安全教育，熟知岗位危险源及防范措施；</w:t>
            </w:r>
          </w:p>
          <w:p>
            <w:pPr>
              <w:widowControl w:val="0"/>
              <w:spacing w:beforeLines="50" w:after="0" w:line="240" w:lineRule="auto"/>
              <w:ind w:left="0" w:firstLine="0"/>
              <w:rPr>
                <w:rFonts w:ascii="宋体" w:hAnsi="宋体" w:eastAsia="宋体" w:cs="Times New Roman"/>
                <w:b/>
                <w:color w:val="auto"/>
                <w:sz w:val="21"/>
                <w:szCs w:val="21"/>
              </w:rPr>
            </w:pPr>
            <w:r>
              <w:rPr>
                <w:rFonts w:hint="eastAsia" w:ascii="宋体" w:hAnsi="宋体" w:eastAsia="宋体" w:cs="Times New Roman"/>
                <w:b/>
                <w:color w:val="auto"/>
                <w:sz w:val="21"/>
                <w:szCs w:val="21"/>
              </w:rPr>
              <w:t>3.检修工具及劳动防护用品应合格且在检验有效期内；</w:t>
            </w:r>
          </w:p>
          <w:p>
            <w:pPr>
              <w:widowControl w:val="0"/>
              <w:spacing w:beforeLines="50" w:after="0" w:line="240" w:lineRule="auto"/>
              <w:ind w:left="0" w:firstLine="0"/>
              <w:rPr>
                <w:rFonts w:ascii="宋体" w:hAnsi="宋体" w:eastAsia="宋体" w:cs="Times New Roman"/>
                <w:b/>
                <w:color w:val="auto"/>
                <w:szCs w:val="24"/>
              </w:rPr>
            </w:pPr>
            <w:r>
              <w:rPr>
                <w:rFonts w:hint="eastAsia" w:ascii="宋体" w:hAnsi="宋体" w:eastAsia="宋体" w:cs="Times New Roman"/>
                <w:b/>
                <w:color w:val="auto"/>
                <w:sz w:val="21"/>
                <w:szCs w:val="21"/>
              </w:rPr>
              <w:t>4.污水泵房应确保通风良好。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trPr>
        <w:tc>
          <w:tcPr>
            <w:tcW w:w="2261" w:type="dxa"/>
            <w:tcBorders>
              <w:top w:val="single" w:color="auto" w:sz="6" w:space="0"/>
            </w:tcBorders>
            <w:shd w:val="clear" w:color="auto" w:fill="auto"/>
            <w:vAlign w:val="center"/>
          </w:tcPr>
          <w:p>
            <w:pPr>
              <w:widowControl w:val="0"/>
              <w:spacing w:after="0" w:line="360" w:lineRule="auto"/>
              <w:ind w:left="0" w:firstLine="0"/>
              <w:jc w:val="center"/>
              <w:rPr>
                <w:rFonts w:ascii="宋体" w:hAnsi="宋体" w:eastAsia="宋体" w:cs="Times New Roman"/>
                <w:b/>
                <w:color w:val="auto"/>
                <w:szCs w:val="24"/>
              </w:rPr>
            </w:pPr>
            <w:r>
              <w:rPr>
                <w:rFonts w:hint="eastAsia" w:ascii="宋体" w:hAnsi="宋体" w:eastAsia="宋体" w:cs="Times New Roman"/>
                <w:b/>
                <w:color w:val="auto"/>
                <w:szCs w:val="24"/>
              </w:rPr>
              <w:t>责任部门</w:t>
            </w:r>
          </w:p>
        </w:tc>
        <w:tc>
          <w:tcPr>
            <w:tcW w:w="4147" w:type="dxa"/>
            <w:tcBorders>
              <w:top w:val="single" w:color="auto" w:sz="6" w:space="0"/>
            </w:tcBorders>
            <w:shd w:val="clear" w:color="auto" w:fill="auto"/>
            <w:vAlign w:val="center"/>
          </w:tcPr>
          <w:p>
            <w:pPr>
              <w:widowControl w:val="0"/>
              <w:spacing w:after="0" w:line="360" w:lineRule="auto"/>
              <w:ind w:left="0" w:firstLine="0"/>
              <w:rPr>
                <w:rFonts w:ascii="宋体" w:hAnsi="宋体" w:eastAsia="宋体" w:cs="Times New Roman"/>
                <w:b/>
                <w:color w:val="auto"/>
                <w:szCs w:val="24"/>
              </w:rPr>
            </w:pPr>
          </w:p>
        </w:tc>
        <w:tc>
          <w:tcPr>
            <w:tcW w:w="1800" w:type="dxa"/>
            <w:vMerge w:val="restart"/>
            <w:tcBorders>
              <w:top w:val="single" w:color="auto" w:sz="6" w:space="0"/>
            </w:tcBorders>
            <w:shd w:val="clear" w:color="auto" w:fill="auto"/>
            <w:vAlign w:val="center"/>
          </w:tcPr>
          <w:p>
            <w:pPr>
              <w:widowControl w:val="0"/>
              <w:spacing w:after="0" w:line="360" w:lineRule="auto"/>
              <w:ind w:left="0" w:firstLine="0"/>
              <w:jc w:val="center"/>
              <w:rPr>
                <w:rFonts w:ascii="宋体" w:hAnsi="宋体" w:eastAsia="宋体" w:cs="Times New Roman"/>
                <w:b/>
                <w:color w:val="auto"/>
                <w:szCs w:val="24"/>
              </w:rPr>
            </w:pPr>
            <w:r>
              <w:rPr>
                <w:rFonts w:hint="eastAsia" w:ascii="宋体" w:hAnsi="宋体" w:eastAsia="宋体" w:cs="Times New Roman"/>
                <w:b/>
                <w:color w:val="auto"/>
                <w:szCs w:val="24"/>
              </w:rPr>
              <w:t>应急处置措施</w:t>
            </w:r>
          </w:p>
        </w:tc>
        <w:tc>
          <w:tcPr>
            <w:tcW w:w="5966" w:type="dxa"/>
            <w:vMerge w:val="restart"/>
            <w:tcBorders>
              <w:top w:val="single" w:color="auto" w:sz="6" w:space="0"/>
            </w:tcBorders>
            <w:shd w:val="clear" w:color="auto" w:fill="auto"/>
            <w:vAlign w:val="center"/>
          </w:tcPr>
          <w:p>
            <w:pPr>
              <w:widowControl w:val="0"/>
              <w:spacing w:after="0" w:line="360" w:lineRule="auto"/>
              <w:ind w:left="0" w:firstLine="0"/>
              <w:rPr>
                <w:rFonts w:ascii="宋体" w:hAnsi="宋体" w:eastAsia="宋体" w:cs="Times New Roman"/>
                <w:b/>
                <w:color w:val="auto"/>
                <w:sz w:val="21"/>
                <w:szCs w:val="21"/>
              </w:rPr>
            </w:pPr>
            <w:r>
              <w:rPr>
                <w:rFonts w:hint="eastAsia" w:ascii="宋体" w:hAnsi="宋体" w:eastAsia="宋体" w:cs="Times New Roman"/>
                <w:b/>
                <w:color w:val="auto"/>
                <w:sz w:val="21"/>
                <w:szCs w:val="21"/>
              </w:rPr>
              <w:t>1.触电时应</w:t>
            </w:r>
            <w:r>
              <w:rPr>
                <w:rFonts w:ascii="宋体" w:hAnsi="宋体" w:eastAsia="宋体" w:cs="Times New Roman"/>
                <w:b/>
                <w:color w:val="auto"/>
                <w:sz w:val="21"/>
                <w:szCs w:val="21"/>
              </w:rPr>
              <w:t>迅速切断电源，或者用绝缘物体挑开电线或带电物体，使伤者尽快脱离电源</w:t>
            </w:r>
            <w:r>
              <w:rPr>
                <w:rFonts w:hint="eastAsia" w:ascii="宋体" w:hAnsi="宋体" w:eastAsia="宋体" w:cs="Times New Roman"/>
                <w:b/>
                <w:color w:val="auto"/>
                <w:sz w:val="21"/>
                <w:szCs w:val="21"/>
              </w:rPr>
              <w:t>，</w:t>
            </w:r>
            <w:r>
              <w:rPr>
                <w:rFonts w:ascii="宋体" w:hAnsi="宋体" w:eastAsia="宋体" w:cs="Times New Roman"/>
                <w:b/>
                <w:color w:val="auto"/>
                <w:sz w:val="21"/>
                <w:szCs w:val="21"/>
              </w:rPr>
              <w:t>将伤者移至安全地带；</w:t>
            </w:r>
          </w:p>
          <w:p>
            <w:pPr>
              <w:widowControl w:val="0"/>
              <w:spacing w:after="0" w:line="360" w:lineRule="auto"/>
              <w:ind w:left="0" w:firstLine="0"/>
              <w:rPr>
                <w:rFonts w:ascii="宋体" w:hAnsi="宋体" w:eastAsia="宋体" w:cs="Times New Roman"/>
                <w:b/>
                <w:color w:val="auto"/>
                <w:sz w:val="21"/>
                <w:szCs w:val="21"/>
              </w:rPr>
            </w:pPr>
            <w:r>
              <w:rPr>
                <w:rFonts w:hint="eastAsia" w:ascii="宋体" w:hAnsi="宋体" w:eastAsia="宋体" w:cs="Times New Roman"/>
                <w:b/>
                <w:color w:val="auto"/>
                <w:sz w:val="21"/>
                <w:szCs w:val="21"/>
              </w:rPr>
              <w:t>2.有人员发生中毒窒息后，应先通风、佩戴好防护用品后方可进入，不得盲目施救</w:t>
            </w:r>
            <w:r>
              <w:rPr>
                <w:rFonts w:ascii="宋体" w:hAnsi="宋体" w:eastAsia="宋体" w:cs="Times New Roman"/>
                <w:b/>
                <w:color w:val="auto"/>
                <w:sz w:val="21"/>
                <w:szCs w:val="21"/>
              </w:rPr>
              <w:t>；</w:t>
            </w:r>
          </w:p>
          <w:p>
            <w:pPr>
              <w:widowControl w:val="0"/>
              <w:spacing w:after="0" w:line="360" w:lineRule="auto"/>
              <w:ind w:left="0" w:firstLine="0"/>
              <w:rPr>
                <w:rFonts w:ascii="宋体" w:hAnsi="宋体" w:eastAsia="宋体" w:cs="Times New Roman"/>
                <w:b/>
                <w:color w:val="auto"/>
                <w:sz w:val="21"/>
                <w:szCs w:val="21"/>
              </w:rPr>
            </w:pPr>
            <w:r>
              <w:rPr>
                <w:rFonts w:hint="eastAsia" w:ascii="宋体" w:hAnsi="宋体" w:eastAsia="宋体" w:cs="Times New Roman"/>
                <w:b/>
                <w:color w:val="auto"/>
                <w:sz w:val="21"/>
                <w:szCs w:val="21"/>
              </w:rPr>
              <w:t>3.按预案及信息报告流程</w:t>
            </w:r>
            <w:r>
              <w:rPr>
                <w:rFonts w:ascii="宋体" w:hAnsi="宋体" w:eastAsia="宋体" w:cs="Times New Roman"/>
                <w:b/>
                <w:color w:val="auto"/>
                <w:sz w:val="21"/>
                <w:szCs w:val="21"/>
              </w:rPr>
              <w:t>向上级报告，拨打120等急救电话。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trPr>
        <w:tc>
          <w:tcPr>
            <w:tcW w:w="2261" w:type="dxa"/>
            <w:tcBorders>
              <w:top w:val="single" w:color="auto" w:sz="6" w:space="0"/>
            </w:tcBorders>
            <w:shd w:val="clear" w:color="auto" w:fill="auto"/>
            <w:vAlign w:val="center"/>
          </w:tcPr>
          <w:p>
            <w:pPr>
              <w:widowControl w:val="0"/>
              <w:spacing w:after="0" w:line="360" w:lineRule="auto"/>
              <w:ind w:left="0" w:firstLine="0"/>
              <w:jc w:val="center"/>
              <w:rPr>
                <w:rFonts w:ascii="宋体" w:hAnsi="宋体" w:eastAsia="宋体" w:cs="Times New Roman"/>
                <w:b/>
                <w:color w:val="auto"/>
                <w:szCs w:val="24"/>
              </w:rPr>
            </w:pPr>
            <w:r>
              <w:rPr>
                <w:rFonts w:hint="eastAsia" w:ascii="宋体" w:hAnsi="宋体" w:eastAsia="宋体" w:cs="Times New Roman"/>
                <w:b/>
                <w:color w:val="auto"/>
                <w:szCs w:val="24"/>
              </w:rPr>
              <w:t>责任人</w:t>
            </w:r>
          </w:p>
        </w:tc>
        <w:tc>
          <w:tcPr>
            <w:tcW w:w="4147" w:type="dxa"/>
            <w:tcBorders>
              <w:top w:val="single" w:color="auto" w:sz="6" w:space="0"/>
            </w:tcBorders>
            <w:shd w:val="clear" w:color="auto" w:fill="auto"/>
            <w:vAlign w:val="center"/>
          </w:tcPr>
          <w:p>
            <w:pPr>
              <w:widowControl w:val="0"/>
              <w:spacing w:after="0" w:line="360" w:lineRule="auto"/>
              <w:ind w:left="0" w:firstLine="0"/>
              <w:rPr>
                <w:rFonts w:ascii="宋体" w:hAnsi="宋体" w:eastAsia="宋体" w:cs="Times New Roman"/>
                <w:b/>
                <w:color w:val="auto"/>
                <w:szCs w:val="24"/>
              </w:rPr>
            </w:pPr>
          </w:p>
        </w:tc>
        <w:tc>
          <w:tcPr>
            <w:tcW w:w="1800" w:type="dxa"/>
            <w:vMerge w:val="continue"/>
            <w:shd w:val="clear" w:color="auto" w:fill="auto"/>
            <w:vAlign w:val="center"/>
          </w:tcPr>
          <w:p>
            <w:pPr>
              <w:widowControl w:val="0"/>
              <w:spacing w:after="0" w:line="360" w:lineRule="auto"/>
              <w:ind w:left="0" w:firstLine="0"/>
              <w:jc w:val="center"/>
              <w:rPr>
                <w:rFonts w:ascii="宋体" w:hAnsi="宋体" w:eastAsia="宋体" w:cs="Times New Roman"/>
                <w:b/>
                <w:color w:val="auto"/>
                <w:szCs w:val="24"/>
              </w:rPr>
            </w:pPr>
          </w:p>
        </w:tc>
        <w:tc>
          <w:tcPr>
            <w:tcW w:w="5966" w:type="dxa"/>
            <w:vMerge w:val="continue"/>
            <w:shd w:val="clear" w:color="auto" w:fill="auto"/>
            <w:vAlign w:val="center"/>
          </w:tcPr>
          <w:p>
            <w:pPr>
              <w:widowControl w:val="0"/>
              <w:spacing w:after="0" w:line="360" w:lineRule="auto"/>
              <w:ind w:left="0" w:firstLine="0"/>
              <w:rPr>
                <w:rFonts w:ascii="宋体" w:hAnsi="宋体" w:eastAsia="宋体" w:cs="Times New Roman"/>
                <w:b/>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trPr>
        <w:tc>
          <w:tcPr>
            <w:tcW w:w="2261" w:type="dxa"/>
            <w:tcBorders>
              <w:top w:val="single" w:color="auto" w:sz="6" w:space="0"/>
            </w:tcBorders>
            <w:shd w:val="clear" w:color="auto" w:fill="auto"/>
            <w:vAlign w:val="center"/>
          </w:tcPr>
          <w:p>
            <w:pPr>
              <w:widowControl w:val="0"/>
              <w:spacing w:after="0" w:line="360" w:lineRule="auto"/>
              <w:ind w:left="0" w:firstLine="0"/>
              <w:jc w:val="center"/>
              <w:rPr>
                <w:rFonts w:ascii="宋体" w:hAnsi="宋体" w:eastAsia="宋体" w:cs="Times New Roman"/>
                <w:b/>
                <w:color w:val="auto"/>
                <w:szCs w:val="24"/>
              </w:rPr>
            </w:pPr>
            <w:r>
              <w:rPr>
                <w:rFonts w:hint="eastAsia" w:ascii="宋体" w:hAnsi="宋体" w:eastAsia="宋体" w:cs="Times New Roman"/>
                <w:b/>
                <w:color w:val="auto"/>
                <w:szCs w:val="24"/>
              </w:rPr>
              <w:t>责任人电话</w:t>
            </w:r>
          </w:p>
        </w:tc>
        <w:tc>
          <w:tcPr>
            <w:tcW w:w="4147" w:type="dxa"/>
            <w:tcBorders>
              <w:top w:val="single" w:color="auto" w:sz="6" w:space="0"/>
            </w:tcBorders>
            <w:shd w:val="clear" w:color="auto" w:fill="auto"/>
            <w:vAlign w:val="center"/>
          </w:tcPr>
          <w:p>
            <w:pPr>
              <w:widowControl w:val="0"/>
              <w:spacing w:after="0" w:line="360" w:lineRule="auto"/>
              <w:ind w:left="0" w:firstLine="0"/>
              <w:rPr>
                <w:rFonts w:ascii="宋体" w:hAnsi="宋体" w:eastAsia="宋体" w:cs="Times New Roman"/>
                <w:b/>
                <w:color w:val="auto"/>
                <w:szCs w:val="24"/>
              </w:rPr>
            </w:pPr>
          </w:p>
        </w:tc>
        <w:tc>
          <w:tcPr>
            <w:tcW w:w="1800" w:type="dxa"/>
            <w:vMerge w:val="continue"/>
            <w:shd w:val="clear" w:color="auto" w:fill="auto"/>
            <w:vAlign w:val="center"/>
          </w:tcPr>
          <w:p>
            <w:pPr>
              <w:widowControl w:val="0"/>
              <w:spacing w:after="0" w:line="360" w:lineRule="auto"/>
              <w:ind w:left="0" w:firstLine="0"/>
              <w:jc w:val="center"/>
              <w:rPr>
                <w:rFonts w:ascii="宋体" w:hAnsi="宋体" w:eastAsia="宋体" w:cs="Times New Roman"/>
                <w:b/>
                <w:color w:val="auto"/>
                <w:szCs w:val="24"/>
              </w:rPr>
            </w:pPr>
          </w:p>
        </w:tc>
        <w:tc>
          <w:tcPr>
            <w:tcW w:w="5966" w:type="dxa"/>
            <w:vMerge w:val="continue"/>
            <w:shd w:val="clear" w:color="auto" w:fill="auto"/>
            <w:vAlign w:val="center"/>
          </w:tcPr>
          <w:p>
            <w:pPr>
              <w:widowControl w:val="0"/>
              <w:spacing w:after="0" w:line="360" w:lineRule="auto"/>
              <w:ind w:left="0" w:firstLine="0"/>
              <w:rPr>
                <w:rFonts w:ascii="宋体" w:hAnsi="宋体" w:eastAsia="宋体" w:cs="Times New Roman"/>
                <w:b/>
                <w:color w:val="auto"/>
                <w:sz w:val="21"/>
                <w:szCs w:val="21"/>
              </w:rPr>
            </w:pPr>
          </w:p>
        </w:tc>
      </w:tr>
    </w:tbl>
    <w:p>
      <w:pPr>
        <w:widowControl w:val="0"/>
        <w:spacing w:after="0" w:line="480" w:lineRule="exact"/>
        <w:ind w:left="0" w:firstLine="480"/>
        <w:jc w:val="both"/>
        <w:rPr>
          <w:rFonts w:cs="Calibri" w:asciiTheme="minorEastAsia" w:hAnsiTheme="minorEastAsia" w:eastAsiaTheme="minorEastAsia"/>
          <w:color w:val="auto"/>
          <w:szCs w:val="24"/>
        </w:rPr>
      </w:pPr>
    </w:p>
    <w:p>
      <w:pPr>
        <w:widowControl w:val="0"/>
        <w:spacing w:after="0" w:line="480" w:lineRule="exact"/>
        <w:ind w:left="0" w:firstLine="480"/>
        <w:jc w:val="both"/>
        <w:rPr>
          <w:rFonts w:cs="Calibri" w:asciiTheme="minorEastAsia" w:hAnsiTheme="minorEastAsia" w:eastAsiaTheme="minorEastAsia"/>
          <w:color w:val="auto"/>
          <w:szCs w:val="24"/>
        </w:rPr>
      </w:pPr>
    </w:p>
    <w:p>
      <w:pPr>
        <w:widowControl w:val="0"/>
        <w:spacing w:after="0" w:line="480" w:lineRule="exact"/>
        <w:ind w:left="0" w:firstLine="480"/>
        <w:jc w:val="both"/>
        <w:rPr>
          <w:rFonts w:cs="Calibri" w:asciiTheme="minorEastAsia" w:hAnsiTheme="minorEastAsia" w:eastAsiaTheme="minorEastAsia"/>
          <w:color w:val="auto"/>
          <w:szCs w:val="24"/>
        </w:rPr>
      </w:pPr>
    </w:p>
    <w:p>
      <w:pPr>
        <w:widowControl w:val="0"/>
        <w:spacing w:after="0" w:line="480" w:lineRule="exact"/>
        <w:ind w:left="0" w:firstLine="480"/>
        <w:jc w:val="both"/>
        <w:rPr>
          <w:rFonts w:cs="Calibri" w:asciiTheme="minorEastAsia" w:hAnsiTheme="minorEastAsia" w:eastAsiaTheme="minorEastAsia"/>
          <w:color w:val="auto"/>
          <w:szCs w:val="24"/>
        </w:rPr>
      </w:pPr>
    </w:p>
    <w:tbl>
      <w:tblPr>
        <w:tblStyle w:val="30"/>
        <w:tblpPr w:leftFromText="180" w:rightFromText="180" w:vertAnchor="text" w:horzAnchor="margin" w:tblpXSpec="center" w:tblpY="26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1"/>
        <w:gridCol w:w="4226"/>
        <w:gridCol w:w="1721"/>
        <w:gridCol w:w="63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2261" w:type="dxa"/>
            <w:shd w:val="clear" w:color="auto" w:fill="auto"/>
            <w:vAlign w:val="center"/>
          </w:tcPr>
          <w:p>
            <w:pPr>
              <w:widowControl w:val="0"/>
              <w:spacing w:after="0" w:line="360" w:lineRule="auto"/>
              <w:ind w:left="0" w:firstLine="0"/>
              <w:jc w:val="center"/>
              <w:rPr>
                <w:rFonts w:ascii="宋体" w:hAnsi="宋体" w:eastAsia="宋体" w:cs="Times New Roman"/>
                <w:b/>
                <w:color w:val="auto"/>
                <w:szCs w:val="24"/>
              </w:rPr>
            </w:pPr>
            <w:r>
              <w:rPr>
                <w:rFonts w:hint="eastAsia" w:ascii="宋体" w:hAnsi="宋体" w:eastAsia="宋体" w:cs="Times New Roman"/>
                <w:b/>
                <w:color w:val="auto"/>
                <w:szCs w:val="24"/>
              </w:rPr>
              <w:t>风险点名称</w:t>
            </w:r>
          </w:p>
        </w:tc>
        <w:tc>
          <w:tcPr>
            <w:tcW w:w="4226" w:type="dxa"/>
            <w:shd w:val="clear" w:color="auto" w:fill="auto"/>
            <w:vAlign w:val="center"/>
          </w:tcPr>
          <w:p>
            <w:pPr>
              <w:widowControl w:val="0"/>
              <w:spacing w:after="0" w:line="360" w:lineRule="auto"/>
              <w:ind w:left="0" w:firstLine="0"/>
              <w:jc w:val="center"/>
              <w:rPr>
                <w:rFonts w:ascii="宋体" w:hAnsi="宋体" w:eastAsia="宋体" w:cs="Times New Roman"/>
                <w:b/>
                <w:color w:val="auto"/>
                <w:szCs w:val="24"/>
              </w:rPr>
            </w:pPr>
            <w:r>
              <w:rPr>
                <w:rFonts w:hint="eastAsia" w:ascii="宋体" w:hAnsi="宋体" w:eastAsia="宋体" w:cs="Times New Roman"/>
                <w:b/>
                <w:color w:val="auto"/>
                <w:szCs w:val="24"/>
              </w:rPr>
              <w:t>食堂</w:t>
            </w:r>
          </w:p>
        </w:tc>
        <w:tc>
          <w:tcPr>
            <w:tcW w:w="1721" w:type="dxa"/>
            <w:vMerge w:val="restart"/>
            <w:shd w:val="clear" w:color="auto" w:fill="auto"/>
            <w:vAlign w:val="center"/>
          </w:tcPr>
          <w:p>
            <w:pPr>
              <w:widowControl w:val="0"/>
              <w:spacing w:after="0" w:line="360" w:lineRule="auto"/>
              <w:ind w:left="0" w:firstLine="0"/>
              <w:jc w:val="center"/>
              <w:rPr>
                <w:rFonts w:ascii="宋体" w:hAnsi="宋体" w:eastAsia="宋体" w:cs="Times New Roman"/>
                <w:b/>
                <w:color w:val="auto"/>
                <w:szCs w:val="24"/>
              </w:rPr>
            </w:pPr>
            <w:r>
              <w:rPr>
                <w:rFonts w:hint="eastAsia" w:ascii="宋体" w:hAnsi="宋体" w:eastAsia="宋体" w:cs="Times New Roman"/>
                <w:b/>
                <w:color w:val="auto"/>
                <w:szCs w:val="24"/>
              </w:rPr>
              <w:t>致险因素描述</w:t>
            </w:r>
          </w:p>
        </w:tc>
        <w:tc>
          <w:tcPr>
            <w:tcW w:w="6364" w:type="dxa"/>
            <w:vMerge w:val="restart"/>
            <w:shd w:val="clear" w:color="auto" w:fill="auto"/>
            <w:vAlign w:val="center"/>
          </w:tcPr>
          <w:p>
            <w:pPr>
              <w:widowControl w:val="0"/>
              <w:spacing w:after="0" w:line="360" w:lineRule="auto"/>
              <w:ind w:left="0" w:firstLine="0"/>
              <w:rPr>
                <w:rFonts w:ascii="宋体" w:hAnsi="宋体" w:eastAsia="宋体" w:cs="Times New Roman"/>
                <w:b/>
                <w:color w:val="auto"/>
                <w:sz w:val="21"/>
                <w:szCs w:val="21"/>
              </w:rPr>
            </w:pPr>
            <w:r>
              <w:rPr>
                <w:rFonts w:hint="eastAsia" w:ascii="宋体" w:hAnsi="宋体" w:eastAsia="宋体" w:cs="Times New Roman"/>
                <w:b/>
                <w:color w:val="auto"/>
                <w:sz w:val="21"/>
                <w:szCs w:val="21"/>
              </w:rPr>
              <w:t>1.食材、卫生、生熟条件等部分；</w:t>
            </w:r>
          </w:p>
          <w:p>
            <w:pPr>
              <w:widowControl w:val="0"/>
              <w:spacing w:after="0" w:line="360" w:lineRule="auto"/>
              <w:ind w:left="0" w:firstLine="0"/>
              <w:rPr>
                <w:rFonts w:ascii="宋体" w:hAnsi="宋体" w:eastAsia="宋体" w:cs="Times New Roman"/>
                <w:b/>
                <w:color w:val="auto"/>
                <w:sz w:val="21"/>
                <w:szCs w:val="21"/>
              </w:rPr>
            </w:pPr>
            <w:r>
              <w:rPr>
                <w:rFonts w:hint="eastAsia" w:ascii="宋体" w:hAnsi="宋体" w:eastAsia="宋体" w:cs="Times New Roman"/>
                <w:b/>
                <w:color w:val="auto"/>
                <w:sz w:val="21"/>
                <w:szCs w:val="21"/>
              </w:rPr>
              <w:t>2.用气、用火管理不善，应急处置程序不当，消防设备配置不完善；</w:t>
            </w:r>
          </w:p>
          <w:p>
            <w:pPr>
              <w:widowControl w:val="0"/>
              <w:spacing w:after="0" w:line="360" w:lineRule="auto"/>
              <w:ind w:left="0" w:firstLine="0"/>
              <w:rPr>
                <w:rFonts w:ascii="宋体" w:hAnsi="宋体" w:eastAsia="宋体" w:cs="Times New Roman"/>
                <w:b/>
                <w:color w:val="auto"/>
                <w:sz w:val="21"/>
                <w:szCs w:val="21"/>
              </w:rPr>
            </w:pPr>
            <w:r>
              <w:rPr>
                <w:rFonts w:hint="eastAsia" w:ascii="宋体" w:hAnsi="宋体" w:eastAsia="宋体" w:cs="Times New Roman"/>
                <w:b/>
                <w:color w:val="auto"/>
                <w:sz w:val="21"/>
                <w:szCs w:val="21"/>
              </w:rPr>
              <w:t>3.食堂违规使用大功率电器、私拉乱接、电气不防水等；</w:t>
            </w:r>
          </w:p>
          <w:p>
            <w:pPr>
              <w:widowControl w:val="0"/>
              <w:spacing w:after="0" w:line="360" w:lineRule="auto"/>
              <w:ind w:left="0" w:firstLine="0"/>
              <w:rPr>
                <w:rFonts w:ascii="宋体" w:hAnsi="宋体" w:eastAsia="宋体" w:cs="Times New Roman"/>
                <w:b/>
                <w:color w:val="auto"/>
                <w:szCs w:val="24"/>
              </w:rPr>
            </w:pPr>
            <w:r>
              <w:rPr>
                <w:rFonts w:hint="eastAsia" w:ascii="宋体" w:hAnsi="宋体" w:eastAsia="宋体" w:cs="Times New Roman"/>
                <w:b/>
                <w:color w:val="auto"/>
                <w:sz w:val="21"/>
                <w:szCs w:val="21"/>
              </w:rPr>
              <w:t>4.高温蒸煮设备防护及劳动防护用品有缺陷。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2261" w:type="dxa"/>
            <w:tcBorders>
              <w:bottom w:val="single" w:color="auto" w:sz="4" w:space="0"/>
            </w:tcBorders>
            <w:shd w:val="clear" w:color="auto" w:fill="auto"/>
            <w:vAlign w:val="center"/>
          </w:tcPr>
          <w:p>
            <w:pPr>
              <w:widowControl w:val="0"/>
              <w:spacing w:after="0" w:line="360" w:lineRule="auto"/>
              <w:ind w:left="0" w:firstLine="0"/>
              <w:jc w:val="center"/>
              <w:rPr>
                <w:rFonts w:ascii="宋体" w:hAnsi="宋体" w:eastAsia="宋体" w:cs="Times New Roman"/>
                <w:b/>
                <w:color w:val="auto"/>
                <w:szCs w:val="24"/>
              </w:rPr>
            </w:pPr>
            <w:r>
              <w:rPr>
                <w:rFonts w:hint="eastAsia" w:ascii="宋体" w:hAnsi="宋体" w:eastAsia="宋体" w:cs="Times New Roman"/>
                <w:b/>
                <w:color w:val="auto"/>
                <w:szCs w:val="24"/>
              </w:rPr>
              <w:t>风险等级</w:t>
            </w:r>
          </w:p>
        </w:tc>
        <w:tc>
          <w:tcPr>
            <w:tcW w:w="4226" w:type="dxa"/>
            <w:shd w:val="clear" w:color="auto" w:fill="FAE600"/>
            <w:vAlign w:val="center"/>
          </w:tcPr>
          <w:p>
            <w:pPr>
              <w:widowControl w:val="0"/>
              <w:spacing w:after="0" w:line="360" w:lineRule="auto"/>
              <w:ind w:left="0" w:firstLine="0"/>
              <w:jc w:val="center"/>
              <w:rPr>
                <w:rFonts w:ascii="宋体" w:hAnsi="宋体" w:eastAsia="宋体" w:cs="Times New Roman"/>
                <w:b/>
                <w:color w:val="auto"/>
                <w:szCs w:val="24"/>
              </w:rPr>
            </w:pPr>
            <w:r>
              <w:rPr>
                <w:rFonts w:ascii="宋体" w:hAnsi="宋体" w:eastAsia="宋体" w:cs="Times New Roman"/>
                <w:b/>
                <w:color w:val="auto"/>
                <w:szCs w:val="24"/>
              </w:rPr>
              <w:t>一般风险</w:t>
            </w:r>
          </w:p>
        </w:tc>
        <w:tc>
          <w:tcPr>
            <w:tcW w:w="1721" w:type="dxa"/>
            <w:vMerge w:val="continue"/>
            <w:shd w:val="clear" w:color="auto" w:fill="auto"/>
            <w:vAlign w:val="center"/>
          </w:tcPr>
          <w:p>
            <w:pPr>
              <w:widowControl w:val="0"/>
              <w:spacing w:after="0" w:line="360" w:lineRule="auto"/>
              <w:ind w:left="0" w:firstLine="0"/>
              <w:jc w:val="center"/>
              <w:rPr>
                <w:rFonts w:ascii="宋体" w:hAnsi="宋体" w:eastAsia="宋体" w:cs="Times New Roman"/>
                <w:b/>
                <w:color w:val="auto"/>
                <w:szCs w:val="24"/>
              </w:rPr>
            </w:pPr>
          </w:p>
        </w:tc>
        <w:tc>
          <w:tcPr>
            <w:tcW w:w="6364" w:type="dxa"/>
            <w:vMerge w:val="continue"/>
            <w:shd w:val="clear" w:color="auto" w:fill="auto"/>
            <w:vAlign w:val="center"/>
          </w:tcPr>
          <w:p>
            <w:pPr>
              <w:widowControl w:val="0"/>
              <w:spacing w:after="0" w:line="360" w:lineRule="auto"/>
              <w:ind w:left="0" w:firstLine="0"/>
              <w:rPr>
                <w:rFonts w:ascii="宋体" w:hAnsi="宋体" w:eastAsia="宋体" w:cs="Times New Roman"/>
                <w:b/>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2261" w:type="dxa"/>
            <w:tcBorders>
              <w:bottom w:val="single" w:color="auto" w:sz="4" w:space="0"/>
            </w:tcBorders>
            <w:shd w:val="clear" w:color="auto" w:fill="auto"/>
            <w:vAlign w:val="center"/>
          </w:tcPr>
          <w:p>
            <w:pPr>
              <w:widowControl w:val="0"/>
              <w:spacing w:after="0" w:line="360" w:lineRule="auto"/>
              <w:ind w:left="0" w:firstLine="0"/>
              <w:jc w:val="center"/>
              <w:rPr>
                <w:rFonts w:ascii="宋体" w:hAnsi="宋体" w:eastAsia="宋体" w:cs="Times New Roman"/>
                <w:b/>
                <w:color w:val="auto"/>
                <w:szCs w:val="24"/>
              </w:rPr>
            </w:pPr>
            <w:r>
              <w:rPr>
                <w:rFonts w:hint="eastAsia" w:ascii="宋体" w:hAnsi="宋体" w:eastAsia="宋体" w:cs="Times New Roman"/>
                <w:b/>
                <w:color w:val="auto"/>
                <w:szCs w:val="24"/>
              </w:rPr>
              <w:t>事故类型</w:t>
            </w:r>
          </w:p>
        </w:tc>
        <w:tc>
          <w:tcPr>
            <w:tcW w:w="4226" w:type="dxa"/>
            <w:shd w:val="clear" w:color="auto" w:fill="auto"/>
            <w:vAlign w:val="center"/>
          </w:tcPr>
          <w:p>
            <w:pPr>
              <w:widowControl w:val="0"/>
              <w:spacing w:after="0" w:line="360" w:lineRule="auto"/>
              <w:ind w:left="0" w:firstLine="0"/>
              <w:jc w:val="center"/>
              <w:rPr>
                <w:rFonts w:ascii="宋体" w:hAnsi="宋体" w:eastAsia="宋体" w:cs="Times New Roman"/>
                <w:b/>
                <w:color w:val="auto"/>
                <w:szCs w:val="24"/>
              </w:rPr>
            </w:pPr>
            <w:r>
              <w:rPr>
                <w:rFonts w:hint="eastAsia" w:ascii="宋体" w:hAnsi="宋体" w:eastAsia="宋体" w:cs="Times New Roman"/>
                <w:b/>
                <w:color w:val="auto"/>
                <w:szCs w:val="24"/>
              </w:rPr>
              <w:t>食物中毒 火灾 触电 灼烫</w:t>
            </w:r>
          </w:p>
        </w:tc>
        <w:tc>
          <w:tcPr>
            <w:tcW w:w="1721" w:type="dxa"/>
            <w:vMerge w:val="continue"/>
            <w:shd w:val="clear" w:color="auto" w:fill="auto"/>
            <w:vAlign w:val="center"/>
          </w:tcPr>
          <w:p>
            <w:pPr>
              <w:widowControl w:val="0"/>
              <w:spacing w:after="0" w:line="360" w:lineRule="auto"/>
              <w:ind w:left="0" w:firstLine="0"/>
              <w:jc w:val="center"/>
              <w:rPr>
                <w:rFonts w:ascii="宋体" w:hAnsi="宋体" w:eastAsia="宋体" w:cs="Times New Roman"/>
                <w:b/>
                <w:color w:val="auto"/>
                <w:szCs w:val="24"/>
              </w:rPr>
            </w:pPr>
          </w:p>
        </w:tc>
        <w:tc>
          <w:tcPr>
            <w:tcW w:w="6364" w:type="dxa"/>
            <w:vMerge w:val="continue"/>
            <w:shd w:val="clear" w:color="auto" w:fill="auto"/>
            <w:vAlign w:val="center"/>
          </w:tcPr>
          <w:p>
            <w:pPr>
              <w:widowControl w:val="0"/>
              <w:spacing w:after="0" w:line="360" w:lineRule="auto"/>
              <w:ind w:left="0" w:firstLine="0"/>
              <w:rPr>
                <w:rFonts w:ascii="宋体" w:hAnsi="宋体" w:eastAsia="宋体" w:cs="Times New Roman"/>
                <w:b/>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87" w:type="dxa"/>
            <w:gridSpan w:val="2"/>
            <w:tcBorders>
              <w:bottom w:val="single" w:color="auto" w:sz="6" w:space="0"/>
            </w:tcBorders>
            <w:shd w:val="clear" w:color="auto" w:fill="auto"/>
          </w:tcPr>
          <w:p>
            <w:pPr>
              <w:widowControl w:val="0"/>
              <w:spacing w:after="0" w:line="360" w:lineRule="auto"/>
              <w:ind w:left="0" w:firstLine="0"/>
              <w:jc w:val="center"/>
              <w:rPr>
                <w:rFonts w:ascii="宋体" w:hAnsi="宋体" w:eastAsia="宋体" w:cs="Times New Roman"/>
                <w:b/>
                <w:color w:val="auto"/>
                <w:szCs w:val="24"/>
              </w:rPr>
            </w:pPr>
            <w:r>
              <w:rPr>
                <w:rFonts w:hint="eastAsia" w:ascii="宋体" w:hAnsi="宋体" w:eastAsia="宋体" w:cs="Times New Roman"/>
                <w:b/>
                <w:color w:val="auto"/>
                <w:szCs w:val="24"/>
              </w:rPr>
              <w:t>安全标志</w:t>
            </w:r>
          </w:p>
          <w:p>
            <w:pPr>
              <w:widowControl w:val="0"/>
              <w:spacing w:after="0" w:line="360" w:lineRule="auto"/>
              <w:ind w:left="0" w:firstLine="0"/>
              <w:jc w:val="center"/>
              <w:rPr>
                <w:rFonts w:ascii="宋体" w:hAnsi="宋体" w:eastAsia="宋体" w:cs="Times New Roman"/>
                <w:b/>
                <w:color w:val="auto"/>
                <w:szCs w:val="24"/>
              </w:rPr>
            </w:pPr>
            <w:r>
              <w:rPr>
                <w:rFonts w:ascii="宋体" w:hAnsi="宋体" w:eastAsia="宋体" w:cs="Times New Roman"/>
                <w:color w:val="auto"/>
                <w:sz w:val="21"/>
                <w:szCs w:val="24"/>
              </w:rPr>
              <w:drawing>
                <wp:inline distT="0" distB="0" distL="0" distR="0">
                  <wp:extent cx="871855" cy="1084580"/>
                  <wp:effectExtent l="0" t="0" r="4445" b="12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871855" cy="1084580"/>
                          </a:xfrm>
                          <a:prstGeom prst="rect">
                            <a:avLst/>
                          </a:prstGeom>
                          <a:noFill/>
                          <a:ln>
                            <a:noFill/>
                          </a:ln>
                        </pic:spPr>
                      </pic:pic>
                    </a:graphicData>
                  </a:graphic>
                </wp:inline>
              </w:drawing>
            </w:r>
            <w:r>
              <w:rPr>
                <w:rFonts w:ascii="宋体" w:hAnsi="宋体" w:eastAsia="宋体" w:cs="Times New Roman"/>
                <w:color w:val="auto"/>
                <w:sz w:val="21"/>
                <w:szCs w:val="24"/>
              </w:rPr>
              <w:drawing>
                <wp:inline distT="0" distB="0" distL="0" distR="0">
                  <wp:extent cx="882650" cy="1084580"/>
                  <wp:effectExtent l="0" t="0" r="0" b="127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882650" cy="1084580"/>
                          </a:xfrm>
                          <a:prstGeom prst="rect">
                            <a:avLst/>
                          </a:prstGeom>
                          <a:noFill/>
                          <a:ln>
                            <a:noFill/>
                          </a:ln>
                        </pic:spPr>
                      </pic:pic>
                    </a:graphicData>
                  </a:graphic>
                </wp:inline>
              </w:drawing>
            </w:r>
            <w:r>
              <w:rPr>
                <w:rFonts w:ascii="宋体" w:hAnsi="宋体" w:eastAsia="宋体" w:cs="Times New Roman"/>
                <w:color w:val="auto"/>
                <w:sz w:val="21"/>
                <w:szCs w:val="24"/>
              </w:rPr>
              <w:drawing>
                <wp:inline distT="0" distB="0" distL="0" distR="0">
                  <wp:extent cx="882650" cy="1084580"/>
                  <wp:effectExtent l="0" t="0" r="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882650" cy="1084580"/>
                          </a:xfrm>
                          <a:prstGeom prst="rect">
                            <a:avLst/>
                          </a:prstGeom>
                          <a:noFill/>
                          <a:ln>
                            <a:noFill/>
                          </a:ln>
                        </pic:spPr>
                      </pic:pic>
                    </a:graphicData>
                  </a:graphic>
                </wp:inline>
              </w:drawing>
            </w:r>
            <w:r>
              <w:rPr>
                <w:rFonts w:ascii="宋体" w:hAnsi="宋体" w:eastAsia="宋体" w:cs="Times New Roman"/>
                <w:color w:val="auto"/>
                <w:sz w:val="21"/>
                <w:szCs w:val="24"/>
              </w:rPr>
              <w:drawing>
                <wp:inline distT="0" distB="0" distL="0" distR="0">
                  <wp:extent cx="871855" cy="1084580"/>
                  <wp:effectExtent l="0" t="0" r="4445" b="127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871855" cy="1084580"/>
                          </a:xfrm>
                          <a:prstGeom prst="rect">
                            <a:avLst/>
                          </a:prstGeom>
                          <a:noFill/>
                          <a:ln>
                            <a:noFill/>
                          </a:ln>
                        </pic:spPr>
                      </pic:pic>
                    </a:graphicData>
                  </a:graphic>
                </wp:inline>
              </w:drawing>
            </w:r>
          </w:p>
        </w:tc>
        <w:tc>
          <w:tcPr>
            <w:tcW w:w="1721" w:type="dxa"/>
            <w:tcBorders>
              <w:bottom w:val="single" w:color="auto" w:sz="6" w:space="0"/>
            </w:tcBorders>
            <w:shd w:val="clear" w:color="auto" w:fill="auto"/>
            <w:vAlign w:val="center"/>
          </w:tcPr>
          <w:p>
            <w:pPr>
              <w:widowControl w:val="0"/>
              <w:spacing w:after="0" w:line="360" w:lineRule="auto"/>
              <w:ind w:left="0" w:firstLine="0"/>
              <w:jc w:val="center"/>
              <w:rPr>
                <w:rFonts w:ascii="宋体" w:hAnsi="宋体" w:eastAsia="宋体" w:cs="Times New Roman"/>
                <w:b/>
                <w:color w:val="auto"/>
                <w:szCs w:val="24"/>
              </w:rPr>
            </w:pPr>
            <w:r>
              <w:rPr>
                <w:rFonts w:hint="eastAsia" w:ascii="宋体" w:hAnsi="宋体" w:eastAsia="宋体" w:cs="Times New Roman"/>
                <w:b/>
                <w:color w:val="auto"/>
                <w:szCs w:val="24"/>
              </w:rPr>
              <w:t>风险管控措施</w:t>
            </w:r>
          </w:p>
        </w:tc>
        <w:tc>
          <w:tcPr>
            <w:tcW w:w="6364" w:type="dxa"/>
            <w:tcBorders>
              <w:bottom w:val="single" w:color="auto" w:sz="4" w:space="0"/>
            </w:tcBorders>
            <w:shd w:val="clear" w:color="auto" w:fill="auto"/>
            <w:vAlign w:val="center"/>
          </w:tcPr>
          <w:p>
            <w:pPr>
              <w:widowControl w:val="0"/>
              <w:spacing w:after="0" w:line="360" w:lineRule="auto"/>
              <w:ind w:left="0" w:firstLine="0"/>
              <w:rPr>
                <w:rFonts w:ascii="宋体" w:hAnsi="宋体" w:eastAsia="宋体" w:cs="Times New Roman"/>
                <w:b/>
                <w:color w:val="auto"/>
                <w:sz w:val="21"/>
                <w:szCs w:val="21"/>
              </w:rPr>
            </w:pPr>
            <w:r>
              <w:rPr>
                <w:rFonts w:hint="eastAsia" w:ascii="宋体" w:hAnsi="宋体" w:eastAsia="宋体" w:cs="Times New Roman"/>
                <w:b/>
                <w:color w:val="auto"/>
                <w:sz w:val="21"/>
                <w:szCs w:val="21"/>
              </w:rPr>
              <w:t>1.食材应选择正规渠道、保持食堂卫生、食堂作业人员必须持证上岗，遵守岗位操作规程；</w:t>
            </w:r>
          </w:p>
          <w:p>
            <w:pPr>
              <w:widowControl w:val="0"/>
              <w:spacing w:after="0" w:line="360" w:lineRule="auto"/>
              <w:ind w:left="0" w:firstLine="0"/>
              <w:rPr>
                <w:rFonts w:ascii="宋体" w:hAnsi="宋体" w:eastAsia="宋体" w:cs="Times New Roman"/>
                <w:b/>
                <w:color w:val="auto"/>
                <w:sz w:val="21"/>
                <w:szCs w:val="21"/>
              </w:rPr>
            </w:pPr>
            <w:r>
              <w:rPr>
                <w:rFonts w:hint="eastAsia" w:ascii="宋体" w:hAnsi="宋体" w:eastAsia="宋体" w:cs="Times New Roman"/>
                <w:b/>
                <w:color w:val="auto"/>
                <w:sz w:val="21"/>
                <w:szCs w:val="21"/>
              </w:rPr>
              <w:t>2.作业人员须接受岗前消防、用电等安全教育，熟知岗位危险源及防范措施；</w:t>
            </w:r>
          </w:p>
          <w:p>
            <w:pPr>
              <w:widowControl w:val="0"/>
              <w:spacing w:after="0" w:line="360" w:lineRule="auto"/>
              <w:ind w:left="0" w:firstLine="0"/>
              <w:rPr>
                <w:rFonts w:ascii="宋体" w:hAnsi="宋体" w:eastAsia="宋体" w:cs="Times New Roman"/>
                <w:b/>
                <w:color w:val="auto"/>
                <w:sz w:val="21"/>
                <w:szCs w:val="21"/>
              </w:rPr>
            </w:pPr>
            <w:r>
              <w:rPr>
                <w:rFonts w:hint="eastAsia" w:ascii="宋体" w:hAnsi="宋体" w:eastAsia="宋体" w:cs="Times New Roman"/>
                <w:b/>
                <w:color w:val="auto"/>
                <w:sz w:val="21"/>
                <w:szCs w:val="21"/>
              </w:rPr>
              <w:t>3. 加强食堂日常食品卫生、消防、用电等检查管理；</w:t>
            </w:r>
          </w:p>
          <w:p>
            <w:pPr>
              <w:widowControl w:val="0"/>
              <w:spacing w:after="0" w:line="360" w:lineRule="auto"/>
              <w:ind w:left="0" w:firstLine="0"/>
              <w:rPr>
                <w:rFonts w:ascii="宋体" w:hAnsi="宋体" w:eastAsia="宋体" w:cs="Times New Roman"/>
                <w:b/>
                <w:color w:val="auto"/>
                <w:szCs w:val="24"/>
              </w:rPr>
            </w:pPr>
            <w:r>
              <w:rPr>
                <w:rFonts w:hint="eastAsia" w:ascii="宋体" w:hAnsi="宋体" w:eastAsia="宋体" w:cs="Times New Roman"/>
                <w:b/>
                <w:color w:val="auto"/>
                <w:sz w:val="21"/>
                <w:szCs w:val="21"/>
              </w:rPr>
              <w:t>4.高温蒸煮设备防护及劳动防护用品应合格有效。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2261" w:type="dxa"/>
            <w:tcBorders>
              <w:top w:val="single" w:color="auto" w:sz="6" w:space="0"/>
            </w:tcBorders>
            <w:shd w:val="clear" w:color="auto" w:fill="auto"/>
            <w:vAlign w:val="center"/>
          </w:tcPr>
          <w:p>
            <w:pPr>
              <w:widowControl w:val="0"/>
              <w:spacing w:after="0" w:line="360" w:lineRule="auto"/>
              <w:ind w:left="0" w:firstLine="0"/>
              <w:jc w:val="center"/>
              <w:rPr>
                <w:rFonts w:ascii="宋体" w:hAnsi="宋体" w:eastAsia="宋体" w:cs="Times New Roman"/>
                <w:b/>
                <w:color w:val="auto"/>
                <w:szCs w:val="24"/>
              </w:rPr>
            </w:pPr>
            <w:r>
              <w:rPr>
                <w:rFonts w:hint="eastAsia" w:ascii="宋体" w:hAnsi="宋体" w:eastAsia="宋体" w:cs="Times New Roman"/>
                <w:b/>
                <w:color w:val="auto"/>
                <w:szCs w:val="24"/>
              </w:rPr>
              <w:t>责任部门</w:t>
            </w:r>
          </w:p>
        </w:tc>
        <w:tc>
          <w:tcPr>
            <w:tcW w:w="4226" w:type="dxa"/>
            <w:tcBorders>
              <w:top w:val="single" w:color="auto" w:sz="6" w:space="0"/>
            </w:tcBorders>
            <w:shd w:val="clear" w:color="auto" w:fill="auto"/>
            <w:vAlign w:val="center"/>
          </w:tcPr>
          <w:p>
            <w:pPr>
              <w:widowControl w:val="0"/>
              <w:spacing w:after="0" w:line="360" w:lineRule="auto"/>
              <w:ind w:left="0" w:firstLine="0"/>
              <w:rPr>
                <w:rFonts w:ascii="宋体" w:hAnsi="宋体" w:eastAsia="宋体" w:cs="Times New Roman"/>
                <w:b/>
                <w:color w:val="auto"/>
                <w:szCs w:val="24"/>
              </w:rPr>
            </w:pPr>
          </w:p>
        </w:tc>
        <w:tc>
          <w:tcPr>
            <w:tcW w:w="1721" w:type="dxa"/>
            <w:vMerge w:val="restart"/>
            <w:tcBorders>
              <w:top w:val="single" w:color="auto" w:sz="6" w:space="0"/>
            </w:tcBorders>
            <w:shd w:val="clear" w:color="auto" w:fill="auto"/>
            <w:vAlign w:val="center"/>
          </w:tcPr>
          <w:p>
            <w:pPr>
              <w:widowControl w:val="0"/>
              <w:spacing w:after="0" w:line="360" w:lineRule="auto"/>
              <w:ind w:left="0" w:firstLine="0"/>
              <w:jc w:val="center"/>
              <w:rPr>
                <w:rFonts w:ascii="宋体" w:hAnsi="宋体" w:eastAsia="宋体" w:cs="Times New Roman"/>
                <w:b/>
                <w:color w:val="auto"/>
                <w:szCs w:val="24"/>
              </w:rPr>
            </w:pPr>
            <w:r>
              <w:rPr>
                <w:rFonts w:hint="eastAsia" w:ascii="宋体" w:hAnsi="宋体" w:eastAsia="宋体" w:cs="Times New Roman"/>
                <w:b/>
                <w:color w:val="auto"/>
                <w:szCs w:val="24"/>
              </w:rPr>
              <w:t>应急处置措施</w:t>
            </w:r>
          </w:p>
        </w:tc>
        <w:tc>
          <w:tcPr>
            <w:tcW w:w="6364" w:type="dxa"/>
            <w:vMerge w:val="restart"/>
            <w:tcBorders>
              <w:top w:val="single" w:color="auto" w:sz="6" w:space="0"/>
            </w:tcBorders>
            <w:shd w:val="clear" w:color="auto" w:fill="auto"/>
            <w:vAlign w:val="center"/>
          </w:tcPr>
          <w:p>
            <w:pPr>
              <w:widowControl w:val="0"/>
              <w:spacing w:after="0" w:line="360" w:lineRule="auto"/>
              <w:ind w:left="0" w:firstLine="0"/>
              <w:rPr>
                <w:rFonts w:ascii="宋体" w:hAnsi="宋体" w:eastAsia="宋体" w:cs="Times New Roman"/>
                <w:b/>
                <w:color w:val="auto"/>
                <w:sz w:val="21"/>
                <w:szCs w:val="21"/>
              </w:rPr>
            </w:pPr>
            <w:r>
              <w:rPr>
                <w:rFonts w:hint="eastAsia" w:ascii="宋体" w:hAnsi="宋体" w:eastAsia="宋体" w:cs="Times New Roman"/>
                <w:b/>
                <w:color w:val="auto"/>
                <w:sz w:val="21"/>
                <w:szCs w:val="21"/>
              </w:rPr>
              <w:t>1.食物中毒时应立即停止进食，及时采取催吐等施救方式；</w:t>
            </w:r>
          </w:p>
          <w:p>
            <w:pPr>
              <w:widowControl w:val="0"/>
              <w:spacing w:after="0" w:line="360" w:lineRule="auto"/>
              <w:ind w:left="0" w:firstLine="0"/>
              <w:rPr>
                <w:rFonts w:ascii="宋体" w:hAnsi="宋体" w:eastAsia="宋体" w:cs="Times New Roman"/>
                <w:b/>
                <w:color w:val="auto"/>
                <w:sz w:val="21"/>
                <w:szCs w:val="21"/>
              </w:rPr>
            </w:pPr>
            <w:r>
              <w:rPr>
                <w:rFonts w:hint="eastAsia" w:ascii="宋体" w:hAnsi="宋体" w:eastAsia="宋体" w:cs="Times New Roman"/>
                <w:b/>
                <w:color w:val="auto"/>
                <w:sz w:val="21"/>
                <w:szCs w:val="21"/>
              </w:rPr>
              <w:t>2.触电时应</w:t>
            </w:r>
            <w:r>
              <w:rPr>
                <w:rFonts w:ascii="宋体" w:hAnsi="宋体" w:eastAsia="宋体" w:cs="Times New Roman"/>
                <w:b/>
                <w:color w:val="auto"/>
                <w:sz w:val="21"/>
                <w:szCs w:val="21"/>
              </w:rPr>
              <w:t>迅速切断电源，用绝缘物体使伤者尽快脱离电源</w:t>
            </w:r>
            <w:r>
              <w:rPr>
                <w:rFonts w:hint="eastAsia" w:ascii="宋体" w:hAnsi="宋体" w:eastAsia="宋体" w:cs="Times New Roman"/>
                <w:b/>
                <w:color w:val="auto"/>
                <w:sz w:val="21"/>
                <w:szCs w:val="21"/>
              </w:rPr>
              <w:t>，</w:t>
            </w:r>
            <w:r>
              <w:rPr>
                <w:rFonts w:ascii="宋体" w:hAnsi="宋体" w:eastAsia="宋体" w:cs="Times New Roman"/>
                <w:b/>
                <w:color w:val="auto"/>
                <w:sz w:val="21"/>
                <w:szCs w:val="21"/>
              </w:rPr>
              <w:t>使其平卧，</w:t>
            </w:r>
            <w:r>
              <w:rPr>
                <w:rFonts w:hint="eastAsia" w:ascii="宋体" w:hAnsi="宋体" w:eastAsia="宋体" w:cs="Times New Roman"/>
                <w:b/>
                <w:color w:val="auto"/>
                <w:sz w:val="21"/>
                <w:szCs w:val="21"/>
              </w:rPr>
              <w:t>必要时</w:t>
            </w:r>
            <w:r>
              <w:rPr>
                <w:rFonts w:ascii="宋体" w:hAnsi="宋体" w:eastAsia="宋体" w:cs="Times New Roman"/>
                <w:b/>
                <w:color w:val="auto"/>
                <w:sz w:val="21"/>
                <w:szCs w:val="21"/>
              </w:rPr>
              <w:t>实施人工呼吸或胸外心脏挤压法抢救；</w:t>
            </w:r>
          </w:p>
          <w:p>
            <w:pPr>
              <w:widowControl w:val="0"/>
              <w:spacing w:after="0" w:line="360" w:lineRule="auto"/>
              <w:ind w:left="0" w:firstLine="0"/>
              <w:rPr>
                <w:rFonts w:ascii="宋体" w:hAnsi="宋体" w:eastAsia="宋体" w:cs="Times New Roman"/>
                <w:b/>
                <w:color w:val="auto"/>
                <w:sz w:val="21"/>
                <w:szCs w:val="21"/>
              </w:rPr>
            </w:pPr>
            <w:r>
              <w:rPr>
                <w:rFonts w:hint="eastAsia" w:ascii="宋体" w:hAnsi="宋体" w:eastAsia="宋体" w:cs="Times New Roman"/>
                <w:b/>
                <w:color w:val="auto"/>
                <w:sz w:val="21"/>
                <w:szCs w:val="21"/>
              </w:rPr>
              <w:t>3.火灾时按预案进行初期火灾控制，并及时将就餐人员疏散；</w:t>
            </w:r>
          </w:p>
          <w:p>
            <w:pPr>
              <w:widowControl w:val="0"/>
              <w:spacing w:after="0" w:line="360" w:lineRule="auto"/>
              <w:ind w:left="0" w:firstLine="0"/>
              <w:rPr>
                <w:rFonts w:ascii="宋体" w:hAnsi="宋体" w:eastAsia="宋体" w:cs="Times New Roman"/>
                <w:b/>
                <w:color w:val="auto"/>
                <w:sz w:val="21"/>
                <w:szCs w:val="21"/>
              </w:rPr>
            </w:pPr>
            <w:r>
              <w:rPr>
                <w:rFonts w:hint="eastAsia" w:ascii="宋体" w:hAnsi="宋体" w:eastAsia="宋体" w:cs="Times New Roman"/>
                <w:b/>
                <w:color w:val="auto"/>
                <w:sz w:val="21"/>
                <w:szCs w:val="21"/>
              </w:rPr>
              <w:t>4. 按预案及信息报告流程</w:t>
            </w:r>
            <w:r>
              <w:rPr>
                <w:rFonts w:ascii="宋体" w:hAnsi="宋体" w:eastAsia="宋体" w:cs="Times New Roman"/>
                <w:b/>
                <w:color w:val="auto"/>
                <w:sz w:val="21"/>
                <w:szCs w:val="21"/>
              </w:rPr>
              <w:t>向上级报告，拨打120等急救电话。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2261" w:type="dxa"/>
            <w:shd w:val="clear" w:color="auto" w:fill="auto"/>
            <w:vAlign w:val="center"/>
          </w:tcPr>
          <w:p>
            <w:pPr>
              <w:widowControl w:val="0"/>
              <w:spacing w:after="0" w:line="360" w:lineRule="auto"/>
              <w:ind w:left="0" w:firstLine="0"/>
              <w:jc w:val="center"/>
              <w:rPr>
                <w:rFonts w:ascii="宋体" w:hAnsi="宋体" w:eastAsia="宋体" w:cs="Times New Roman"/>
                <w:b/>
                <w:color w:val="auto"/>
                <w:szCs w:val="24"/>
              </w:rPr>
            </w:pPr>
            <w:r>
              <w:rPr>
                <w:rFonts w:hint="eastAsia" w:ascii="宋体" w:hAnsi="宋体" w:eastAsia="宋体" w:cs="Times New Roman"/>
                <w:b/>
                <w:color w:val="auto"/>
                <w:szCs w:val="24"/>
              </w:rPr>
              <w:t>责任人</w:t>
            </w:r>
          </w:p>
        </w:tc>
        <w:tc>
          <w:tcPr>
            <w:tcW w:w="4226" w:type="dxa"/>
            <w:shd w:val="clear" w:color="auto" w:fill="auto"/>
            <w:vAlign w:val="center"/>
          </w:tcPr>
          <w:p>
            <w:pPr>
              <w:widowControl w:val="0"/>
              <w:spacing w:after="0" w:line="360" w:lineRule="auto"/>
              <w:ind w:left="0" w:firstLine="0"/>
              <w:rPr>
                <w:rFonts w:ascii="宋体" w:hAnsi="宋体" w:eastAsia="宋体" w:cs="Times New Roman"/>
                <w:b/>
                <w:color w:val="auto"/>
                <w:szCs w:val="24"/>
              </w:rPr>
            </w:pPr>
          </w:p>
        </w:tc>
        <w:tc>
          <w:tcPr>
            <w:tcW w:w="1721" w:type="dxa"/>
            <w:vMerge w:val="continue"/>
            <w:shd w:val="clear" w:color="auto" w:fill="auto"/>
            <w:vAlign w:val="center"/>
          </w:tcPr>
          <w:p>
            <w:pPr>
              <w:widowControl w:val="0"/>
              <w:spacing w:after="0" w:line="360" w:lineRule="auto"/>
              <w:ind w:left="0" w:firstLine="0"/>
              <w:jc w:val="center"/>
              <w:rPr>
                <w:rFonts w:ascii="宋体" w:hAnsi="宋体" w:eastAsia="宋体" w:cs="Times New Roman"/>
                <w:b/>
                <w:color w:val="auto"/>
                <w:szCs w:val="24"/>
              </w:rPr>
            </w:pPr>
          </w:p>
        </w:tc>
        <w:tc>
          <w:tcPr>
            <w:tcW w:w="6364" w:type="dxa"/>
            <w:vMerge w:val="continue"/>
            <w:shd w:val="clear" w:color="auto" w:fill="auto"/>
            <w:vAlign w:val="center"/>
          </w:tcPr>
          <w:p>
            <w:pPr>
              <w:widowControl w:val="0"/>
              <w:spacing w:after="0" w:line="360" w:lineRule="auto"/>
              <w:ind w:left="0" w:firstLine="0"/>
              <w:rPr>
                <w:rFonts w:ascii="宋体" w:hAnsi="宋体" w:eastAsia="宋体"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jc w:val="center"/>
        </w:trPr>
        <w:tc>
          <w:tcPr>
            <w:tcW w:w="2261" w:type="dxa"/>
            <w:shd w:val="clear" w:color="auto" w:fill="auto"/>
            <w:vAlign w:val="center"/>
          </w:tcPr>
          <w:p>
            <w:pPr>
              <w:widowControl w:val="0"/>
              <w:spacing w:after="0" w:line="360" w:lineRule="auto"/>
              <w:ind w:left="0" w:firstLine="0"/>
              <w:jc w:val="center"/>
              <w:rPr>
                <w:rFonts w:ascii="宋体" w:hAnsi="宋体" w:eastAsia="宋体" w:cs="Times New Roman"/>
                <w:b/>
                <w:color w:val="auto"/>
                <w:szCs w:val="24"/>
              </w:rPr>
            </w:pPr>
            <w:r>
              <w:rPr>
                <w:rFonts w:hint="eastAsia" w:ascii="宋体" w:hAnsi="宋体" w:eastAsia="宋体" w:cs="Times New Roman"/>
                <w:b/>
                <w:color w:val="auto"/>
                <w:szCs w:val="24"/>
              </w:rPr>
              <w:t>责任电话</w:t>
            </w:r>
          </w:p>
        </w:tc>
        <w:tc>
          <w:tcPr>
            <w:tcW w:w="4226" w:type="dxa"/>
            <w:shd w:val="clear" w:color="auto" w:fill="auto"/>
            <w:vAlign w:val="center"/>
          </w:tcPr>
          <w:p>
            <w:pPr>
              <w:widowControl w:val="0"/>
              <w:spacing w:after="0" w:line="360" w:lineRule="auto"/>
              <w:ind w:left="0" w:firstLine="0"/>
              <w:rPr>
                <w:rFonts w:ascii="宋体" w:hAnsi="宋体" w:eastAsia="宋体" w:cs="Times New Roman"/>
                <w:b/>
                <w:color w:val="auto"/>
                <w:szCs w:val="24"/>
              </w:rPr>
            </w:pPr>
          </w:p>
        </w:tc>
        <w:tc>
          <w:tcPr>
            <w:tcW w:w="1721" w:type="dxa"/>
            <w:vMerge w:val="continue"/>
            <w:shd w:val="clear" w:color="auto" w:fill="auto"/>
            <w:vAlign w:val="center"/>
          </w:tcPr>
          <w:p>
            <w:pPr>
              <w:widowControl w:val="0"/>
              <w:spacing w:after="0" w:line="360" w:lineRule="auto"/>
              <w:ind w:left="0" w:firstLine="0"/>
              <w:jc w:val="center"/>
              <w:rPr>
                <w:rFonts w:ascii="宋体" w:hAnsi="宋体" w:eastAsia="宋体" w:cs="Times New Roman"/>
                <w:b/>
                <w:color w:val="auto"/>
                <w:szCs w:val="24"/>
              </w:rPr>
            </w:pPr>
          </w:p>
        </w:tc>
        <w:tc>
          <w:tcPr>
            <w:tcW w:w="6364" w:type="dxa"/>
            <w:vMerge w:val="continue"/>
            <w:shd w:val="clear" w:color="auto" w:fill="auto"/>
            <w:vAlign w:val="center"/>
          </w:tcPr>
          <w:p>
            <w:pPr>
              <w:widowControl w:val="0"/>
              <w:spacing w:after="0" w:line="360" w:lineRule="auto"/>
              <w:ind w:left="0" w:firstLine="0"/>
              <w:rPr>
                <w:rFonts w:ascii="宋体" w:hAnsi="宋体" w:eastAsia="宋体" w:cs="Times New Roman"/>
                <w:color w:val="auto"/>
                <w:szCs w:val="24"/>
              </w:rPr>
            </w:pPr>
          </w:p>
        </w:tc>
      </w:tr>
    </w:tbl>
    <w:p>
      <w:pPr>
        <w:widowControl w:val="0"/>
        <w:spacing w:after="0" w:line="480" w:lineRule="exact"/>
        <w:ind w:left="0" w:firstLine="480"/>
        <w:jc w:val="both"/>
        <w:rPr>
          <w:rFonts w:cs="Calibri" w:asciiTheme="minorEastAsia" w:hAnsiTheme="minorEastAsia" w:eastAsiaTheme="minorEastAsia"/>
          <w:color w:val="auto"/>
          <w:szCs w:val="24"/>
        </w:rPr>
      </w:pPr>
    </w:p>
    <w:p>
      <w:pPr>
        <w:widowControl w:val="0"/>
        <w:spacing w:after="0" w:line="480" w:lineRule="exact"/>
        <w:ind w:left="0" w:firstLine="480"/>
        <w:jc w:val="both"/>
        <w:rPr>
          <w:rFonts w:cs="Calibri" w:asciiTheme="minorEastAsia" w:hAnsiTheme="minorEastAsia" w:eastAsiaTheme="minorEastAsia"/>
          <w:color w:val="auto"/>
          <w:szCs w:val="24"/>
        </w:rPr>
      </w:pPr>
    </w:p>
    <w:tbl>
      <w:tblPr>
        <w:tblStyle w:val="30"/>
        <w:tblpPr w:leftFromText="180" w:rightFromText="180" w:vertAnchor="text" w:horzAnchor="margin" w:tblpXSpec="center" w:tblpY="1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autofit"/>
        <w:tblCellMar>
          <w:top w:w="0" w:type="dxa"/>
          <w:left w:w="108" w:type="dxa"/>
          <w:bottom w:w="0" w:type="dxa"/>
          <w:right w:w="108" w:type="dxa"/>
        </w:tblCellMar>
      </w:tblPr>
      <w:tblGrid>
        <w:gridCol w:w="2628"/>
        <w:gridCol w:w="4292"/>
        <w:gridCol w:w="1863"/>
        <w:gridCol w:w="6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699" w:hRule="atLeast"/>
        </w:trPr>
        <w:tc>
          <w:tcPr>
            <w:tcW w:w="868" w:type="pct"/>
            <w:shd w:val="clear" w:color="auto" w:fill="FFFFFF" w:themeFill="background1"/>
            <w:vAlign w:val="center"/>
          </w:tcPr>
          <w:p>
            <w:pPr>
              <w:spacing w:after="0" w:line="240" w:lineRule="auto"/>
              <w:ind w:left="0"/>
              <w:jc w:val="center"/>
              <w:rPr>
                <w:rFonts w:ascii="宋体" w:hAnsi="宋体" w:eastAsia="宋体" w:cs="Times New Roman"/>
                <w:b/>
                <w:color w:val="auto"/>
                <w:szCs w:val="24"/>
              </w:rPr>
            </w:pPr>
            <w:r>
              <w:rPr>
                <w:rFonts w:hint="eastAsia" w:ascii="宋体" w:hAnsi="宋体" w:eastAsia="宋体" w:cs="Times New Roman"/>
                <w:b/>
                <w:color w:val="auto"/>
                <w:szCs w:val="24"/>
              </w:rPr>
              <w:t>风险点名称</w:t>
            </w:r>
          </w:p>
        </w:tc>
        <w:tc>
          <w:tcPr>
            <w:tcW w:w="1417" w:type="pct"/>
            <w:shd w:val="clear" w:color="auto" w:fill="FFFFFF" w:themeFill="background1"/>
            <w:vAlign w:val="center"/>
          </w:tcPr>
          <w:p>
            <w:pPr>
              <w:spacing w:after="0" w:line="240" w:lineRule="auto"/>
              <w:ind w:left="0"/>
              <w:jc w:val="center"/>
              <w:rPr>
                <w:rFonts w:ascii="宋体" w:hAnsi="宋体" w:eastAsia="宋体" w:cs="Times New Roman"/>
                <w:b/>
                <w:color w:val="auto"/>
                <w:szCs w:val="24"/>
              </w:rPr>
            </w:pPr>
            <w:r>
              <w:rPr>
                <w:rFonts w:hint="eastAsia" w:ascii="宋体" w:hAnsi="宋体" w:eastAsia="宋体" w:cs="Times New Roman"/>
                <w:b/>
                <w:color w:val="auto"/>
                <w:szCs w:val="24"/>
              </w:rPr>
              <w:t>发电机房</w:t>
            </w:r>
          </w:p>
        </w:tc>
        <w:tc>
          <w:tcPr>
            <w:tcW w:w="615" w:type="pct"/>
            <w:vMerge w:val="restart"/>
            <w:shd w:val="clear" w:color="auto" w:fill="FFFFFF" w:themeFill="background1"/>
            <w:vAlign w:val="center"/>
          </w:tcPr>
          <w:p>
            <w:pPr>
              <w:widowControl w:val="0"/>
              <w:spacing w:after="0" w:line="240" w:lineRule="auto"/>
              <w:ind w:left="0" w:firstLine="0"/>
              <w:jc w:val="center"/>
              <w:rPr>
                <w:rFonts w:ascii="宋体" w:hAnsi="宋体" w:eastAsia="宋体" w:cs="Times New Roman"/>
                <w:b/>
                <w:color w:val="auto"/>
                <w:szCs w:val="24"/>
              </w:rPr>
            </w:pPr>
            <w:r>
              <w:rPr>
                <w:rFonts w:hint="eastAsia" w:ascii="宋体" w:hAnsi="宋体" w:eastAsia="宋体" w:cs="Times New Roman"/>
                <w:b/>
                <w:color w:val="auto"/>
                <w:szCs w:val="24"/>
              </w:rPr>
              <w:t>致险因素描述</w:t>
            </w:r>
          </w:p>
        </w:tc>
        <w:tc>
          <w:tcPr>
            <w:tcW w:w="2101" w:type="pct"/>
            <w:vMerge w:val="restart"/>
            <w:shd w:val="clear" w:color="auto" w:fill="FFFFFF" w:themeFill="background1"/>
            <w:vAlign w:val="center"/>
          </w:tcPr>
          <w:p>
            <w:pPr>
              <w:widowControl w:val="0"/>
              <w:spacing w:after="0" w:line="240" w:lineRule="auto"/>
              <w:ind w:left="0" w:firstLine="0"/>
              <w:rPr>
                <w:rFonts w:ascii="宋体" w:hAnsi="宋体" w:eastAsia="宋体" w:cs="Times New Roman"/>
                <w:b/>
                <w:color w:val="auto"/>
                <w:sz w:val="22"/>
                <w:szCs w:val="24"/>
              </w:rPr>
            </w:pPr>
            <w:r>
              <w:rPr>
                <w:rFonts w:hint="eastAsia" w:ascii="宋体" w:hAnsi="宋体" w:eastAsia="宋体" w:cs="Times New Roman"/>
                <w:b/>
                <w:color w:val="auto"/>
                <w:sz w:val="22"/>
                <w:szCs w:val="24"/>
              </w:rPr>
              <w:t>1.油品泄漏，机房通风不良，发电机排烟设施；</w:t>
            </w:r>
          </w:p>
          <w:p>
            <w:pPr>
              <w:widowControl w:val="0"/>
              <w:spacing w:after="0" w:line="240" w:lineRule="auto"/>
              <w:ind w:left="0" w:firstLine="0"/>
              <w:rPr>
                <w:rFonts w:ascii="宋体" w:hAnsi="宋体" w:eastAsia="宋体" w:cs="Times New Roman"/>
                <w:b/>
                <w:color w:val="auto"/>
                <w:sz w:val="22"/>
                <w:szCs w:val="24"/>
              </w:rPr>
            </w:pPr>
            <w:r>
              <w:rPr>
                <w:rFonts w:hint="eastAsia" w:ascii="宋体" w:hAnsi="宋体" w:eastAsia="宋体" w:cs="Times New Roman"/>
                <w:b/>
                <w:color w:val="auto"/>
                <w:sz w:val="22"/>
                <w:szCs w:val="24"/>
              </w:rPr>
              <w:t>2.启机或检维修作业未遵守安全操作规程；</w:t>
            </w:r>
          </w:p>
          <w:p>
            <w:pPr>
              <w:widowControl w:val="0"/>
              <w:spacing w:after="0" w:line="240" w:lineRule="auto"/>
              <w:ind w:left="0" w:firstLine="0"/>
              <w:rPr>
                <w:rFonts w:ascii="宋体" w:hAnsi="宋体" w:eastAsia="宋体" w:cs="Times New Roman"/>
                <w:b/>
                <w:color w:val="auto"/>
                <w:sz w:val="22"/>
                <w:szCs w:val="24"/>
              </w:rPr>
            </w:pPr>
            <w:r>
              <w:rPr>
                <w:rFonts w:hint="eastAsia" w:ascii="宋体" w:hAnsi="宋体" w:eastAsia="宋体" w:cs="Times New Roman"/>
                <w:b/>
                <w:color w:val="auto"/>
                <w:sz w:val="22"/>
                <w:szCs w:val="24"/>
              </w:rPr>
              <w:t>3.检修工具及劳动防护用品有缺陷；</w:t>
            </w:r>
          </w:p>
          <w:p>
            <w:pPr>
              <w:widowControl w:val="0"/>
              <w:spacing w:after="0" w:line="240" w:lineRule="auto"/>
              <w:ind w:left="0" w:firstLine="0"/>
              <w:rPr>
                <w:rFonts w:ascii="宋体" w:hAnsi="宋体" w:eastAsia="宋体" w:cs="Times New Roman"/>
                <w:b/>
                <w:color w:val="auto"/>
                <w:sz w:val="22"/>
                <w:szCs w:val="24"/>
              </w:rPr>
            </w:pPr>
            <w:r>
              <w:rPr>
                <w:rFonts w:hint="eastAsia" w:ascii="宋体" w:hAnsi="宋体" w:eastAsia="宋体" w:cs="Times New Roman"/>
                <w:b/>
                <w:color w:val="auto"/>
                <w:sz w:val="22"/>
                <w:szCs w:val="24"/>
              </w:rPr>
              <w:t>4.室内动火、吸烟等火源控制不严，消防设施设置不当；</w:t>
            </w:r>
          </w:p>
          <w:p>
            <w:pPr>
              <w:widowControl w:val="0"/>
              <w:spacing w:after="0" w:line="240" w:lineRule="auto"/>
              <w:ind w:left="0" w:firstLine="0"/>
              <w:rPr>
                <w:rFonts w:ascii="宋体" w:hAnsi="宋体" w:eastAsia="宋体" w:cs="Times New Roman"/>
                <w:b/>
                <w:color w:val="auto"/>
                <w:sz w:val="22"/>
                <w:szCs w:val="24"/>
              </w:rPr>
            </w:pPr>
            <w:r>
              <w:rPr>
                <w:rFonts w:hint="eastAsia" w:ascii="宋体" w:hAnsi="宋体" w:eastAsia="宋体" w:cs="Times New Roman"/>
                <w:b/>
                <w:color w:val="auto"/>
                <w:sz w:val="22"/>
                <w:szCs w:val="24"/>
              </w:rPr>
              <w:t>5.发电机安全防护设施有缺陷。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699" w:hRule="atLeast"/>
        </w:trPr>
        <w:tc>
          <w:tcPr>
            <w:tcW w:w="868" w:type="pct"/>
            <w:shd w:val="clear" w:color="auto" w:fill="FFFFFF" w:themeFill="background1"/>
            <w:vAlign w:val="center"/>
          </w:tcPr>
          <w:p>
            <w:pPr>
              <w:spacing w:after="0" w:line="240" w:lineRule="auto"/>
              <w:ind w:left="0"/>
              <w:jc w:val="center"/>
              <w:rPr>
                <w:rFonts w:ascii="宋体" w:hAnsi="宋体" w:eastAsia="宋体" w:cs="Times New Roman"/>
                <w:b/>
                <w:color w:val="auto"/>
                <w:szCs w:val="24"/>
              </w:rPr>
            </w:pPr>
            <w:r>
              <w:rPr>
                <w:rFonts w:hint="eastAsia" w:ascii="宋体" w:hAnsi="宋体" w:eastAsia="宋体" w:cs="Times New Roman"/>
                <w:b/>
                <w:color w:val="auto"/>
                <w:szCs w:val="24"/>
              </w:rPr>
              <w:t>风险等级</w:t>
            </w:r>
          </w:p>
        </w:tc>
        <w:tc>
          <w:tcPr>
            <w:tcW w:w="1417" w:type="pct"/>
            <w:shd w:val="clear" w:color="auto" w:fill="FAE600"/>
            <w:vAlign w:val="center"/>
          </w:tcPr>
          <w:p>
            <w:pPr>
              <w:spacing w:after="0" w:line="240" w:lineRule="auto"/>
              <w:ind w:left="0"/>
              <w:jc w:val="center"/>
              <w:rPr>
                <w:rFonts w:ascii="宋体" w:hAnsi="宋体" w:eastAsia="宋体" w:cs="Times New Roman"/>
                <w:b/>
                <w:color w:val="auto"/>
                <w:szCs w:val="24"/>
              </w:rPr>
            </w:pPr>
            <w:r>
              <w:rPr>
                <w:rFonts w:hint="eastAsia" w:ascii="宋体" w:hAnsi="宋体" w:eastAsia="宋体" w:cs="Times New Roman"/>
                <w:b/>
                <w:color w:val="auto"/>
                <w:szCs w:val="24"/>
              </w:rPr>
              <w:t>一般风险</w:t>
            </w:r>
          </w:p>
        </w:tc>
        <w:tc>
          <w:tcPr>
            <w:tcW w:w="615" w:type="pct"/>
            <w:vMerge w:val="continue"/>
            <w:shd w:val="clear" w:color="auto" w:fill="FFFFFF" w:themeFill="background1"/>
            <w:vAlign w:val="center"/>
          </w:tcPr>
          <w:p>
            <w:pPr>
              <w:spacing w:after="0" w:line="240" w:lineRule="auto"/>
              <w:ind w:left="0" w:firstLine="0"/>
              <w:rPr>
                <w:rFonts w:ascii="宋体" w:hAnsi="宋体" w:eastAsia="宋体" w:cs="Times New Roman"/>
                <w:b/>
                <w:color w:val="auto"/>
                <w:szCs w:val="24"/>
              </w:rPr>
            </w:pPr>
          </w:p>
        </w:tc>
        <w:tc>
          <w:tcPr>
            <w:tcW w:w="2101" w:type="pct"/>
            <w:vMerge w:val="continue"/>
            <w:shd w:val="clear" w:color="auto" w:fill="FFFFFF" w:themeFill="background1"/>
            <w:vAlign w:val="center"/>
          </w:tcPr>
          <w:p>
            <w:pPr>
              <w:spacing w:after="0" w:line="240" w:lineRule="auto"/>
              <w:ind w:left="0" w:firstLine="0"/>
              <w:rPr>
                <w:rFonts w:ascii="宋体" w:hAnsi="宋体" w:eastAsia="宋体" w:cs="Times New Roman"/>
                <w:b/>
                <w:color w:val="auto"/>
                <w:sz w:val="2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695" w:hRule="atLeast"/>
        </w:trPr>
        <w:tc>
          <w:tcPr>
            <w:tcW w:w="868" w:type="pct"/>
            <w:shd w:val="clear" w:color="auto" w:fill="FFFFFF" w:themeFill="background1"/>
            <w:vAlign w:val="center"/>
          </w:tcPr>
          <w:p>
            <w:pPr>
              <w:spacing w:after="0" w:line="240" w:lineRule="auto"/>
              <w:ind w:left="0"/>
              <w:jc w:val="center"/>
              <w:rPr>
                <w:rFonts w:ascii="宋体" w:hAnsi="宋体" w:eastAsia="宋体" w:cs="Times New Roman"/>
                <w:b/>
                <w:color w:val="auto"/>
                <w:szCs w:val="24"/>
              </w:rPr>
            </w:pPr>
            <w:r>
              <w:rPr>
                <w:rFonts w:hint="eastAsia" w:ascii="宋体" w:hAnsi="宋体" w:eastAsia="宋体" w:cs="Times New Roman"/>
                <w:b/>
                <w:color w:val="auto"/>
                <w:szCs w:val="24"/>
              </w:rPr>
              <w:t>事故类型</w:t>
            </w:r>
          </w:p>
        </w:tc>
        <w:tc>
          <w:tcPr>
            <w:tcW w:w="1417" w:type="pct"/>
            <w:shd w:val="clear" w:color="auto" w:fill="FFFFFF" w:themeFill="background1"/>
            <w:vAlign w:val="center"/>
          </w:tcPr>
          <w:p>
            <w:pPr>
              <w:spacing w:after="0" w:line="240" w:lineRule="auto"/>
              <w:ind w:left="0"/>
              <w:jc w:val="center"/>
              <w:rPr>
                <w:rFonts w:ascii="宋体" w:hAnsi="宋体" w:eastAsia="宋体" w:cs="Times New Roman"/>
                <w:b/>
                <w:color w:val="auto"/>
                <w:szCs w:val="24"/>
              </w:rPr>
            </w:pPr>
            <w:r>
              <w:rPr>
                <w:rFonts w:hint="eastAsia" w:ascii="宋体" w:hAnsi="宋体" w:eastAsia="宋体" w:cs="Times New Roman"/>
                <w:b/>
                <w:color w:val="auto"/>
                <w:szCs w:val="24"/>
              </w:rPr>
              <w:t>触电 火灾 中毒</w:t>
            </w:r>
          </w:p>
        </w:tc>
        <w:tc>
          <w:tcPr>
            <w:tcW w:w="615" w:type="pct"/>
            <w:vMerge w:val="continue"/>
            <w:shd w:val="clear" w:color="auto" w:fill="FFFFFF" w:themeFill="background1"/>
            <w:vAlign w:val="center"/>
          </w:tcPr>
          <w:p>
            <w:pPr>
              <w:spacing w:after="0" w:line="240" w:lineRule="auto"/>
              <w:ind w:left="0" w:firstLine="0"/>
              <w:rPr>
                <w:rFonts w:ascii="宋体" w:hAnsi="宋体" w:eastAsia="宋体" w:cs="Times New Roman"/>
                <w:b/>
                <w:color w:val="auto"/>
                <w:szCs w:val="24"/>
              </w:rPr>
            </w:pPr>
          </w:p>
        </w:tc>
        <w:tc>
          <w:tcPr>
            <w:tcW w:w="2101" w:type="pct"/>
            <w:vMerge w:val="continue"/>
            <w:shd w:val="clear" w:color="auto" w:fill="FFFFFF" w:themeFill="background1"/>
            <w:vAlign w:val="center"/>
          </w:tcPr>
          <w:p>
            <w:pPr>
              <w:spacing w:after="0" w:line="240" w:lineRule="auto"/>
              <w:ind w:left="0" w:firstLine="0"/>
              <w:rPr>
                <w:rFonts w:ascii="宋体" w:hAnsi="宋体" w:eastAsia="宋体" w:cs="Times New Roman"/>
                <w:b/>
                <w:color w:val="auto"/>
                <w:sz w:val="2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817" w:hRule="atLeast"/>
        </w:trPr>
        <w:tc>
          <w:tcPr>
            <w:tcW w:w="2284" w:type="pct"/>
            <w:gridSpan w:val="2"/>
            <w:shd w:val="clear" w:color="auto" w:fill="FFFFFF" w:themeFill="background1"/>
            <w:vAlign w:val="center"/>
          </w:tcPr>
          <w:p>
            <w:pPr>
              <w:spacing w:after="0" w:line="240" w:lineRule="auto"/>
              <w:ind w:left="0"/>
              <w:jc w:val="center"/>
              <w:rPr>
                <w:rFonts w:ascii="宋体" w:hAnsi="宋体" w:eastAsia="宋体" w:cs="Times New Roman"/>
                <w:b/>
                <w:color w:val="auto"/>
                <w:szCs w:val="24"/>
              </w:rPr>
            </w:pPr>
            <w:r>
              <w:rPr>
                <w:rFonts w:hint="eastAsia" w:ascii="宋体" w:hAnsi="宋体" w:eastAsia="宋体" w:cs="Times New Roman"/>
                <w:b/>
                <w:color w:val="auto"/>
                <w:szCs w:val="24"/>
              </w:rPr>
              <w:t>安全标志</w:t>
            </w:r>
          </w:p>
          <w:p>
            <w:pPr>
              <w:spacing w:after="0" w:line="240" w:lineRule="auto"/>
              <w:ind w:left="0"/>
              <w:jc w:val="center"/>
              <w:rPr>
                <w:rFonts w:ascii="宋体" w:hAnsi="宋体" w:eastAsia="宋体" w:cs="Times New Roman"/>
                <w:b/>
                <w:color w:val="auto"/>
                <w:szCs w:val="24"/>
              </w:rPr>
            </w:pPr>
            <w:r>
              <w:rPr>
                <w:rFonts w:ascii="宋体" w:hAnsi="宋体" w:eastAsia="宋体" w:cs="Times New Roman"/>
                <w:b/>
                <w:color w:val="auto"/>
                <w:szCs w:val="24"/>
              </w:rPr>
              <w:drawing>
                <wp:inline distT="0" distB="0" distL="0" distR="0">
                  <wp:extent cx="922655" cy="1153160"/>
                  <wp:effectExtent l="0" t="0" r="0" b="889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922655" cy="1153160"/>
                          </a:xfrm>
                          <a:prstGeom prst="rect">
                            <a:avLst/>
                          </a:prstGeom>
                          <a:noFill/>
                          <a:ln>
                            <a:noFill/>
                          </a:ln>
                        </pic:spPr>
                      </pic:pic>
                    </a:graphicData>
                  </a:graphic>
                </wp:inline>
              </w:drawing>
            </w:r>
            <w:r>
              <w:rPr>
                <w:rFonts w:ascii="宋体" w:hAnsi="宋体" w:eastAsia="宋体" w:cs="Times New Roman"/>
                <w:b/>
                <w:color w:val="auto"/>
                <w:szCs w:val="24"/>
              </w:rPr>
              <w:drawing>
                <wp:inline distT="0" distB="0" distL="0" distR="0">
                  <wp:extent cx="938530" cy="1153160"/>
                  <wp:effectExtent l="0" t="0" r="0" b="88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38530" cy="1153160"/>
                          </a:xfrm>
                          <a:prstGeom prst="rect">
                            <a:avLst/>
                          </a:prstGeom>
                          <a:noFill/>
                          <a:ln>
                            <a:noFill/>
                          </a:ln>
                        </pic:spPr>
                      </pic:pic>
                    </a:graphicData>
                  </a:graphic>
                </wp:inline>
              </w:drawing>
            </w:r>
            <w:r>
              <w:rPr>
                <w:rFonts w:ascii="宋体" w:hAnsi="宋体" w:eastAsia="宋体" w:cs="Times New Roman"/>
                <w:b/>
                <w:color w:val="auto"/>
                <w:szCs w:val="24"/>
              </w:rPr>
              <w:drawing>
                <wp:inline distT="0" distB="0" distL="0" distR="0">
                  <wp:extent cx="898525" cy="1153160"/>
                  <wp:effectExtent l="0" t="0" r="0"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898525" cy="1153160"/>
                          </a:xfrm>
                          <a:prstGeom prst="rect">
                            <a:avLst/>
                          </a:prstGeom>
                          <a:noFill/>
                          <a:ln>
                            <a:noFill/>
                          </a:ln>
                        </pic:spPr>
                      </pic:pic>
                    </a:graphicData>
                  </a:graphic>
                </wp:inline>
              </w:drawing>
            </w:r>
            <w:r>
              <w:rPr>
                <w:rFonts w:ascii="宋体" w:hAnsi="宋体" w:eastAsia="宋体" w:cs="Times New Roman"/>
                <w:b/>
                <w:color w:val="auto"/>
                <w:szCs w:val="24"/>
              </w:rPr>
              <w:drawing>
                <wp:inline distT="0" distB="0" distL="0" distR="0">
                  <wp:extent cx="914400" cy="1153160"/>
                  <wp:effectExtent l="0" t="0" r="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914400" cy="1153160"/>
                          </a:xfrm>
                          <a:prstGeom prst="rect">
                            <a:avLst/>
                          </a:prstGeom>
                          <a:noFill/>
                          <a:ln>
                            <a:noFill/>
                          </a:ln>
                        </pic:spPr>
                      </pic:pic>
                    </a:graphicData>
                  </a:graphic>
                </wp:inline>
              </w:drawing>
            </w:r>
          </w:p>
        </w:tc>
        <w:tc>
          <w:tcPr>
            <w:tcW w:w="615" w:type="pct"/>
            <w:shd w:val="clear" w:color="auto" w:fill="FFFFFF" w:themeFill="background1"/>
            <w:vAlign w:val="center"/>
          </w:tcPr>
          <w:p>
            <w:pPr>
              <w:widowControl w:val="0"/>
              <w:spacing w:after="0" w:line="240" w:lineRule="auto"/>
              <w:ind w:left="0" w:firstLine="0"/>
              <w:jc w:val="center"/>
              <w:rPr>
                <w:rFonts w:ascii="宋体" w:hAnsi="宋体" w:eastAsia="宋体" w:cs="Times New Roman"/>
                <w:b/>
                <w:color w:val="auto"/>
                <w:szCs w:val="24"/>
              </w:rPr>
            </w:pPr>
            <w:r>
              <w:rPr>
                <w:rFonts w:hint="eastAsia" w:ascii="宋体" w:hAnsi="宋体" w:eastAsia="宋体" w:cs="Times New Roman"/>
                <w:b/>
                <w:color w:val="auto"/>
                <w:szCs w:val="24"/>
              </w:rPr>
              <w:t>风险管控措施</w:t>
            </w:r>
          </w:p>
        </w:tc>
        <w:tc>
          <w:tcPr>
            <w:tcW w:w="2101" w:type="pct"/>
            <w:shd w:val="clear" w:color="auto" w:fill="FFFFFF" w:themeFill="background1"/>
            <w:vAlign w:val="center"/>
          </w:tcPr>
          <w:p>
            <w:pPr>
              <w:widowControl w:val="0"/>
              <w:spacing w:after="0" w:line="240" w:lineRule="auto"/>
              <w:ind w:left="0" w:firstLine="0"/>
              <w:rPr>
                <w:rFonts w:ascii="宋体" w:hAnsi="宋体" w:eastAsia="宋体" w:cs="Times New Roman"/>
                <w:b/>
                <w:color w:val="auto"/>
                <w:sz w:val="22"/>
                <w:szCs w:val="24"/>
              </w:rPr>
            </w:pPr>
            <w:r>
              <w:rPr>
                <w:rFonts w:hint="eastAsia" w:ascii="宋体" w:hAnsi="宋体" w:eastAsia="宋体" w:cs="Times New Roman"/>
                <w:b/>
                <w:color w:val="auto"/>
                <w:sz w:val="22"/>
                <w:szCs w:val="24"/>
              </w:rPr>
              <w:t>1.油箱防外溢设施良好，发电机设备状态良好，无跑冒滴漏；</w:t>
            </w:r>
          </w:p>
          <w:p>
            <w:pPr>
              <w:widowControl w:val="0"/>
              <w:spacing w:after="0" w:line="240" w:lineRule="auto"/>
              <w:ind w:left="0" w:firstLine="0"/>
              <w:rPr>
                <w:rFonts w:ascii="宋体" w:hAnsi="宋体" w:eastAsia="宋体" w:cs="Times New Roman"/>
                <w:b/>
                <w:color w:val="auto"/>
                <w:sz w:val="22"/>
                <w:szCs w:val="24"/>
              </w:rPr>
            </w:pPr>
            <w:r>
              <w:rPr>
                <w:rFonts w:hint="eastAsia" w:ascii="宋体" w:hAnsi="宋体" w:eastAsia="宋体" w:cs="Times New Roman"/>
                <w:b/>
                <w:color w:val="auto"/>
                <w:sz w:val="22"/>
                <w:szCs w:val="24"/>
              </w:rPr>
              <w:t>2.作业人员须接受岗前安全教育，熟知岗位危险源及防范措施；</w:t>
            </w:r>
          </w:p>
          <w:p>
            <w:pPr>
              <w:widowControl w:val="0"/>
              <w:spacing w:after="0" w:line="240" w:lineRule="auto"/>
              <w:ind w:left="0" w:firstLine="0"/>
              <w:rPr>
                <w:rFonts w:ascii="宋体" w:hAnsi="宋体" w:eastAsia="宋体" w:cs="Times New Roman"/>
                <w:b/>
                <w:color w:val="auto"/>
                <w:sz w:val="22"/>
                <w:szCs w:val="24"/>
              </w:rPr>
            </w:pPr>
            <w:r>
              <w:rPr>
                <w:rFonts w:hint="eastAsia" w:ascii="宋体" w:hAnsi="宋体" w:eastAsia="宋体" w:cs="Times New Roman"/>
                <w:b/>
                <w:color w:val="auto"/>
                <w:sz w:val="22"/>
                <w:szCs w:val="24"/>
              </w:rPr>
              <w:t>3.检修工具及劳动防护用品应合格且在检验有效期内；</w:t>
            </w:r>
          </w:p>
          <w:p>
            <w:pPr>
              <w:widowControl w:val="0"/>
              <w:spacing w:after="0" w:line="240" w:lineRule="auto"/>
              <w:ind w:left="0" w:firstLine="0"/>
              <w:rPr>
                <w:rFonts w:ascii="宋体" w:hAnsi="宋体" w:eastAsia="宋体" w:cs="Times New Roman"/>
                <w:b/>
                <w:color w:val="auto"/>
                <w:sz w:val="22"/>
                <w:szCs w:val="24"/>
              </w:rPr>
            </w:pPr>
            <w:r>
              <w:rPr>
                <w:rFonts w:hint="eastAsia" w:ascii="宋体" w:hAnsi="宋体" w:eastAsia="宋体" w:cs="Times New Roman"/>
                <w:b/>
                <w:color w:val="auto"/>
                <w:sz w:val="22"/>
                <w:szCs w:val="24"/>
              </w:rPr>
              <w:t>4.严格控制室内动火，设置完备良好的消防设施；</w:t>
            </w:r>
          </w:p>
          <w:p>
            <w:pPr>
              <w:widowControl w:val="0"/>
              <w:spacing w:after="0" w:line="240" w:lineRule="auto"/>
              <w:ind w:left="0" w:firstLine="0"/>
              <w:rPr>
                <w:rFonts w:ascii="宋体" w:hAnsi="宋体" w:eastAsia="宋体" w:cs="Times New Roman"/>
                <w:b/>
                <w:color w:val="auto"/>
                <w:sz w:val="22"/>
                <w:szCs w:val="24"/>
              </w:rPr>
            </w:pPr>
            <w:r>
              <w:rPr>
                <w:rFonts w:hint="eastAsia" w:ascii="宋体" w:hAnsi="宋体" w:eastAsia="宋体" w:cs="Times New Roman"/>
                <w:b/>
                <w:color w:val="auto"/>
                <w:sz w:val="22"/>
                <w:szCs w:val="24"/>
              </w:rPr>
              <w:t>5.设备定期及时检维修、定期试验，确保接地、通风状态良好。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986" w:hRule="atLeast"/>
        </w:trPr>
        <w:tc>
          <w:tcPr>
            <w:tcW w:w="868" w:type="pct"/>
            <w:shd w:val="clear" w:color="auto" w:fill="FFFFFF" w:themeFill="background1"/>
            <w:vAlign w:val="center"/>
          </w:tcPr>
          <w:p>
            <w:pPr>
              <w:spacing w:after="0" w:line="240" w:lineRule="auto"/>
              <w:ind w:left="0"/>
              <w:jc w:val="center"/>
              <w:rPr>
                <w:rFonts w:ascii="宋体" w:hAnsi="宋体" w:eastAsia="宋体" w:cs="Times New Roman"/>
                <w:b/>
                <w:color w:val="auto"/>
                <w:szCs w:val="24"/>
              </w:rPr>
            </w:pPr>
            <w:r>
              <w:rPr>
                <w:rFonts w:hint="eastAsia" w:ascii="宋体" w:hAnsi="宋体" w:eastAsia="宋体" w:cs="Times New Roman"/>
                <w:b/>
                <w:color w:val="auto"/>
                <w:szCs w:val="24"/>
              </w:rPr>
              <w:t>责任部门</w:t>
            </w:r>
          </w:p>
        </w:tc>
        <w:tc>
          <w:tcPr>
            <w:tcW w:w="1417" w:type="pct"/>
            <w:shd w:val="clear" w:color="auto" w:fill="FFFFFF" w:themeFill="background1"/>
            <w:vAlign w:val="center"/>
          </w:tcPr>
          <w:p>
            <w:pPr>
              <w:spacing w:after="0" w:line="240" w:lineRule="auto"/>
              <w:ind w:left="0"/>
              <w:rPr>
                <w:rFonts w:ascii="宋体" w:hAnsi="宋体" w:eastAsia="宋体" w:cs="Times New Roman"/>
                <w:b/>
                <w:color w:val="auto"/>
                <w:szCs w:val="24"/>
              </w:rPr>
            </w:pPr>
          </w:p>
        </w:tc>
        <w:tc>
          <w:tcPr>
            <w:tcW w:w="615" w:type="pct"/>
            <w:vMerge w:val="restart"/>
            <w:shd w:val="clear" w:color="auto" w:fill="FFFFFF" w:themeFill="background1"/>
            <w:vAlign w:val="center"/>
          </w:tcPr>
          <w:p>
            <w:pPr>
              <w:widowControl w:val="0"/>
              <w:spacing w:after="0" w:line="240" w:lineRule="auto"/>
              <w:ind w:left="0" w:firstLine="0"/>
              <w:jc w:val="center"/>
              <w:rPr>
                <w:rFonts w:ascii="宋体" w:hAnsi="宋体" w:eastAsia="宋体" w:cs="Times New Roman"/>
                <w:b/>
                <w:color w:val="auto"/>
                <w:szCs w:val="24"/>
              </w:rPr>
            </w:pPr>
            <w:r>
              <w:rPr>
                <w:rFonts w:hint="eastAsia" w:ascii="宋体" w:hAnsi="宋体" w:eastAsia="宋体" w:cs="Times New Roman"/>
                <w:b/>
                <w:color w:val="auto"/>
                <w:szCs w:val="24"/>
              </w:rPr>
              <w:t>应急处置措施</w:t>
            </w:r>
          </w:p>
        </w:tc>
        <w:tc>
          <w:tcPr>
            <w:tcW w:w="2101" w:type="pct"/>
            <w:vMerge w:val="restart"/>
            <w:shd w:val="clear" w:color="auto" w:fill="FFFFFF" w:themeFill="background1"/>
            <w:vAlign w:val="center"/>
          </w:tcPr>
          <w:p>
            <w:pPr>
              <w:widowControl w:val="0"/>
              <w:spacing w:after="0" w:line="240" w:lineRule="auto"/>
              <w:ind w:left="0" w:firstLine="0"/>
              <w:rPr>
                <w:rFonts w:ascii="宋体" w:hAnsi="宋体" w:eastAsia="宋体" w:cs="Times New Roman"/>
                <w:b/>
                <w:color w:val="auto"/>
                <w:sz w:val="22"/>
                <w:szCs w:val="24"/>
              </w:rPr>
            </w:pPr>
            <w:r>
              <w:rPr>
                <w:rFonts w:hint="eastAsia" w:ascii="宋体" w:hAnsi="宋体" w:eastAsia="宋体" w:cs="Times New Roman"/>
                <w:b/>
                <w:color w:val="auto"/>
                <w:sz w:val="22"/>
                <w:szCs w:val="24"/>
              </w:rPr>
              <w:t>1.触电时应迅速切断电源，或者用绝缘物体挑开电线或带电物体，使伤者尽快脱离电源；若触电者失去知觉，应使其平卧；若呼吸、脉搏停止，应实施人工呼吸或胸外心脏挤压法抢救；</w:t>
            </w:r>
          </w:p>
          <w:p>
            <w:pPr>
              <w:widowControl w:val="0"/>
              <w:spacing w:after="0" w:line="240" w:lineRule="auto"/>
              <w:ind w:left="0" w:firstLine="0"/>
              <w:rPr>
                <w:rFonts w:ascii="宋体" w:hAnsi="宋体" w:eastAsia="宋体" w:cs="Times New Roman"/>
                <w:b/>
                <w:color w:val="auto"/>
                <w:sz w:val="22"/>
                <w:szCs w:val="24"/>
              </w:rPr>
            </w:pPr>
            <w:r>
              <w:rPr>
                <w:rFonts w:hint="eastAsia" w:ascii="宋体" w:hAnsi="宋体" w:eastAsia="宋体" w:cs="Times New Roman"/>
                <w:b/>
                <w:color w:val="auto"/>
                <w:sz w:val="22"/>
                <w:szCs w:val="24"/>
              </w:rPr>
              <w:t>2．中毒事故发生时，应先通风再施救，不得盲目施救。</w:t>
            </w:r>
          </w:p>
          <w:p>
            <w:pPr>
              <w:widowControl w:val="0"/>
              <w:spacing w:after="0" w:line="240" w:lineRule="auto"/>
              <w:ind w:left="0" w:firstLine="0"/>
              <w:rPr>
                <w:rFonts w:ascii="宋体" w:hAnsi="宋体" w:eastAsia="宋体" w:cs="Times New Roman"/>
                <w:b/>
                <w:color w:val="auto"/>
                <w:sz w:val="22"/>
                <w:szCs w:val="24"/>
              </w:rPr>
            </w:pPr>
            <w:r>
              <w:rPr>
                <w:rFonts w:hint="eastAsia" w:ascii="宋体" w:hAnsi="宋体" w:eastAsia="宋体" w:cs="Times New Roman"/>
                <w:b/>
                <w:color w:val="auto"/>
                <w:sz w:val="22"/>
                <w:szCs w:val="24"/>
              </w:rPr>
              <w:t>3.火灾时，及时疏散至安全地带，按预案进行初期火灾控制。</w:t>
            </w:r>
          </w:p>
          <w:p>
            <w:pPr>
              <w:widowControl w:val="0"/>
              <w:spacing w:after="0" w:line="240" w:lineRule="auto"/>
              <w:ind w:left="0" w:firstLine="0"/>
              <w:rPr>
                <w:rFonts w:ascii="宋体" w:hAnsi="宋体" w:eastAsia="宋体" w:cs="Times New Roman"/>
                <w:b/>
                <w:color w:val="auto"/>
                <w:sz w:val="22"/>
                <w:szCs w:val="24"/>
              </w:rPr>
            </w:pPr>
            <w:r>
              <w:rPr>
                <w:rFonts w:hint="eastAsia" w:ascii="宋体" w:hAnsi="宋体" w:eastAsia="宋体" w:cs="Times New Roman"/>
                <w:b/>
                <w:color w:val="auto"/>
                <w:sz w:val="22"/>
                <w:szCs w:val="24"/>
              </w:rPr>
              <w:t>4.按预案及信息报告流程向上级报告，拨打急救电话。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68" w:type="pct"/>
            <w:shd w:val="clear" w:color="auto" w:fill="FFFFFF" w:themeFill="background1"/>
            <w:vAlign w:val="center"/>
          </w:tcPr>
          <w:p>
            <w:pPr>
              <w:spacing w:after="0" w:line="240" w:lineRule="auto"/>
              <w:ind w:left="0"/>
              <w:jc w:val="center"/>
              <w:rPr>
                <w:rFonts w:ascii="宋体" w:hAnsi="宋体" w:eastAsia="宋体" w:cs="Times New Roman"/>
                <w:b/>
                <w:color w:val="auto"/>
                <w:szCs w:val="24"/>
              </w:rPr>
            </w:pPr>
            <w:r>
              <w:rPr>
                <w:rFonts w:hint="eastAsia" w:ascii="宋体" w:hAnsi="宋体" w:eastAsia="宋体" w:cs="Times New Roman"/>
                <w:b/>
                <w:color w:val="auto"/>
                <w:szCs w:val="24"/>
              </w:rPr>
              <w:t>责任人</w:t>
            </w:r>
          </w:p>
        </w:tc>
        <w:tc>
          <w:tcPr>
            <w:tcW w:w="1417" w:type="pct"/>
            <w:shd w:val="clear" w:color="auto" w:fill="FFFFFF" w:themeFill="background1"/>
            <w:vAlign w:val="center"/>
          </w:tcPr>
          <w:p>
            <w:pPr>
              <w:spacing w:after="0" w:line="240" w:lineRule="auto"/>
              <w:ind w:left="0"/>
              <w:rPr>
                <w:rFonts w:ascii="宋体" w:hAnsi="宋体" w:eastAsia="宋体" w:cs="Times New Roman"/>
                <w:b/>
                <w:color w:val="auto"/>
                <w:szCs w:val="24"/>
              </w:rPr>
            </w:pPr>
          </w:p>
        </w:tc>
        <w:tc>
          <w:tcPr>
            <w:tcW w:w="615" w:type="pct"/>
            <w:vMerge w:val="continue"/>
            <w:shd w:val="clear" w:color="auto" w:fill="FFFFFF" w:themeFill="background1"/>
            <w:vAlign w:val="center"/>
          </w:tcPr>
          <w:p>
            <w:pPr>
              <w:spacing w:after="0" w:line="240" w:lineRule="auto"/>
              <w:ind w:left="0" w:firstLine="0"/>
              <w:rPr>
                <w:rFonts w:ascii="宋体" w:hAnsi="宋体" w:eastAsia="宋体" w:cs="Times New Roman"/>
                <w:b/>
                <w:color w:val="auto"/>
                <w:szCs w:val="24"/>
              </w:rPr>
            </w:pPr>
          </w:p>
        </w:tc>
        <w:tc>
          <w:tcPr>
            <w:tcW w:w="2101" w:type="pct"/>
            <w:vMerge w:val="continue"/>
            <w:shd w:val="clear" w:color="auto" w:fill="FFFFFF" w:themeFill="background1"/>
            <w:vAlign w:val="center"/>
          </w:tcPr>
          <w:p>
            <w:pPr>
              <w:spacing w:after="0" w:line="240" w:lineRule="auto"/>
              <w:ind w:left="0" w:firstLine="0"/>
              <w:rPr>
                <w:rFonts w:ascii="宋体" w:hAnsi="宋体" w:eastAsia="宋体" w:cs="Times New Roman"/>
                <w:b/>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trPr>
        <w:tc>
          <w:tcPr>
            <w:tcW w:w="868" w:type="pct"/>
            <w:shd w:val="clear" w:color="auto" w:fill="FFFFFF" w:themeFill="background1"/>
            <w:vAlign w:val="center"/>
          </w:tcPr>
          <w:p>
            <w:pPr>
              <w:spacing w:after="0" w:line="240" w:lineRule="auto"/>
              <w:ind w:left="0"/>
              <w:jc w:val="center"/>
              <w:rPr>
                <w:rFonts w:ascii="宋体" w:hAnsi="宋体" w:eastAsia="宋体" w:cs="Times New Roman"/>
                <w:b/>
                <w:color w:val="auto"/>
                <w:szCs w:val="24"/>
              </w:rPr>
            </w:pPr>
            <w:r>
              <w:rPr>
                <w:rFonts w:hint="eastAsia" w:ascii="宋体" w:hAnsi="宋体" w:eastAsia="宋体" w:cs="Times New Roman"/>
                <w:b/>
                <w:color w:val="auto"/>
                <w:szCs w:val="24"/>
              </w:rPr>
              <w:t>责任电话</w:t>
            </w:r>
          </w:p>
        </w:tc>
        <w:tc>
          <w:tcPr>
            <w:tcW w:w="1417" w:type="pct"/>
            <w:shd w:val="clear" w:color="auto" w:fill="FFFFFF" w:themeFill="background1"/>
            <w:vAlign w:val="center"/>
          </w:tcPr>
          <w:p>
            <w:pPr>
              <w:spacing w:after="0" w:line="240" w:lineRule="auto"/>
              <w:ind w:left="0"/>
              <w:rPr>
                <w:rFonts w:ascii="宋体" w:hAnsi="宋体" w:eastAsia="宋体" w:cs="Times New Roman"/>
                <w:b/>
                <w:color w:val="auto"/>
                <w:szCs w:val="24"/>
              </w:rPr>
            </w:pPr>
          </w:p>
        </w:tc>
        <w:tc>
          <w:tcPr>
            <w:tcW w:w="615" w:type="pct"/>
            <w:vMerge w:val="continue"/>
            <w:shd w:val="clear" w:color="auto" w:fill="FFFFFF" w:themeFill="background1"/>
            <w:vAlign w:val="center"/>
          </w:tcPr>
          <w:p>
            <w:pPr>
              <w:spacing w:after="0" w:line="240" w:lineRule="auto"/>
              <w:ind w:left="0" w:firstLine="0"/>
              <w:rPr>
                <w:rFonts w:ascii="宋体" w:hAnsi="宋体" w:eastAsia="宋体" w:cs="Times New Roman"/>
                <w:b/>
                <w:color w:val="auto"/>
                <w:szCs w:val="24"/>
              </w:rPr>
            </w:pPr>
          </w:p>
        </w:tc>
        <w:tc>
          <w:tcPr>
            <w:tcW w:w="2101" w:type="pct"/>
            <w:vMerge w:val="continue"/>
            <w:shd w:val="clear" w:color="auto" w:fill="FFFFFF" w:themeFill="background1"/>
            <w:vAlign w:val="center"/>
          </w:tcPr>
          <w:p>
            <w:pPr>
              <w:spacing w:after="0" w:line="240" w:lineRule="auto"/>
              <w:ind w:left="0" w:firstLine="0"/>
              <w:rPr>
                <w:rFonts w:ascii="宋体" w:hAnsi="宋体" w:eastAsia="宋体" w:cs="Times New Roman"/>
                <w:b/>
                <w:color w:val="auto"/>
                <w:szCs w:val="24"/>
              </w:rPr>
            </w:pPr>
          </w:p>
        </w:tc>
      </w:tr>
    </w:tbl>
    <w:p>
      <w:pPr>
        <w:widowControl w:val="0"/>
        <w:spacing w:after="0" w:line="480" w:lineRule="exact"/>
        <w:ind w:left="0" w:firstLine="480"/>
        <w:jc w:val="both"/>
        <w:rPr>
          <w:rFonts w:ascii="宋体" w:hAnsi="宋体" w:eastAsia="宋体" w:cs="Times New Roman"/>
          <w:b/>
          <w:color w:val="auto"/>
          <w:szCs w:val="24"/>
        </w:rPr>
      </w:pPr>
    </w:p>
    <w:p>
      <w:pPr>
        <w:widowControl w:val="0"/>
        <w:spacing w:after="0" w:line="480" w:lineRule="exact"/>
        <w:ind w:left="0" w:firstLine="480"/>
        <w:jc w:val="both"/>
        <w:rPr>
          <w:rFonts w:ascii="宋体" w:hAnsi="宋体" w:eastAsia="宋体" w:cs="Times New Roman"/>
          <w:b/>
          <w:color w:val="auto"/>
          <w:szCs w:val="24"/>
        </w:rPr>
      </w:pPr>
    </w:p>
    <w:tbl>
      <w:tblPr>
        <w:tblStyle w:val="30"/>
        <w:tblpPr w:leftFromText="180" w:rightFromText="180" w:vertAnchor="text" w:horzAnchor="margin" w:tblpXSpec="center" w:tblpY="19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1"/>
        <w:gridCol w:w="4147"/>
        <w:gridCol w:w="1800"/>
        <w:gridCol w:w="5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261" w:type="dxa"/>
            <w:shd w:val="clear" w:color="auto" w:fill="auto"/>
            <w:vAlign w:val="center"/>
          </w:tcPr>
          <w:p>
            <w:pPr>
              <w:spacing w:after="0" w:line="400" w:lineRule="exact"/>
              <w:ind w:left="0"/>
              <w:jc w:val="center"/>
              <w:rPr>
                <w:rFonts w:cs="Times New Roman" w:asciiTheme="minorEastAsia" w:hAnsiTheme="minorEastAsia" w:eastAsiaTheme="minorEastAsia"/>
                <w:b/>
                <w:color w:val="auto"/>
              </w:rPr>
            </w:pPr>
            <w:r>
              <w:rPr>
                <w:rFonts w:hint="eastAsia" w:cs="Times New Roman" w:asciiTheme="minorEastAsia" w:hAnsiTheme="minorEastAsia" w:eastAsiaTheme="minorEastAsia"/>
                <w:b/>
                <w:color w:val="auto"/>
              </w:rPr>
              <w:t>风险点名称</w:t>
            </w:r>
          </w:p>
        </w:tc>
        <w:tc>
          <w:tcPr>
            <w:tcW w:w="4147" w:type="dxa"/>
            <w:shd w:val="clear" w:color="auto" w:fill="auto"/>
            <w:vAlign w:val="center"/>
          </w:tcPr>
          <w:p>
            <w:pPr>
              <w:spacing w:after="0" w:line="400" w:lineRule="exact"/>
              <w:ind w:left="0"/>
              <w:jc w:val="center"/>
              <w:rPr>
                <w:rFonts w:cs="Times New Roman" w:asciiTheme="minorEastAsia" w:hAnsiTheme="minorEastAsia" w:eastAsiaTheme="minorEastAsia"/>
                <w:b/>
                <w:color w:val="auto"/>
              </w:rPr>
            </w:pPr>
            <w:r>
              <w:rPr>
                <w:rFonts w:hint="eastAsia" w:cs="Times New Roman" w:asciiTheme="minorEastAsia" w:hAnsiTheme="minorEastAsia" w:eastAsiaTheme="minorEastAsia"/>
                <w:b/>
                <w:color w:val="auto"/>
              </w:rPr>
              <w:t>锅炉房</w:t>
            </w:r>
          </w:p>
        </w:tc>
        <w:tc>
          <w:tcPr>
            <w:tcW w:w="1800" w:type="dxa"/>
            <w:vMerge w:val="restart"/>
            <w:shd w:val="clear" w:color="auto" w:fill="auto"/>
            <w:vAlign w:val="center"/>
          </w:tcPr>
          <w:p>
            <w:pPr>
              <w:spacing w:after="0" w:line="240" w:lineRule="auto"/>
              <w:ind w:left="0" w:firstLine="0"/>
              <w:jc w:val="center"/>
              <w:rPr>
                <w:rFonts w:cs="Times New Roman" w:asciiTheme="minorEastAsia" w:hAnsiTheme="minorEastAsia" w:eastAsiaTheme="minorEastAsia"/>
                <w:b/>
                <w:color w:val="auto"/>
                <w:szCs w:val="24"/>
              </w:rPr>
            </w:pPr>
            <w:r>
              <w:rPr>
                <w:rFonts w:hint="eastAsia" w:cs="Times New Roman" w:asciiTheme="minorEastAsia" w:hAnsiTheme="minorEastAsia" w:eastAsiaTheme="minorEastAsia"/>
                <w:b/>
                <w:color w:val="auto"/>
                <w:szCs w:val="24"/>
              </w:rPr>
              <w:t>致险因素描述</w:t>
            </w:r>
          </w:p>
        </w:tc>
        <w:tc>
          <w:tcPr>
            <w:tcW w:w="5966" w:type="dxa"/>
            <w:vMerge w:val="restart"/>
            <w:shd w:val="clear" w:color="auto" w:fill="FFFFFF"/>
            <w:vAlign w:val="center"/>
          </w:tcPr>
          <w:p>
            <w:pPr>
              <w:widowControl w:val="0"/>
              <w:spacing w:after="0" w:line="320" w:lineRule="exact"/>
              <w:ind w:left="0" w:firstLine="0"/>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1.炉体破损、管道破裂、阀门损坏等易造成燃气泄漏；</w:t>
            </w:r>
          </w:p>
          <w:p>
            <w:pPr>
              <w:widowControl w:val="0"/>
              <w:spacing w:after="0" w:line="320" w:lineRule="exact"/>
              <w:ind w:left="0" w:firstLine="0"/>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2.检查维修作业未遵守安全操作规程；</w:t>
            </w:r>
          </w:p>
          <w:p>
            <w:pPr>
              <w:widowControl w:val="0"/>
              <w:spacing w:after="0" w:line="320" w:lineRule="exact"/>
              <w:ind w:left="0" w:firstLine="0"/>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3.电气防火及防静电措施有缺陷；</w:t>
            </w:r>
          </w:p>
          <w:p>
            <w:pPr>
              <w:widowControl w:val="0"/>
              <w:spacing w:after="0" w:line="320" w:lineRule="exact"/>
              <w:ind w:left="0" w:firstLine="0"/>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4.室内动火、吸烟等火源控制不严，消防设施设置不当；</w:t>
            </w:r>
          </w:p>
          <w:p>
            <w:pPr>
              <w:widowControl w:val="0"/>
              <w:spacing w:after="0" w:line="320" w:lineRule="exact"/>
              <w:ind w:left="0" w:firstLine="0"/>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5.安全仪表附件、报警装置故障、精度不准；</w:t>
            </w:r>
          </w:p>
          <w:p>
            <w:pPr>
              <w:widowControl w:val="0"/>
              <w:spacing w:after="0" w:line="320" w:lineRule="exact"/>
              <w:ind w:left="0" w:firstLine="0"/>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6.线路与用电器件不匹配及线路老化未及时发现。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261" w:type="dxa"/>
            <w:tcBorders>
              <w:bottom w:val="single" w:color="auto" w:sz="4" w:space="0"/>
            </w:tcBorders>
            <w:shd w:val="clear" w:color="auto" w:fill="auto"/>
            <w:vAlign w:val="center"/>
          </w:tcPr>
          <w:p>
            <w:pPr>
              <w:spacing w:after="0" w:line="400" w:lineRule="exact"/>
              <w:ind w:left="0"/>
              <w:jc w:val="center"/>
              <w:rPr>
                <w:rFonts w:cs="Times New Roman" w:asciiTheme="minorEastAsia" w:hAnsiTheme="minorEastAsia" w:eastAsiaTheme="minorEastAsia"/>
                <w:b/>
                <w:color w:val="auto"/>
              </w:rPr>
            </w:pPr>
            <w:r>
              <w:rPr>
                <w:rFonts w:hint="eastAsia" w:cs="Times New Roman" w:asciiTheme="minorEastAsia" w:hAnsiTheme="minorEastAsia" w:eastAsiaTheme="minorEastAsia"/>
                <w:b/>
                <w:color w:val="auto"/>
              </w:rPr>
              <w:t>风险等级</w:t>
            </w:r>
          </w:p>
        </w:tc>
        <w:tc>
          <w:tcPr>
            <w:tcW w:w="4147" w:type="dxa"/>
            <w:shd w:val="clear" w:color="auto" w:fill="FAE600"/>
            <w:vAlign w:val="center"/>
          </w:tcPr>
          <w:p>
            <w:pPr>
              <w:spacing w:after="0" w:line="400" w:lineRule="exact"/>
              <w:ind w:left="0"/>
              <w:jc w:val="center"/>
              <w:rPr>
                <w:rFonts w:cs="Times New Roman" w:asciiTheme="minorEastAsia" w:hAnsiTheme="minorEastAsia" w:eastAsiaTheme="minorEastAsia"/>
                <w:b/>
                <w:color w:val="auto"/>
              </w:rPr>
            </w:pPr>
            <w:r>
              <w:rPr>
                <w:rFonts w:hint="eastAsia" w:cs="Times New Roman" w:asciiTheme="minorEastAsia" w:hAnsiTheme="minorEastAsia" w:eastAsiaTheme="minorEastAsia"/>
                <w:b/>
                <w:color w:val="auto"/>
              </w:rPr>
              <w:t>一般</w:t>
            </w:r>
            <w:r>
              <w:rPr>
                <w:rFonts w:cs="Times New Roman" w:asciiTheme="minorEastAsia" w:hAnsiTheme="minorEastAsia" w:eastAsiaTheme="minorEastAsia"/>
                <w:b/>
                <w:color w:val="auto"/>
              </w:rPr>
              <w:t>风险</w:t>
            </w:r>
          </w:p>
        </w:tc>
        <w:tc>
          <w:tcPr>
            <w:tcW w:w="1800" w:type="dxa"/>
            <w:vMerge w:val="continue"/>
            <w:shd w:val="clear" w:color="auto" w:fill="auto"/>
            <w:vAlign w:val="center"/>
          </w:tcPr>
          <w:p>
            <w:pPr>
              <w:spacing w:after="0" w:line="240" w:lineRule="auto"/>
              <w:ind w:left="0" w:firstLine="0"/>
              <w:jc w:val="center"/>
              <w:rPr>
                <w:rFonts w:cs="Times New Roman" w:asciiTheme="minorEastAsia" w:hAnsiTheme="minorEastAsia" w:eastAsiaTheme="minorEastAsia"/>
                <w:b/>
                <w:color w:val="auto"/>
                <w:szCs w:val="24"/>
              </w:rPr>
            </w:pPr>
          </w:p>
        </w:tc>
        <w:tc>
          <w:tcPr>
            <w:tcW w:w="5966" w:type="dxa"/>
            <w:vMerge w:val="continue"/>
            <w:shd w:val="clear" w:color="auto" w:fill="FFFFFF"/>
            <w:vAlign w:val="center"/>
          </w:tcPr>
          <w:p>
            <w:pPr>
              <w:spacing w:after="0" w:line="320" w:lineRule="exact"/>
              <w:ind w:left="0" w:firstLine="0"/>
              <w:rPr>
                <w:rFonts w:cs="Times New Roman" w:asciiTheme="minorEastAsia" w:hAnsiTheme="minorEastAsia" w:eastAsiaTheme="minorEastAsia"/>
                <w:b/>
                <w:color w:val="auto"/>
                <w:sz w:val="2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261" w:type="dxa"/>
            <w:tcBorders>
              <w:bottom w:val="single" w:color="auto" w:sz="4" w:space="0"/>
            </w:tcBorders>
            <w:shd w:val="clear" w:color="auto" w:fill="auto"/>
            <w:vAlign w:val="center"/>
          </w:tcPr>
          <w:p>
            <w:pPr>
              <w:spacing w:after="0" w:line="400" w:lineRule="exact"/>
              <w:ind w:left="0"/>
              <w:jc w:val="center"/>
              <w:rPr>
                <w:rFonts w:cs="Times New Roman" w:asciiTheme="minorEastAsia" w:hAnsiTheme="minorEastAsia" w:eastAsiaTheme="minorEastAsia"/>
                <w:b/>
                <w:color w:val="auto"/>
              </w:rPr>
            </w:pPr>
            <w:r>
              <w:rPr>
                <w:rFonts w:hint="eastAsia" w:cs="Times New Roman" w:asciiTheme="minorEastAsia" w:hAnsiTheme="minorEastAsia" w:eastAsiaTheme="minorEastAsia"/>
                <w:b/>
                <w:color w:val="auto"/>
              </w:rPr>
              <w:t>事故类型</w:t>
            </w:r>
          </w:p>
        </w:tc>
        <w:tc>
          <w:tcPr>
            <w:tcW w:w="4147" w:type="dxa"/>
            <w:shd w:val="clear" w:color="auto" w:fill="auto"/>
            <w:vAlign w:val="center"/>
          </w:tcPr>
          <w:p>
            <w:pPr>
              <w:spacing w:after="0" w:line="400" w:lineRule="exact"/>
              <w:ind w:left="0"/>
              <w:jc w:val="center"/>
              <w:rPr>
                <w:rFonts w:cs="Times New Roman" w:asciiTheme="minorEastAsia" w:hAnsiTheme="minorEastAsia" w:eastAsiaTheme="minorEastAsia"/>
                <w:b/>
                <w:color w:val="auto"/>
              </w:rPr>
            </w:pPr>
            <w:r>
              <w:rPr>
                <w:rFonts w:hint="eastAsia" w:cs="Times New Roman" w:asciiTheme="minorEastAsia" w:hAnsiTheme="minorEastAsia" w:eastAsiaTheme="minorEastAsia"/>
                <w:b/>
                <w:color w:val="auto"/>
              </w:rPr>
              <w:t>触电 机械伤害 跌伤</w:t>
            </w:r>
          </w:p>
        </w:tc>
        <w:tc>
          <w:tcPr>
            <w:tcW w:w="1800" w:type="dxa"/>
            <w:vMerge w:val="continue"/>
            <w:shd w:val="clear" w:color="auto" w:fill="auto"/>
            <w:vAlign w:val="center"/>
          </w:tcPr>
          <w:p>
            <w:pPr>
              <w:spacing w:after="0" w:line="240" w:lineRule="auto"/>
              <w:ind w:left="0" w:firstLine="0"/>
              <w:jc w:val="center"/>
              <w:rPr>
                <w:rFonts w:cs="Times New Roman" w:asciiTheme="minorEastAsia" w:hAnsiTheme="minorEastAsia" w:eastAsiaTheme="minorEastAsia"/>
                <w:b/>
                <w:color w:val="auto"/>
                <w:szCs w:val="24"/>
              </w:rPr>
            </w:pPr>
          </w:p>
        </w:tc>
        <w:tc>
          <w:tcPr>
            <w:tcW w:w="5966" w:type="dxa"/>
            <w:vMerge w:val="continue"/>
            <w:shd w:val="clear" w:color="auto" w:fill="FFFFFF"/>
            <w:vAlign w:val="center"/>
          </w:tcPr>
          <w:p>
            <w:pPr>
              <w:spacing w:after="0" w:line="320" w:lineRule="exact"/>
              <w:ind w:left="0" w:firstLine="0"/>
              <w:rPr>
                <w:rFonts w:cs="Times New Roman" w:asciiTheme="minorEastAsia" w:hAnsiTheme="minorEastAsia" w:eastAsiaTheme="minorEastAsia"/>
                <w:b/>
                <w:color w:val="auto"/>
                <w:sz w:val="2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6408" w:type="dxa"/>
            <w:gridSpan w:val="2"/>
            <w:tcBorders>
              <w:bottom w:val="single" w:color="auto" w:sz="6" w:space="0"/>
            </w:tcBorders>
            <w:shd w:val="clear" w:color="auto" w:fill="auto"/>
            <w:vAlign w:val="center"/>
          </w:tcPr>
          <w:p>
            <w:pPr>
              <w:spacing w:after="0" w:line="240" w:lineRule="auto"/>
              <w:ind w:left="0" w:firstLine="0"/>
              <w:jc w:val="center"/>
              <w:rPr>
                <w:rFonts w:ascii="宋体" w:hAnsi="宋体" w:eastAsia="宋体" w:cs="Times New Roman"/>
                <w:b/>
                <w:color w:val="auto"/>
                <w:szCs w:val="24"/>
              </w:rPr>
            </w:pPr>
            <w:r>
              <w:rPr>
                <w:rFonts w:hint="eastAsia" w:ascii="宋体" w:hAnsi="宋体" w:eastAsia="宋体" w:cs="Times New Roman"/>
                <w:b/>
                <w:color w:val="auto"/>
                <w:szCs w:val="24"/>
              </w:rPr>
              <w:t>安全标志</w:t>
            </w:r>
          </w:p>
          <w:p>
            <w:pPr>
              <w:spacing w:after="0" w:line="360" w:lineRule="auto"/>
              <w:ind w:left="0"/>
              <w:jc w:val="center"/>
              <w:rPr>
                <w:rFonts w:ascii="宋体" w:hAnsi="宋体" w:eastAsia="宋体" w:cs="Times New Roman"/>
                <w:b/>
                <w:color w:val="auto"/>
                <w:szCs w:val="24"/>
              </w:rPr>
            </w:pPr>
            <w:r>
              <w:rPr>
                <w:rFonts w:ascii="宋体" w:hAnsi="宋体" w:eastAsia="宋体" w:cs="Times New Roman"/>
                <w:color w:val="auto"/>
                <w:szCs w:val="24"/>
              </w:rPr>
              <w:drawing>
                <wp:inline distT="0" distB="0" distL="0" distR="0">
                  <wp:extent cx="956945" cy="11906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956945" cy="1190625"/>
                          </a:xfrm>
                          <a:prstGeom prst="rect">
                            <a:avLst/>
                          </a:prstGeom>
                          <a:noFill/>
                          <a:ln>
                            <a:noFill/>
                          </a:ln>
                        </pic:spPr>
                      </pic:pic>
                    </a:graphicData>
                  </a:graphic>
                </wp:inline>
              </w:drawing>
            </w:r>
            <w:r>
              <w:rPr>
                <w:rFonts w:hint="eastAsia" w:ascii="宋体" w:hAnsi="宋体" w:eastAsia="宋体" w:cs="Times New Roman"/>
                <w:b/>
                <w:color w:val="auto"/>
                <w:szCs w:val="24"/>
              </w:rPr>
              <w:t xml:space="preserve"> </w:t>
            </w:r>
            <w:r>
              <w:rPr>
                <w:rFonts w:ascii="Times New Roman" w:hAnsi="Times New Roman" w:eastAsia="宋体" w:cs="Times New Roman"/>
                <w:b/>
                <w:color w:val="auto"/>
                <w:szCs w:val="21"/>
              </w:rPr>
              <w:drawing>
                <wp:inline distT="0" distB="0" distL="0" distR="0">
                  <wp:extent cx="922020" cy="118173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32699" cy="1195632"/>
                          </a:xfrm>
                          <a:prstGeom prst="rect">
                            <a:avLst/>
                          </a:prstGeom>
                          <a:noFill/>
                          <a:ln>
                            <a:noFill/>
                          </a:ln>
                        </pic:spPr>
                      </pic:pic>
                    </a:graphicData>
                  </a:graphic>
                </wp:inline>
              </w:drawing>
            </w:r>
            <w:r>
              <w:rPr>
                <w:rFonts w:asciiTheme="minorEastAsia" w:hAnsiTheme="minorEastAsia" w:eastAsiaTheme="minorEastAsia"/>
                <w:color w:val="auto"/>
              </w:rPr>
              <w:drawing>
                <wp:inline distT="0" distB="0" distL="0" distR="0">
                  <wp:extent cx="939165" cy="120650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3" cstate="print"/>
                          <a:stretch>
                            <a:fillRect/>
                          </a:stretch>
                        </pic:blipFill>
                        <pic:spPr>
                          <a:xfrm>
                            <a:off x="0" y="0"/>
                            <a:ext cx="966199" cy="1240941"/>
                          </a:xfrm>
                          <a:prstGeom prst="rect">
                            <a:avLst/>
                          </a:prstGeom>
                        </pic:spPr>
                      </pic:pic>
                    </a:graphicData>
                  </a:graphic>
                </wp:inline>
              </w:drawing>
            </w:r>
            <w:r>
              <w:rPr>
                <w:rFonts w:ascii="Times New Roman" w:hAnsi="Times New Roman" w:eastAsia="宋体" w:cs="Times New Roman"/>
                <w:b/>
                <w:color w:val="auto"/>
                <w:szCs w:val="21"/>
              </w:rPr>
              <w:drawing>
                <wp:inline distT="0" distB="0" distL="0" distR="0">
                  <wp:extent cx="913765" cy="1192530"/>
                  <wp:effectExtent l="0" t="0" r="635" b="762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917161" cy="1196296"/>
                          </a:xfrm>
                          <a:prstGeom prst="rect">
                            <a:avLst/>
                          </a:prstGeom>
                          <a:noFill/>
                          <a:ln>
                            <a:noFill/>
                          </a:ln>
                        </pic:spPr>
                      </pic:pic>
                    </a:graphicData>
                  </a:graphic>
                </wp:inline>
              </w:drawing>
            </w:r>
          </w:p>
        </w:tc>
        <w:tc>
          <w:tcPr>
            <w:tcW w:w="1800" w:type="dxa"/>
            <w:tcBorders>
              <w:bottom w:val="single" w:color="auto" w:sz="6" w:space="0"/>
            </w:tcBorders>
            <w:shd w:val="clear" w:color="auto" w:fill="auto"/>
            <w:vAlign w:val="center"/>
          </w:tcPr>
          <w:p>
            <w:pPr>
              <w:spacing w:after="0" w:line="240" w:lineRule="auto"/>
              <w:ind w:left="0" w:firstLine="0"/>
              <w:jc w:val="center"/>
              <w:rPr>
                <w:rFonts w:cs="Times New Roman" w:asciiTheme="minorEastAsia" w:hAnsiTheme="minorEastAsia" w:eastAsiaTheme="minorEastAsia"/>
                <w:b/>
                <w:color w:val="auto"/>
                <w:szCs w:val="24"/>
              </w:rPr>
            </w:pPr>
            <w:r>
              <w:rPr>
                <w:rFonts w:hint="eastAsia" w:cs="Times New Roman" w:asciiTheme="minorEastAsia" w:hAnsiTheme="minorEastAsia" w:eastAsiaTheme="minorEastAsia"/>
                <w:b/>
                <w:color w:val="auto"/>
                <w:szCs w:val="24"/>
              </w:rPr>
              <w:t>风险管控措施</w:t>
            </w:r>
          </w:p>
        </w:tc>
        <w:tc>
          <w:tcPr>
            <w:tcW w:w="5966" w:type="dxa"/>
            <w:tcBorders>
              <w:bottom w:val="single" w:color="auto" w:sz="4" w:space="0"/>
            </w:tcBorders>
            <w:shd w:val="clear" w:color="auto" w:fill="auto"/>
            <w:vAlign w:val="center"/>
          </w:tcPr>
          <w:p>
            <w:pPr>
              <w:spacing w:after="0" w:line="320" w:lineRule="exact"/>
              <w:ind w:left="0" w:firstLine="0"/>
              <w:rPr>
                <w:rFonts w:cs="Times New Roman" w:asciiTheme="minorEastAsia" w:hAnsiTheme="minorEastAsia" w:eastAsiaTheme="minorEastAsia"/>
                <w:b/>
                <w:color w:val="auto"/>
                <w:sz w:val="22"/>
                <w:szCs w:val="21"/>
              </w:rPr>
            </w:pPr>
            <w:r>
              <w:rPr>
                <w:rFonts w:hint="eastAsia" w:cs="Times New Roman" w:asciiTheme="minorEastAsia" w:hAnsiTheme="minorEastAsia" w:eastAsiaTheme="minorEastAsia"/>
                <w:b/>
                <w:color w:val="auto"/>
                <w:sz w:val="22"/>
                <w:szCs w:val="21"/>
              </w:rPr>
              <w:t>1.电气作业人员必须持证上岗；</w:t>
            </w:r>
          </w:p>
          <w:p>
            <w:pPr>
              <w:spacing w:after="0" w:line="320" w:lineRule="exact"/>
              <w:ind w:left="0" w:firstLine="0"/>
              <w:rPr>
                <w:rFonts w:cs="Times New Roman" w:asciiTheme="minorEastAsia" w:hAnsiTheme="minorEastAsia" w:eastAsiaTheme="minorEastAsia"/>
                <w:b/>
                <w:color w:val="auto"/>
                <w:sz w:val="22"/>
                <w:szCs w:val="21"/>
              </w:rPr>
            </w:pPr>
            <w:r>
              <w:rPr>
                <w:rFonts w:hint="eastAsia" w:cs="Times New Roman" w:asciiTheme="minorEastAsia" w:hAnsiTheme="minorEastAsia" w:eastAsiaTheme="minorEastAsia"/>
                <w:b/>
                <w:color w:val="auto"/>
                <w:sz w:val="22"/>
                <w:szCs w:val="21"/>
              </w:rPr>
              <w:t>2.作业人员须接受岗前安全教育，熟知设备安全操作规程；</w:t>
            </w:r>
          </w:p>
          <w:p>
            <w:pPr>
              <w:spacing w:after="0" w:line="320" w:lineRule="exact"/>
              <w:ind w:left="0" w:firstLine="0"/>
              <w:rPr>
                <w:rFonts w:cs="Times New Roman" w:asciiTheme="minorEastAsia" w:hAnsiTheme="minorEastAsia" w:eastAsiaTheme="minorEastAsia"/>
                <w:b/>
                <w:color w:val="auto"/>
                <w:sz w:val="22"/>
                <w:szCs w:val="21"/>
              </w:rPr>
            </w:pPr>
            <w:r>
              <w:rPr>
                <w:rFonts w:hint="eastAsia" w:cs="Times New Roman" w:asciiTheme="minorEastAsia" w:hAnsiTheme="minorEastAsia" w:eastAsiaTheme="minorEastAsia"/>
                <w:b/>
                <w:color w:val="auto"/>
                <w:sz w:val="22"/>
                <w:szCs w:val="21"/>
              </w:rPr>
              <w:t>3.检修工具及劳动防护用品应合格，且在检验有效期内；</w:t>
            </w:r>
          </w:p>
          <w:p>
            <w:pPr>
              <w:spacing w:after="0" w:line="320" w:lineRule="exact"/>
              <w:ind w:left="0" w:firstLine="0"/>
              <w:rPr>
                <w:rFonts w:cs="Times New Roman" w:asciiTheme="minorEastAsia" w:hAnsiTheme="minorEastAsia" w:eastAsiaTheme="minorEastAsia"/>
                <w:b/>
                <w:color w:val="auto"/>
                <w:sz w:val="22"/>
                <w:szCs w:val="21"/>
              </w:rPr>
            </w:pPr>
            <w:r>
              <w:rPr>
                <w:rFonts w:hint="eastAsia" w:cs="Times New Roman" w:asciiTheme="minorEastAsia" w:hAnsiTheme="minorEastAsia" w:eastAsiaTheme="minorEastAsia"/>
                <w:b/>
                <w:color w:val="auto"/>
                <w:sz w:val="22"/>
                <w:szCs w:val="21"/>
              </w:rPr>
              <w:t>4.确保设备管道状况良好，做好冬季保温，及时清除地面积水。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261" w:type="dxa"/>
            <w:tcBorders>
              <w:top w:val="single" w:color="auto" w:sz="6" w:space="0"/>
            </w:tcBorders>
            <w:shd w:val="clear" w:color="auto" w:fill="auto"/>
            <w:vAlign w:val="center"/>
          </w:tcPr>
          <w:p>
            <w:pPr>
              <w:spacing w:after="0" w:line="400" w:lineRule="exact"/>
              <w:ind w:left="0"/>
              <w:jc w:val="center"/>
              <w:rPr>
                <w:rFonts w:cs="Times New Roman" w:asciiTheme="minorEastAsia" w:hAnsiTheme="minorEastAsia" w:eastAsiaTheme="minorEastAsia"/>
                <w:b/>
                <w:color w:val="auto"/>
              </w:rPr>
            </w:pPr>
            <w:r>
              <w:rPr>
                <w:rFonts w:hint="eastAsia" w:cs="Times New Roman" w:asciiTheme="minorEastAsia" w:hAnsiTheme="minorEastAsia" w:eastAsiaTheme="minorEastAsia"/>
                <w:b/>
                <w:color w:val="auto"/>
              </w:rPr>
              <w:t>责任部门</w:t>
            </w:r>
          </w:p>
        </w:tc>
        <w:tc>
          <w:tcPr>
            <w:tcW w:w="4147" w:type="dxa"/>
            <w:tcBorders>
              <w:top w:val="single" w:color="auto" w:sz="6" w:space="0"/>
            </w:tcBorders>
            <w:shd w:val="clear" w:color="auto" w:fill="auto"/>
            <w:vAlign w:val="center"/>
          </w:tcPr>
          <w:p>
            <w:pPr>
              <w:spacing w:after="0" w:line="400" w:lineRule="exact"/>
              <w:ind w:left="0"/>
              <w:rPr>
                <w:rFonts w:cs="Times New Roman" w:asciiTheme="minorEastAsia" w:hAnsiTheme="minorEastAsia" w:eastAsiaTheme="minorEastAsia"/>
                <w:b/>
                <w:color w:val="auto"/>
              </w:rPr>
            </w:pPr>
          </w:p>
        </w:tc>
        <w:tc>
          <w:tcPr>
            <w:tcW w:w="1800" w:type="dxa"/>
            <w:vMerge w:val="restart"/>
            <w:tcBorders>
              <w:top w:val="single" w:color="auto" w:sz="6" w:space="0"/>
            </w:tcBorders>
            <w:shd w:val="clear" w:color="auto" w:fill="auto"/>
            <w:vAlign w:val="center"/>
          </w:tcPr>
          <w:p>
            <w:pPr>
              <w:spacing w:after="0" w:line="240" w:lineRule="auto"/>
              <w:ind w:left="0" w:firstLine="0"/>
              <w:jc w:val="center"/>
              <w:rPr>
                <w:rFonts w:cs="Times New Roman" w:asciiTheme="minorEastAsia" w:hAnsiTheme="minorEastAsia" w:eastAsiaTheme="minorEastAsia"/>
                <w:b/>
                <w:color w:val="auto"/>
                <w:szCs w:val="24"/>
              </w:rPr>
            </w:pPr>
            <w:r>
              <w:rPr>
                <w:rFonts w:hint="eastAsia" w:cs="Times New Roman" w:asciiTheme="minorEastAsia" w:hAnsiTheme="minorEastAsia" w:eastAsiaTheme="minorEastAsia"/>
                <w:b/>
                <w:color w:val="auto"/>
                <w:szCs w:val="24"/>
              </w:rPr>
              <w:t>应急处置措施</w:t>
            </w:r>
          </w:p>
        </w:tc>
        <w:tc>
          <w:tcPr>
            <w:tcW w:w="5966" w:type="dxa"/>
            <w:vMerge w:val="restart"/>
            <w:shd w:val="clear" w:color="auto" w:fill="FFFFFF"/>
            <w:vAlign w:val="center"/>
          </w:tcPr>
          <w:p>
            <w:pPr>
              <w:widowControl w:val="0"/>
              <w:spacing w:after="0" w:line="320" w:lineRule="exact"/>
              <w:ind w:left="0" w:firstLine="0"/>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1.火灾时按预案进行初期火灾控制，无法控制或爆炸时，立即疏散周边人员，对现场实施隔离、警戒；</w:t>
            </w:r>
          </w:p>
          <w:p>
            <w:pPr>
              <w:widowControl w:val="0"/>
              <w:spacing w:after="0" w:line="320" w:lineRule="exact"/>
              <w:ind w:left="0" w:firstLine="0"/>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2.按预案及信息报告流程向上级报告，拨打120、119等急救电话。</w:t>
            </w:r>
          </w:p>
          <w:p>
            <w:pPr>
              <w:widowControl w:val="0"/>
              <w:spacing w:after="0" w:line="320" w:lineRule="exact"/>
              <w:ind w:left="0" w:firstLine="0"/>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3.中毒事故发生时，应先通风再施救，不得盲目施救。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261" w:type="dxa"/>
            <w:tcBorders>
              <w:top w:val="single" w:color="auto" w:sz="6" w:space="0"/>
            </w:tcBorders>
            <w:shd w:val="clear" w:color="auto" w:fill="auto"/>
            <w:vAlign w:val="center"/>
          </w:tcPr>
          <w:p>
            <w:pPr>
              <w:spacing w:after="0" w:line="400" w:lineRule="exact"/>
              <w:ind w:left="0"/>
              <w:jc w:val="center"/>
              <w:rPr>
                <w:rFonts w:cs="Times New Roman" w:asciiTheme="minorEastAsia" w:hAnsiTheme="minorEastAsia" w:eastAsiaTheme="minorEastAsia"/>
                <w:b/>
                <w:color w:val="auto"/>
              </w:rPr>
            </w:pPr>
            <w:r>
              <w:rPr>
                <w:rFonts w:hint="eastAsia" w:cs="Times New Roman" w:asciiTheme="minorEastAsia" w:hAnsiTheme="minorEastAsia" w:eastAsiaTheme="minorEastAsia"/>
                <w:b/>
                <w:color w:val="auto"/>
              </w:rPr>
              <w:t>责任人</w:t>
            </w:r>
          </w:p>
        </w:tc>
        <w:tc>
          <w:tcPr>
            <w:tcW w:w="4147" w:type="dxa"/>
            <w:tcBorders>
              <w:top w:val="single" w:color="auto" w:sz="6" w:space="0"/>
            </w:tcBorders>
            <w:shd w:val="clear" w:color="auto" w:fill="auto"/>
            <w:vAlign w:val="center"/>
          </w:tcPr>
          <w:p>
            <w:pPr>
              <w:spacing w:after="0" w:line="400" w:lineRule="exact"/>
              <w:ind w:left="0"/>
              <w:rPr>
                <w:rFonts w:cs="Times New Roman" w:asciiTheme="minorEastAsia" w:hAnsiTheme="minorEastAsia" w:eastAsiaTheme="minorEastAsia"/>
                <w:b/>
                <w:color w:val="auto"/>
              </w:rPr>
            </w:pPr>
          </w:p>
        </w:tc>
        <w:tc>
          <w:tcPr>
            <w:tcW w:w="1800" w:type="dxa"/>
            <w:vMerge w:val="continue"/>
            <w:shd w:val="clear" w:color="auto" w:fill="auto"/>
            <w:vAlign w:val="center"/>
          </w:tcPr>
          <w:p>
            <w:pPr>
              <w:spacing w:after="0" w:line="360" w:lineRule="auto"/>
              <w:ind w:left="0"/>
              <w:jc w:val="center"/>
              <w:rPr>
                <w:rFonts w:ascii="宋体" w:hAnsi="宋体" w:eastAsia="宋体" w:cs="Times New Roman"/>
                <w:b/>
                <w:color w:val="auto"/>
                <w:szCs w:val="24"/>
              </w:rPr>
            </w:pPr>
          </w:p>
        </w:tc>
        <w:tc>
          <w:tcPr>
            <w:tcW w:w="5966" w:type="dxa"/>
            <w:vMerge w:val="continue"/>
            <w:shd w:val="clear" w:color="auto" w:fill="auto"/>
            <w:vAlign w:val="center"/>
          </w:tcPr>
          <w:p>
            <w:pPr>
              <w:spacing w:after="0" w:line="360" w:lineRule="auto"/>
              <w:ind w:left="0"/>
              <w:rPr>
                <w:rFonts w:ascii="宋体" w:hAnsi="宋体" w:eastAsia="宋体" w:cs="Times New Roman"/>
                <w:b/>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261" w:type="dxa"/>
            <w:tcBorders>
              <w:top w:val="single" w:color="auto" w:sz="6" w:space="0"/>
            </w:tcBorders>
            <w:shd w:val="clear" w:color="auto" w:fill="auto"/>
            <w:vAlign w:val="center"/>
          </w:tcPr>
          <w:p>
            <w:pPr>
              <w:spacing w:after="0" w:line="400" w:lineRule="exact"/>
              <w:ind w:left="0"/>
              <w:jc w:val="center"/>
              <w:rPr>
                <w:rFonts w:cs="Times New Roman" w:asciiTheme="minorEastAsia" w:hAnsiTheme="minorEastAsia" w:eastAsiaTheme="minorEastAsia"/>
                <w:b/>
                <w:color w:val="auto"/>
              </w:rPr>
            </w:pPr>
            <w:r>
              <w:rPr>
                <w:rFonts w:hint="eastAsia" w:cs="Times New Roman" w:asciiTheme="minorEastAsia" w:hAnsiTheme="minorEastAsia" w:eastAsiaTheme="minorEastAsia"/>
                <w:b/>
                <w:color w:val="auto"/>
              </w:rPr>
              <w:t>责任人电话</w:t>
            </w:r>
          </w:p>
        </w:tc>
        <w:tc>
          <w:tcPr>
            <w:tcW w:w="4147" w:type="dxa"/>
            <w:tcBorders>
              <w:top w:val="single" w:color="auto" w:sz="6" w:space="0"/>
            </w:tcBorders>
            <w:shd w:val="clear" w:color="auto" w:fill="auto"/>
            <w:vAlign w:val="center"/>
          </w:tcPr>
          <w:p>
            <w:pPr>
              <w:spacing w:after="0" w:line="400" w:lineRule="exact"/>
              <w:ind w:left="0"/>
              <w:rPr>
                <w:rFonts w:cs="Times New Roman" w:asciiTheme="minorEastAsia" w:hAnsiTheme="minorEastAsia" w:eastAsiaTheme="minorEastAsia"/>
                <w:b/>
                <w:color w:val="auto"/>
              </w:rPr>
            </w:pPr>
          </w:p>
        </w:tc>
        <w:tc>
          <w:tcPr>
            <w:tcW w:w="1800" w:type="dxa"/>
            <w:vMerge w:val="continue"/>
            <w:shd w:val="clear" w:color="auto" w:fill="auto"/>
            <w:vAlign w:val="center"/>
          </w:tcPr>
          <w:p>
            <w:pPr>
              <w:spacing w:after="0" w:line="360" w:lineRule="auto"/>
              <w:ind w:left="0"/>
              <w:jc w:val="center"/>
              <w:rPr>
                <w:rFonts w:ascii="宋体" w:hAnsi="宋体" w:eastAsia="宋体" w:cs="Times New Roman"/>
                <w:b/>
                <w:color w:val="auto"/>
                <w:szCs w:val="24"/>
              </w:rPr>
            </w:pPr>
          </w:p>
        </w:tc>
        <w:tc>
          <w:tcPr>
            <w:tcW w:w="5966" w:type="dxa"/>
            <w:vMerge w:val="continue"/>
            <w:shd w:val="clear" w:color="auto" w:fill="auto"/>
            <w:vAlign w:val="center"/>
          </w:tcPr>
          <w:p>
            <w:pPr>
              <w:spacing w:after="0" w:line="360" w:lineRule="auto"/>
              <w:ind w:left="0"/>
              <w:rPr>
                <w:rFonts w:ascii="宋体" w:hAnsi="宋体" w:eastAsia="宋体" w:cs="Times New Roman"/>
                <w:b/>
                <w:color w:val="auto"/>
                <w:szCs w:val="21"/>
              </w:rPr>
            </w:pPr>
          </w:p>
        </w:tc>
      </w:tr>
    </w:tbl>
    <w:p>
      <w:pPr>
        <w:widowControl w:val="0"/>
        <w:spacing w:after="0" w:line="480" w:lineRule="exact"/>
        <w:ind w:left="0" w:firstLine="480"/>
        <w:jc w:val="both"/>
        <w:rPr>
          <w:rFonts w:ascii="宋体" w:hAnsi="宋体" w:eastAsia="宋体" w:cs="Times New Roman"/>
          <w:b/>
          <w:color w:val="auto"/>
          <w:szCs w:val="24"/>
        </w:rPr>
      </w:pPr>
    </w:p>
    <w:p>
      <w:pPr>
        <w:widowControl w:val="0"/>
        <w:spacing w:after="0" w:line="480" w:lineRule="exact"/>
        <w:ind w:left="0" w:firstLine="480"/>
        <w:jc w:val="both"/>
        <w:rPr>
          <w:rFonts w:ascii="宋体" w:hAnsi="宋体" w:eastAsia="宋体" w:cs="Times New Roman"/>
          <w:b/>
          <w:color w:val="auto"/>
          <w:szCs w:val="24"/>
        </w:rPr>
      </w:pPr>
    </w:p>
    <w:p>
      <w:pPr>
        <w:widowControl w:val="0"/>
        <w:spacing w:after="0" w:line="480" w:lineRule="exact"/>
        <w:ind w:left="0" w:firstLine="480"/>
        <w:jc w:val="both"/>
        <w:rPr>
          <w:rFonts w:ascii="宋体" w:hAnsi="宋体" w:eastAsia="宋体" w:cs="Times New Roman"/>
          <w:b/>
          <w:color w:val="auto"/>
          <w:szCs w:val="24"/>
        </w:rPr>
      </w:pPr>
    </w:p>
    <w:tbl>
      <w:tblPr>
        <w:tblStyle w:val="30"/>
        <w:tblpPr w:leftFromText="180" w:rightFromText="180" w:vertAnchor="text" w:horzAnchor="margin" w:tblpXSpec="center" w:tblpY="19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1"/>
        <w:gridCol w:w="4147"/>
        <w:gridCol w:w="1800"/>
        <w:gridCol w:w="5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261" w:type="dxa"/>
            <w:shd w:val="clear" w:color="auto" w:fill="auto"/>
            <w:vAlign w:val="center"/>
          </w:tcPr>
          <w:p>
            <w:pPr>
              <w:spacing w:after="0" w:line="400" w:lineRule="exact"/>
              <w:ind w:left="0"/>
              <w:jc w:val="center"/>
              <w:rPr>
                <w:rFonts w:cs="Times New Roman" w:asciiTheme="minorEastAsia" w:hAnsiTheme="minorEastAsia" w:eastAsiaTheme="minorEastAsia"/>
                <w:b/>
                <w:color w:val="auto"/>
              </w:rPr>
            </w:pPr>
            <w:r>
              <w:rPr>
                <w:rFonts w:hint="eastAsia" w:cs="Times New Roman" w:asciiTheme="minorEastAsia" w:hAnsiTheme="minorEastAsia" w:eastAsiaTheme="minorEastAsia"/>
                <w:b/>
                <w:color w:val="auto"/>
              </w:rPr>
              <w:t>风险点名称</w:t>
            </w:r>
          </w:p>
        </w:tc>
        <w:tc>
          <w:tcPr>
            <w:tcW w:w="4147" w:type="dxa"/>
            <w:shd w:val="clear" w:color="auto" w:fill="auto"/>
            <w:vAlign w:val="center"/>
          </w:tcPr>
          <w:p>
            <w:pPr>
              <w:spacing w:after="0" w:line="400" w:lineRule="exact"/>
              <w:ind w:left="0"/>
              <w:jc w:val="center"/>
              <w:rPr>
                <w:rFonts w:cs="Times New Roman" w:asciiTheme="minorEastAsia" w:hAnsiTheme="minorEastAsia" w:eastAsiaTheme="minorEastAsia"/>
                <w:b/>
                <w:color w:val="auto"/>
              </w:rPr>
            </w:pPr>
            <w:r>
              <w:rPr>
                <w:rFonts w:hint="eastAsia" w:cs="Times New Roman" w:asciiTheme="minorEastAsia" w:hAnsiTheme="minorEastAsia" w:eastAsiaTheme="minorEastAsia"/>
                <w:b/>
                <w:color w:val="auto"/>
              </w:rPr>
              <w:t>空调机房</w:t>
            </w:r>
          </w:p>
        </w:tc>
        <w:tc>
          <w:tcPr>
            <w:tcW w:w="1800" w:type="dxa"/>
            <w:vMerge w:val="restart"/>
            <w:shd w:val="clear" w:color="auto" w:fill="auto"/>
            <w:vAlign w:val="center"/>
          </w:tcPr>
          <w:p>
            <w:pPr>
              <w:spacing w:after="0" w:line="240" w:lineRule="auto"/>
              <w:ind w:left="0" w:firstLine="0"/>
              <w:jc w:val="center"/>
              <w:rPr>
                <w:rFonts w:cs="Times New Roman" w:asciiTheme="minorEastAsia" w:hAnsiTheme="minorEastAsia" w:eastAsiaTheme="minorEastAsia"/>
                <w:b/>
                <w:color w:val="auto"/>
                <w:szCs w:val="24"/>
              </w:rPr>
            </w:pPr>
            <w:r>
              <w:rPr>
                <w:rFonts w:hint="eastAsia" w:cs="Times New Roman" w:asciiTheme="minorEastAsia" w:hAnsiTheme="minorEastAsia" w:eastAsiaTheme="minorEastAsia"/>
                <w:b/>
                <w:color w:val="auto"/>
                <w:szCs w:val="24"/>
              </w:rPr>
              <w:t>致险因素描述</w:t>
            </w:r>
          </w:p>
        </w:tc>
        <w:tc>
          <w:tcPr>
            <w:tcW w:w="5966" w:type="dxa"/>
            <w:vMerge w:val="restart"/>
            <w:shd w:val="clear" w:color="auto" w:fill="auto"/>
            <w:vAlign w:val="center"/>
          </w:tcPr>
          <w:p>
            <w:pPr>
              <w:spacing w:after="0" w:line="360" w:lineRule="exact"/>
              <w:ind w:left="0" w:firstLine="0"/>
              <w:rPr>
                <w:rFonts w:cs="Times New Roman" w:asciiTheme="minorEastAsia" w:hAnsiTheme="minorEastAsia" w:eastAsiaTheme="minorEastAsia"/>
                <w:b/>
                <w:color w:val="auto"/>
                <w:sz w:val="22"/>
                <w:szCs w:val="21"/>
              </w:rPr>
            </w:pPr>
            <w:r>
              <w:rPr>
                <w:rFonts w:hint="eastAsia" w:cs="Times New Roman" w:asciiTheme="minorEastAsia" w:hAnsiTheme="minorEastAsia" w:eastAsiaTheme="minorEastAsia"/>
                <w:b/>
                <w:color w:val="auto"/>
                <w:sz w:val="22"/>
                <w:szCs w:val="21"/>
              </w:rPr>
              <w:t>1.电气作业人员未持证上岗；</w:t>
            </w:r>
          </w:p>
          <w:p>
            <w:pPr>
              <w:spacing w:after="0" w:line="360" w:lineRule="exact"/>
              <w:ind w:left="0" w:firstLine="0"/>
              <w:rPr>
                <w:rFonts w:cs="Times New Roman" w:asciiTheme="minorEastAsia" w:hAnsiTheme="minorEastAsia" w:eastAsiaTheme="minorEastAsia"/>
                <w:b/>
                <w:color w:val="auto"/>
                <w:sz w:val="22"/>
                <w:szCs w:val="21"/>
              </w:rPr>
            </w:pPr>
            <w:r>
              <w:rPr>
                <w:rFonts w:hint="eastAsia" w:cs="Times New Roman" w:asciiTheme="minorEastAsia" w:hAnsiTheme="minorEastAsia" w:eastAsiaTheme="minorEastAsia"/>
                <w:b/>
                <w:color w:val="auto"/>
                <w:sz w:val="22"/>
                <w:szCs w:val="21"/>
              </w:rPr>
              <w:t>2.试验、检维修作业未遵守安全操作规程；</w:t>
            </w:r>
          </w:p>
          <w:p>
            <w:pPr>
              <w:spacing w:after="0" w:line="360" w:lineRule="exact"/>
              <w:ind w:left="0" w:firstLine="0"/>
              <w:rPr>
                <w:rFonts w:cs="Times New Roman" w:asciiTheme="minorEastAsia" w:hAnsiTheme="minorEastAsia" w:eastAsiaTheme="minorEastAsia"/>
                <w:b/>
                <w:color w:val="auto"/>
                <w:sz w:val="22"/>
                <w:szCs w:val="21"/>
              </w:rPr>
            </w:pPr>
            <w:r>
              <w:rPr>
                <w:rFonts w:hint="eastAsia" w:cs="Times New Roman" w:asciiTheme="minorEastAsia" w:hAnsiTheme="minorEastAsia" w:eastAsiaTheme="minorEastAsia"/>
                <w:b/>
                <w:color w:val="auto"/>
                <w:sz w:val="22"/>
                <w:szCs w:val="21"/>
              </w:rPr>
              <w:t>3.管道阀门漏水、地面湿滑。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261" w:type="dxa"/>
            <w:tcBorders>
              <w:bottom w:val="single" w:color="auto" w:sz="4" w:space="0"/>
            </w:tcBorders>
            <w:shd w:val="clear" w:color="auto" w:fill="auto"/>
            <w:vAlign w:val="center"/>
          </w:tcPr>
          <w:p>
            <w:pPr>
              <w:spacing w:after="0" w:line="400" w:lineRule="exact"/>
              <w:ind w:left="0"/>
              <w:jc w:val="center"/>
              <w:rPr>
                <w:rFonts w:cs="Times New Roman" w:asciiTheme="minorEastAsia" w:hAnsiTheme="minorEastAsia" w:eastAsiaTheme="minorEastAsia"/>
                <w:b/>
                <w:color w:val="auto"/>
              </w:rPr>
            </w:pPr>
            <w:r>
              <w:rPr>
                <w:rFonts w:hint="eastAsia" w:cs="Times New Roman" w:asciiTheme="minorEastAsia" w:hAnsiTheme="minorEastAsia" w:eastAsiaTheme="minorEastAsia"/>
                <w:b/>
                <w:color w:val="auto"/>
              </w:rPr>
              <w:t>风险等级</w:t>
            </w:r>
          </w:p>
        </w:tc>
        <w:tc>
          <w:tcPr>
            <w:tcW w:w="4147" w:type="dxa"/>
            <w:shd w:val="clear" w:color="auto" w:fill="3764FF"/>
            <w:vAlign w:val="center"/>
          </w:tcPr>
          <w:p>
            <w:pPr>
              <w:spacing w:after="0" w:line="400" w:lineRule="exact"/>
              <w:ind w:left="0"/>
              <w:jc w:val="center"/>
              <w:rPr>
                <w:rFonts w:cs="Times New Roman" w:asciiTheme="minorEastAsia" w:hAnsiTheme="minorEastAsia" w:eastAsiaTheme="minorEastAsia"/>
                <w:b/>
                <w:color w:val="auto"/>
              </w:rPr>
            </w:pPr>
            <w:r>
              <w:rPr>
                <w:rFonts w:hint="eastAsia" w:cs="Times New Roman" w:asciiTheme="minorEastAsia" w:hAnsiTheme="minorEastAsia" w:eastAsiaTheme="minorEastAsia"/>
                <w:b/>
                <w:color w:val="auto"/>
              </w:rPr>
              <w:t>低</w:t>
            </w:r>
            <w:r>
              <w:rPr>
                <w:rFonts w:cs="Times New Roman" w:asciiTheme="minorEastAsia" w:hAnsiTheme="minorEastAsia" w:eastAsiaTheme="minorEastAsia"/>
                <w:b/>
                <w:color w:val="auto"/>
              </w:rPr>
              <w:t>风险</w:t>
            </w:r>
          </w:p>
        </w:tc>
        <w:tc>
          <w:tcPr>
            <w:tcW w:w="1800" w:type="dxa"/>
            <w:vMerge w:val="continue"/>
            <w:shd w:val="clear" w:color="auto" w:fill="auto"/>
            <w:vAlign w:val="center"/>
          </w:tcPr>
          <w:p>
            <w:pPr>
              <w:spacing w:after="0" w:line="240" w:lineRule="auto"/>
              <w:ind w:left="0" w:firstLine="0"/>
              <w:jc w:val="center"/>
              <w:rPr>
                <w:rFonts w:cs="Times New Roman" w:asciiTheme="minorEastAsia" w:hAnsiTheme="minorEastAsia" w:eastAsiaTheme="minorEastAsia"/>
                <w:b/>
                <w:color w:val="auto"/>
                <w:szCs w:val="24"/>
              </w:rPr>
            </w:pPr>
          </w:p>
        </w:tc>
        <w:tc>
          <w:tcPr>
            <w:tcW w:w="5966" w:type="dxa"/>
            <w:vMerge w:val="continue"/>
            <w:shd w:val="clear" w:color="auto" w:fill="auto"/>
            <w:vAlign w:val="center"/>
          </w:tcPr>
          <w:p>
            <w:pPr>
              <w:spacing w:after="0" w:line="360" w:lineRule="exact"/>
              <w:ind w:left="0" w:firstLine="0"/>
              <w:rPr>
                <w:rFonts w:cs="Times New Roman" w:asciiTheme="minorEastAsia" w:hAnsiTheme="minorEastAsia" w:eastAsiaTheme="minorEastAsia"/>
                <w:b/>
                <w:color w:val="auto"/>
                <w:sz w:val="2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261" w:type="dxa"/>
            <w:tcBorders>
              <w:bottom w:val="single" w:color="auto" w:sz="4" w:space="0"/>
            </w:tcBorders>
            <w:shd w:val="clear" w:color="auto" w:fill="auto"/>
            <w:vAlign w:val="center"/>
          </w:tcPr>
          <w:p>
            <w:pPr>
              <w:spacing w:after="0" w:line="400" w:lineRule="exact"/>
              <w:ind w:left="0"/>
              <w:jc w:val="center"/>
              <w:rPr>
                <w:rFonts w:cs="Times New Roman" w:asciiTheme="minorEastAsia" w:hAnsiTheme="minorEastAsia" w:eastAsiaTheme="minorEastAsia"/>
                <w:b/>
                <w:color w:val="auto"/>
              </w:rPr>
            </w:pPr>
            <w:r>
              <w:rPr>
                <w:rFonts w:hint="eastAsia" w:cs="Times New Roman" w:asciiTheme="minorEastAsia" w:hAnsiTheme="minorEastAsia" w:eastAsiaTheme="minorEastAsia"/>
                <w:b/>
                <w:color w:val="auto"/>
              </w:rPr>
              <w:t>事故类型</w:t>
            </w:r>
          </w:p>
        </w:tc>
        <w:tc>
          <w:tcPr>
            <w:tcW w:w="4147" w:type="dxa"/>
            <w:shd w:val="clear" w:color="auto" w:fill="auto"/>
            <w:vAlign w:val="center"/>
          </w:tcPr>
          <w:p>
            <w:pPr>
              <w:spacing w:after="0" w:line="400" w:lineRule="exact"/>
              <w:ind w:left="0"/>
              <w:jc w:val="center"/>
              <w:rPr>
                <w:rFonts w:cs="Times New Roman" w:asciiTheme="minorEastAsia" w:hAnsiTheme="minorEastAsia" w:eastAsiaTheme="minorEastAsia"/>
                <w:b/>
                <w:color w:val="auto"/>
              </w:rPr>
            </w:pPr>
            <w:r>
              <w:rPr>
                <w:rFonts w:hint="eastAsia" w:cs="Times New Roman" w:asciiTheme="minorEastAsia" w:hAnsiTheme="minorEastAsia" w:eastAsiaTheme="minorEastAsia"/>
                <w:b/>
                <w:color w:val="auto"/>
              </w:rPr>
              <w:t>触电 机械伤害 跌伤</w:t>
            </w:r>
          </w:p>
        </w:tc>
        <w:tc>
          <w:tcPr>
            <w:tcW w:w="1800" w:type="dxa"/>
            <w:vMerge w:val="continue"/>
            <w:shd w:val="clear" w:color="auto" w:fill="auto"/>
            <w:vAlign w:val="center"/>
          </w:tcPr>
          <w:p>
            <w:pPr>
              <w:spacing w:after="0" w:line="240" w:lineRule="auto"/>
              <w:ind w:left="0" w:firstLine="0"/>
              <w:jc w:val="center"/>
              <w:rPr>
                <w:rFonts w:cs="Times New Roman" w:asciiTheme="minorEastAsia" w:hAnsiTheme="minorEastAsia" w:eastAsiaTheme="minorEastAsia"/>
                <w:b/>
                <w:color w:val="auto"/>
                <w:szCs w:val="24"/>
              </w:rPr>
            </w:pPr>
          </w:p>
        </w:tc>
        <w:tc>
          <w:tcPr>
            <w:tcW w:w="5966" w:type="dxa"/>
            <w:vMerge w:val="continue"/>
            <w:shd w:val="clear" w:color="auto" w:fill="auto"/>
            <w:vAlign w:val="center"/>
          </w:tcPr>
          <w:p>
            <w:pPr>
              <w:spacing w:after="0" w:line="360" w:lineRule="exact"/>
              <w:ind w:left="0" w:firstLine="0"/>
              <w:rPr>
                <w:rFonts w:cs="Times New Roman" w:asciiTheme="minorEastAsia" w:hAnsiTheme="minorEastAsia" w:eastAsiaTheme="minorEastAsia"/>
                <w:b/>
                <w:color w:val="auto"/>
                <w:sz w:val="2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6408" w:type="dxa"/>
            <w:gridSpan w:val="2"/>
            <w:tcBorders>
              <w:bottom w:val="single" w:color="auto" w:sz="6" w:space="0"/>
            </w:tcBorders>
            <w:shd w:val="clear" w:color="auto" w:fill="auto"/>
            <w:vAlign w:val="center"/>
          </w:tcPr>
          <w:p>
            <w:pPr>
              <w:spacing w:after="0" w:line="240" w:lineRule="auto"/>
              <w:ind w:left="0" w:firstLine="0"/>
              <w:jc w:val="center"/>
              <w:rPr>
                <w:rFonts w:ascii="宋体" w:hAnsi="宋体" w:eastAsia="宋体" w:cs="Times New Roman"/>
                <w:b/>
                <w:color w:val="auto"/>
                <w:szCs w:val="24"/>
              </w:rPr>
            </w:pPr>
            <w:r>
              <w:rPr>
                <w:rFonts w:hint="eastAsia" w:ascii="宋体" w:hAnsi="宋体" w:eastAsia="宋体" w:cs="Times New Roman"/>
                <w:b/>
                <w:color w:val="auto"/>
                <w:szCs w:val="24"/>
              </w:rPr>
              <w:t>安全标志</w:t>
            </w:r>
          </w:p>
          <w:p>
            <w:pPr>
              <w:spacing w:after="0" w:line="360" w:lineRule="auto"/>
              <w:ind w:left="0"/>
              <w:jc w:val="center"/>
              <w:rPr>
                <w:rFonts w:ascii="宋体" w:hAnsi="宋体" w:eastAsia="宋体" w:cs="Times New Roman"/>
                <w:b/>
                <w:color w:val="auto"/>
                <w:szCs w:val="24"/>
              </w:rPr>
            </w:pPr>
            <w:r>
              <w:rPr>
                <w:rFonts w:ascii="宋体" w:hAnsi="宋体" w:eastAsia="宋体" w:cs="Times New Roman"/>
                <w:color w:val="auto"/>
                <w:szCs w:val="24"/>
              </w:rPr>
              <w:drawing>
                <wp:inline distT="0" distB="0" distL="0" distR="0">
                  <wp:extent cx="956945" cy="11906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956945" cy="1190625"/>
                          </a:xfrm>
                          <a:prstGeom prst="rect">
                            <a:avLst/>
                          </a:prstGeom>
                          <a:noFill/>
                          <a:ln>
                            <a:noFill/>
                          </a:ln>
                        </pic:spPr>
                      </pic:pic>
                    </a:graphicData>
                  </a:graphic>
                </wp:inline>
              </w:drawing>
            </w:r>
            <w:r>
              <w:rPr>
                <w:rFonts w:hint="eastAsia" w:ascii="宋体" w:hAnsi="宋体" w:eastAsia="宋体" w:cs="Times New Roman"/>
                <w:b/>
                <w:color w:val="auto"/>
                <w:szCs w:val="24"/>
              </w:rPr>
              <w:t xml:space="preserve"> </w:t>
            </w:r>
            <w:r>
              <w:rPr>
                <w:color w:val="auto"/>
              </w:rPr>
              <w:drawing>
                <wp:inline distT="0" distB="0" distL="0" distR="0">
                  <wp:extent cx="929005" cy="1231900"/>
                  <wp:effectExtent l="0" t="0" r="4445" b="635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5" cstate="print"/>
                          <a:stretch>
                            <a:fillRect/>
                          </a:stretch>
                        </pic:blipFill>
                        <pic:spPr>
                          <a:xfrm>
                            <a:off x="0" y="0"/>
                            <a:ext cx="953053" cy="1263426"/>
                          </a:xfrm>
                          <a:prstGeom prst="rect">
                            <a:avLst/>
                          </a:prstGeom>
                        </pic:spPr>
                      </pic:pic>
                    </a:graphicData>
                  </a:graphic>
                </wp:inline>
              </w:drawing>
            </w:r>
            <w:r>
              <w:rPr>
                <w:rFonts w:asciiTheme="minorEastAsia" w:hAnsiTheme="minorEastAsia" w:eastAsiaTheme="minorEastAsia"/>
                <w:color w:val="auto"/>
              </w:rPr>
              <w:drawing>
                <wp:inline distT="0" distB="0" distL="0" distR="0">
                  <wp:extent cx="939800" cy="1230630"/>
                  <wp:effectExtent l="0" t="0" r="0" b="762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3" cstate="print"/>
                          <a:stretch>
                            <a:fillRect/>
                          </a:stretch>
                        </pic:blipFill>
                        <pic:spPr>
                          <a:xfrm>
                            <a:off x="0" y="0"/>
                            <a:ext cx="965754" cy="1264887"/>
                          </a:xfrm>
                          <a:prstGeom prst="rect">
                            <a:avLst/>
                          </a:prstGeom>
                        </pic:spPr>
                      </pic:pic>
                    </a:graphicData>
                  </a:graphic>
                </wp:inline>
              </w:drawing>
            </w:r>
          </w:p>
        </w:tc>
        <w:tc>
          <w:tcPr>
            <w:tcW w:w="1800" w:type="dxa"/>
            <w:tcBorders>
              <w:bottom w:val="single" w:color="auto" w:sz="6" w:space="0"/>
            </w:tcBorders>
            <w:shd w:val="clear" w:color="auto" w:fill="auto"/>
            <w:vAlign w:val="center"/>
          </w:tcPr>
          <w:p>
            <w:pPr>
              <w:spacing w:after="0" w:line="240" w:lineRule="auto"/>
              <w:ind w:left="0" w:firstLine="0"/>
              <w:jc w:val="center"/>
              <w:rPr>
                <w:rFonts w:cs="Times New Roman" w:asciiTheme="minorEastAsia" w:hAnsiTheme="minorEastAsia" w:eastAsiaTheme="minorEastAsia"/>
                <w:b/>
                <w:color w:val="auto"/>
                <w:szCs w:val="24"/>
              </w:rPr>
            </w:pPr>
            <w:r>
              <w:rPr>
                <w:rFonts w:hint="eastAsia" w:cs="Times New Roman" w:asciiTheme="minorEastAsia" w:hAnsiTheme="minorEastAsia" w:eastAsiaTheme="minorEastAsia"/>
                <w:b/>
                <w:color w:val="auto"/>
                <w:szCs w:val="24"/>
              </w:rPr>
              <w:t>风险管控措施</w:t>
            </w:r>
          </w:p>
        </w:tc>
        <w:tc>
          <w:tcPr>
            <w:tcW w:w="5966" w:type="dxa"/>
            <w:tcBorders>
              <w:bottom w:val="single" w:color="auto" w:sz="4" w:space="0"/>
            </w:tcBorders>
            <w:shd w:val="clear" w:color="auto" w:fill="auto"/>
            <w:vAlign w:val="center"/>
          </w:tcPr>
          <w:p>
            <w:pPr>
              <w:spacing w:after="0" w:line="360" w:lineRule="exact"/>
              <w:ind w:left="0" w:firstLine="0"/>
              <w:rPr>
                <w:rFonts w:cs="Times New Roman" w:asciiTheme="minorEastAsia" w:hAnsiTheme="minorEastAsia" w:eastAsiaTheme="minorEastAsia"/>
                <w:b/>
                <w:color w:val="auto"/>
                <w:sz w:val="22"/>
                <w:szCs w:val="21"/>
              </w:rPr>
            </w:pPr>
            <w:r>
              <w:rPr>
                <w:rFonts w:hint="eastAsia" w:cs="Times New Roman" w:asciiTheme="minorEastAsia" w:hAnsiTheme="minorEastAsia" w:eastAsiaTheme="minorEastAsia"/>
                <w:b/>
                <w:color w:val="auto"/>
                <w:sz w:val="22"/>
                <w:szCs w:val="21"/>
              </w:rPr>
              <w:t>1.电气作业人员必须持证上岗；</w:t>
            </w:r>
          </w:p>
          <w:p>
            <w:pPr>
              <w:spacing w:after="0" w:line="360" w:lineRule="exact"/>
              <w:ind w:left="0" w:firstLine="0"/>
              <w:rPr>
                <w:rFonts w:cs="Times New Roman" w:asciiTheme="minorEastAsia" w:hAnsiTheme="minorEastAsia" w:eastAsiaTheme="minorEastAsia"/>
                <w:b/>
                <w:color w:val="auto"/>
                <w:sz w:val="22"/>
                <w:szCs w:val="21"/>
              </w:rPr>
            </w:pPr>
            <w:r>
              <w:rPr>
                <w:rFonts w:hint="eastAsia" w:cs="Times New Roman" w:asciiTheme="minorEastAsia" w:hAnsiTheme="minorEastAsia" w:eastAsiaTheme="minorEastAsia"/>
                <w:b/>
                <w:color w:val="auto"/>
                <w:sz w:val="22"/>
                <w:szCs w:val="21"/>
              </w:rPr>
              <w:t>2.作业人员须接受岗前安全教育，熟知设备安全操作规程；</w:t>
            </w:r>
          </w:p>
          <w:p>
            <w:pPr>
              <w:spacing w:after="0" w:line="360" w:lineRule="exact"/>
              <w:ind w:left="0" w:firstLine="0"/>
              <w:rPr>
                <w:rFonts w:cs="Times New Roman" w:asciiTheme="minorEastAsia" w:hAnsiTheme="minorEastAsia" w:eastAsiaTheme="minorEastAsia"/>
                <w:b/>
                <w:color w:val="auto"/>
                <w:sz w:val="22"/>
                <w:szCs w:val="21"/>
              </w:rPr>
            </w:pPr>
            <w:r>
              <w:rPr>
                <w:rFonts w:hint="eastAsia" w:cs="Times New Roman" w:asciiTheme="minorEastAsia" w:hAnsiTheme="minorEastAsia" w:eastAsiaTheme="minorEastAsia"/>
                <w:b/>
                <w:color w:val="auto"/>
                <w:sz w:val="22"/>
                <w:szCs w:val="21"/>
              </w:rPr>
              <w:t>3.检修工具及劳动防护用品应合格，且在检验有效期内；</w:t>
            </w:r>
          </w:p>
          <w:p>
            <w:pPr>
              <w:spacing w:after="0" w:line="360" w:lineRule="exact"/>
              <w:ind w:left="0" w:firstLine="0"/>
              <w:rPr>
                <w:rFonts w:cs="Times New Roman" w:asciiTheme="minorEastAsia" w:hAnsiTheme="minorEastAsia" w:eastAsiaTheme="minorEastAsia"/>
                <w:b/>
                <w:color w:val="auto"/>
                <w:sz w:val="22"/>
                <w:szCs w:val="21"/>
              </w:rPr>
            </w:pPr>
            <w:r>
              <w:rPr>
                <w:rFonts w:hint="eastAsia" w:cs="Times New Roman" w:asciiTheme="minorEastAsia" w:hAnsiTheme="minorEastAsia" w:eastAsiaTheme="minorEastAsia"/>
                <w:b/>
                <w:color w:val="auto"/>
                <w:sz w:val="22"/>
                <w:szCs w:val="21"/>
              </w:rPr>
              <w:t>4.确保设备管道状况良好，做好冬季保温，及时清除地面积水。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261" w:type="dxa"/>
            <w:tcBorders>
              <w:top w:val="single" w:color="auto" w:sz="6" w:space="0"/>
            </w:tcBorders>
            <w:shd w:val="clear" w:color="auto" w:fill="auto"/>
            <w:vAlign w:val="center"/>
          </w:tcPr>
          <w:p>
            <w:pPr>
              <w:spacing w:after="0" w:line="400" w:lineRule="exact"/>
              <w:ind w:left="0"/>
              <w:jc w:val="center"/>
              <w:rPr>
                <w:rFonts w:cs="Times New Roman" w:asciiTheme="minorEastAsia" w:hAnsiTheme="minorEastAsia" w:eastAsiaTheme="minorEastAsia"/>
                <w:b/>
                <w:color w:val="auto"/>
              </w:rPr>
            </w:pPr>
            <w:r>
              <w:rPr>
                <w:rFonts w:hint="eastAsia" w:cs="Times New Roman" w:asciiTheme="minorEastAsia" w:hAnsiTheme="minorEastAsia" w:eastAsiaTheme="minorEastAsia"/>
                <w:b/>
                <w:color w:val="auto"/>
              </w:rPr>
              <w:t>责任部门</w:t>
            </w:r>
          </w:p>
        </w:tc>
        <w:tc>
          <w:tcPr>
            <w:tcW w:w="4147" w:type="dxa"/>
            <w:tcBorders>
              <w:top w:val="single" w:color="auto" w:sz="6" w:space="0"/>
            </w:tcBorders>
            <w:shd w:val="clear" w:color="auto" w:fill="auto"/>
            <w:vAlign w:val="center"/>
          </w:tcPr>
          <w:p>
            <w:pPr>
              <w:spacing w:after="0" w:line="400" w:lineRule="exact"/>
              <w:ind w:left="0"/>
              <w:rPr>
                <w:rFonts w:cs="Times New Roman" w:asciiTheme="minorEastAsia" w:hAnsiTheme="minorEastAsia" w:eastAsiaTheme="minorEastAsia"/>
                <w:b/>
                <w:color w:val="auto"/>
              </w:rPr>
            </w:pPr>
          </w:p>
        </w:tc>
        <w:tc>
          <w:tcPr>
            <w:tcW w:w="1800" w:type="dxa"/>
            <w:vMerge w:val="restart"/>
            <w:tcBorders>
              <w:top w:val="single" w:color="auto" w:sz="6" w:space="0"/>
            </w:tcBorders>
            <w:shd w:val="clear" w:color="auto" w:fill="auto"/>
            <w:vAlign w:val="center"/>
          </w:tcPr>
          <w:p>
            <w:pPr>
              <w:spacing w:after="0" w:line="240" w:lineRule="auto"/>
              <w:ind w:left="0" w:firstLine="0"/>
              <w:jc w:val="center"/>
              <w:rPr>
                <w:rFonts w:cs="Times New Roman" w:asciiTheme="minorEastAsia" w:hAnsiTheme="minorEastAsia" w:eastAsiaTheme="minorEastAsia"/>
                <w:b/>
                <w:color w:val="auto"/>
                <w:szCs w:val="24"/>
              </w:rPr>
            </w:pPr>
            <w:r>
              <w:rPr>
                <w:rFonts w:hint="eastAsia" w:cs="Times New Roman" w:asciiTheme="minorEastAsia" w:hAnsiTheme="minorEastAsia" w:eastAsiaTheme="minorEastAsia"/>
                <w:b/>
                <w:color w:val="auto"/>
                <w:szCs w:val="24"/>
              </w:rPr>
              <w:t>应急处置措施</w:t>
            </w:r>
          </w:p>
        </w:tc>
        <w:tc>
          <w:tcPr>
            <w:tcW w:w="5966" w:type="dxa"/>
            <w:vMerge w:val="restart"/>
            <w:tcBorders>
              <w:top w:val="single" w:color="auto" w:sz="6" w:space="0"/>
            </w:tcBorders>
            <w:shd w:val="clear" w:color="auto" w:fill="auto"/>
            <w:vAlign w:val="center"/>
          </w:tcPr>
          <w:p>
            <w:pPr>
              <w:spacing w:after="0" w:line="360" w:lineRule="exact"/>
              <w:ind w:left="0" w:firstLine="0"/>
              <w:rPr>
                <w:rFonts w:cs="Times New Roman" w:asciiTheme="minorEastAsia" w:hAnsiTheme="minorEastAsia" w:eastAsiaTheme="minorEastAsia"/>
                <w:b/>
                <w:color w:val="auto"/>
                <w:sz w:val="22"/>
                <w:szCs w:val="21"/>
              </w:rPr>
            </w:pPr>
            <w:r>
              <w:rPr>
                <w:rFonts w:hint="eastAsia" w:cs="Times New Roman" w:asciiTheme="minorEastAsia" w:hAnsiTheme="minorEastAsia" w:eastAsiaTheme="minorEastAsia"/>
                <w:b/>
                <w:color w:val="auto"/>
                <w:sz w:val="22"/>
                <w:szCs w:val="21"/>
              </w:rPr>
              <w:t>1.触电时应</w:t>
            </w:r>
            <w:r>
              <w:rPr>
                <w:rFonts w:cs="Times New Roman" w:asciiTheme="minorEastAsia" w:hAnsiTheme="minorEastAsia" w:eastAsiaTheme="minorEastAsia"/>
                <w:b/>
                <w:color w:val="auto"/>
                <w:sz w:val="22"/>
                <w:szCs w:val="21"/>
              </w:rPr>
              <w:t>迅速切断电源，或者用绝缘物体挑开电线或带电物体，使伤者尽快脱离电源</w:t>
            </w:r>
            <w:r>
              <w:rPr>
                <w:rFonts w:hint="eastAsia" w:cs="Times New Roman" w:asciiTheme="minorEastAsia" w:hAnsiTheme="minorEastAsia" w:eastAsiaTheme="minorEastAsia"/>
                <w:b/>
                <w:color w:val="auto"/>
                <w:sz w:val="22"/>
                <w:szCs w:val="21"/>
              </w:rPr>
              <w:t>，</w:t>
            </w:r>
            <w:r>
              <w:rPr>
                <w:rFonts w:cs="Times New Roman" w:asciiTheme="minorEastAsia" w:hAnsiTheme="minorEastAsia" w:eastAsiaTheme="minorEastAsia"/>
                <w:b/>
                <w:color w:val="auto"/>
                <w:sz w:val="22"/>
                <w:szCs w:val="21"/>
              </w:rPr>
              <w:t>将伤者移至安全地带；</w:t>
            </w:r>
          </w:p>
          <w:p>
            <w:pPr>
              <w:spacing w:after="0" w:line="360" w:lineRule="exact"/>
              <w:ind w:left="0" w:firstLine="0"/>
              <w:rPr>
                <w:rFonts w:cs="Times New Roman" w:asciiTheme="minorEastAsia" w:hAnsiTheme="minorEastAsia" w:eastAsiaTheme="minorEastAsia"/>
                <w:b/>
                <w:color w:val="auto"/>
                <w:sz w:val="22"/>
                <w:szCs w:val="21"/>
              </w:rPr>
            </w:pPr>
            <w:r>
              <w:rPr>
                <w:rFonts w:hint="eastAsia" w:cs="Times New Roman" w:asciiTheme="minorEastAsia" w:hAnsiTheme="minorEastAsia" w:eastAsiaTheme="minorEastAsia"/>
                <w:b/>
                <w:color w:val="auto"/>
                <w:sz w:val="22"/>
                <w:szCs w:val="21"/>
              </w:rPr>
              <w:t>2.按预案及信息报告流程</w:t>
            </w:r>
            <w:r>
              <w:rPr>
                <w:rFonts w:cs="Times New Roman" w:asciiTheme="minorEastAsia" w:hAnsiTheme="minorEastAsia" w:eastAsiaTheme="minorEastAsia"/>
                <w:b/>
                <w:color w:val="auto"/>
                <w:sz w:val="22"/>
                <w:szCs w:val="21"/>
              </w:rPr>
              <w:t>向上级报告，拨打120等急救电话。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261" w:type="dxa"/>
            <w:tcBorders>
              <w:top w:val="single" w:color="auto" w:sz="6" w:space="0"/>
            </w:tcBorders>
            <w:shd w:val="clear" w:color="auto" w:fill="auto"/>
            <w:vAlign w:val="center"/>
          </w:tcPr>
          <w:p>
            <w:pPr>
              <w:spacing w:after="0" w:line="400" w:lineRule="exact"/>
              <w:ind w:left="0"/>
              <w:jc w:val="center"/>
              <w:rPr>
                <w:rFonts w:cs="Times New Roman" w:asciiTheme="minorEastAsia" w:hAnsiTheme="minorEastAsia" w:eastAsiaTheme="minorEastAsia"/>
                <w:b/>
                <w:color w:val="auto"/>
              </w:rPr>
            </w:pPr>
            <w:r>
              <w:rPr>
                <w:rFonts w:hint="eastAsia" w:cs="Times New Roman" w:asciiTheme="minorEastAsia" w:hAnsiTheme="minorEastAsia" w:eastAsiaTheme="minorEastAsia"/>
                <w:b/>
                <w:color w:val="auto"/>
              </w:rPr>
              <w:t>责任人</w:t>
            </w:r>
          </w:p>
        </w:tc>
        <w:tc>
          <w:tcPr>
            <w:tcW w:w="4147" w:type="dxa"/>
            <w:tcBorders>
              <w:top w:val="single" w:color="auto" w:sz="6" w:space="0"/>
            </w:tcBorders>
            <w:shd w:val="clear" w:color="auto" w:fill="auto"/>
            <w:vAlign w:val="center"/>
          </w:tcPr>
          <w:p>
            <w:pPr>
              <w:spacing w:after="0" w:line="400" w:lineRule="exact"/>
              <w:ind w:left="0"/>
              <w:rPr>
                <w:rFonts w:cs="Times New Roman" w:asciiTheme="minorEastAsia" w:hAnsiTheme="minorEastAsia" w:eastAsiaTheme="minorEastAsia"/>
                <w:b/>
                <w:color w:val="auto"/>
              </w:rPr>
            </w:pPr>
          </w:p>
        </w:tc>
        <w:tc>
          <w:tcPr>
            <w:tcW w:w="1800" w:type="dxa"/>
            <w:vMerge w:val="continue"/>
            <w:shd w:val="clear" w:color="auto" w:fill="auto"/>
            <w:vAlign w:val="center"/>
          </w:tcPr>
          <w:p>
            <w:pPr>
              <w:spacing w:after="0" w:line="360" w:lineRule="auto"/>
              <w:ind w:left="0"/>
              <w:jc w:val="center"/>
              <w:rPr>
                <w:rFonts w:ascii="宋体" w:hAnsi="宋体" w:eastAsia="宋体" w:cs="Times New Roman"/>
                <w:b/>
                <w:color w:val="auto"/>
                <w:szCs w:val="24"/>
              </w:rPr>
            </w:pPr>
          </w:p>
        </w:tc>
        <w:tc>
          <w:tcPr>
            <w:tcW w:w="5966" w:type="dxa"/>
            <w:vMerge w:val="continue"/>
            <w:shd w:val="clear" w:color="auto" w:fill="auto"/>
            <w:vAlign w:val="center"/>
          </w:tcPr>
          <w:p>
            <w:pPr>
              <w:spacing w:after="0" w:line="360" w:lineRule="auto"/>
              <w:ind w:left="0"/>
              <w:rPr>
                <w:rFonts w:ascii="宋体" w:hAnsi="宋体" w:eastAsia="宋体" w:cs="Times New Roman"/>
                <w:b/>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261" w:type="dxa"/>
            <w:tcBorders>
              <w:top w:val="single" w:color="auto" w:sz="6" w:space="0"/>
            </w:tcBorders>
            <w:shd w:val="clear" w:color="auto" w:fill="auto"/>
            <w:vAlign w:val="center"/>
          </w:tcPr>
          <w:p>
            <w:pPr>
              <w:spacing w:after="0" w:line="400" w:lineRule="exact"/>
              <w:ind w:left="0"/>
              <w:jc w:val="center"/>
              <w:rPr>
                <w:rFonts w:cs="Times New Roman" w:asciiTheme="minorEastAsia" w:hAnsiTheme="minorEastAsia" w:eastAsiaTheme="minorEastAsia"/>
                <w:b/>
                <w:color w:val="auto"/>
              </w:rPr>
            </w:pPr>
            <w:r>
              <w:rPr>
                <w:rFonts w:hint="eastAsia" w:cs="Times New Roman" w:asciiTheme="minorEastAsia" w:hAnsiTheme="minorEastAsia" w:eastAsiaTheme="minorEastAsia"/>
                <w:b/>
                <w:color w:val="auto"/>
              </w:rPr>
              <w:t>责任人电话</w:t>
            </w:r>
          </w:p>
        </w:tc>
        <w:tc>
          <w:tcPr>
            <w:tcW w:w="4147" w:type="dxa"/>
            <w:tcBorders>
              <w:top w:val="single" w:color="auto" w:sz="6" w:space="0"/>
            </w:tcBorders>
            <w:shd w:val="clear" w:color="auto" w:fill="auto"/>
            <w:vAlign w:val="center"/>
          </w:tcPr>
          <w:p>
            <w:pPr>
              <w:spacing w:after="0" w:line="400" w:lineRule="exact"/>
              <w:ind w:left="0"/>
              <w:rPr>
                <w:rFonts w:cs="Times New Roman" w:asciiTheme="minorEastAsia" w:hAnsiTheme="minorEastAsia" w:eastAsiaTheme="minorEastAsia"/>
                <w:b/>
                <w:color w:val="auto"/>
              </w:rPr>
            </w:pPr>
          </w:p>
        </w:tc>
        <w:tc>
          <w:tcPr>
            <w:tcW w:w="1800" w:type="dxa"/>
            <w:vMerge w:val="continue"/>
            <w:shd w:val="clear" w:color="auto" w:fill="auto"/>
            <w:vAlign w:val="center"/>
          </w:tcPr>
          <w:p>
            <w:pPr>
              <w:spacing w:after="0" w:line="360" w:lineRule="auto"/>
              <w:ind w:left="0"/>
              <w:jc w:val="center"/>
              <w:rPr>
                <w:rFonts w:ascii="宋体" w:hAnsi="宋体" w:eastAsia="宋体" w:cs="Times New Roman"/>
                <w:b/>
                <w:color w:val="auto"/>
                <w:szCs w:val="24"/>
              </w:rPr>
            </w:pPr>
          </w:p>
        </w:tc>
        <w:tc>
          <w:tcPr>
            <w:tcW w:w="5966" w:type="dxa"/>
            <w:vMerge w:val="continue"/>
            <w:shd w:val="clear" w:color="auto" w:fill="auto"/>
            <w:vAlign w:val="center"/>
          </w:tcPr>
          <w:p>
            <w:pPr>
              <w:spacing w:after="0" w:line="360" w:lineRule="auto"/>
              <w:ind w:left="0"/>
              <w:rPr>
                <w:rFonts w:ascii="宋体" w:hAnsi="宋体" w:eastAsia="宋体" w:cs="Times New Roman"/>
                <w:b/>
                <w:color w:val="auto"/>
                <w:szCs w:val="21"/>
              </w:rPr>
            </w:pPr>
          </w:p>
        </w:tc>
      </w:tr>
    </w:tbl>
    <w:p>
      <w:pPr>
        <w:widowControl w:val="0"/>
        <w:spacing w:after="0" w:line="480" w:lineRule="exact"/>
        <w:ind w:left="0" w:firstLine="480"/>
        <w:jc w:val="both"/>
        <w:rPr>
          <w:rFonts w:ascii="宋体" w:hAnsi="宋体" w:eastAsia="宋体" w:cs="Times New Roman"/>
          <w:b/>
          <w:color w:val="auto"/>
          <w:szCs w:val="24"/>
        </w:rPr>
      </w:pPr>
    </w:p>
    <w:p>
      <w:pPr>
        <w:widowControl w:val="0"/>
        <w:spacing w:after="0" w:line="480" w:lineRule="exact"/>
        <w:ind w:left="0" w:firstLine="480"/>
        <w:jc w:val="both"/>
        <w:rPr>
          <w:rFonts w:ascii="宋体" w:hAnsi="宋体" w:eastAsia="宋体" w:cs="Times New Roman"/>
          <w:b/>
          <w:color w:val="auto"/>
          <w:szCs w:val="24"/>
        </w:rPr>
      </w:pPr>
    </w:p>
    <w:p>
      <w:pPr>
        <w:widowControl w:val="0"/>
        <w:spacing w:after="0" w:line="480" w:lineRule="exact"/>
        <w:ind w:left="0" w:firstLine="480"/>
        <w:jc w:val="both"/>
        <w:rPr>
          <w:rFonts w:ascii="宋体" w:hAnsi="宋体" w:eastAsia="宋体" w:cs="Times New Roman"/>
          <w:b/>
          <w:color w:val="auto"/>
          <w:szCs w:val="24"/>
        </w:rPr>
      </w:pPr>
    </w:p>
    <w:tbl>
      <w:tblPr>
        <w:tblStyle w:val="30"/>
        <w:tblpPr w:leftFromText="180" w:rightFromText="180" w:vertAnchor="text" w:horzAnchor="margin" w:tblpXSpec="center" w:tblpY="19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16"/>
        <w:gridCol w:w="4431"/>
        <w:gridCol w:w="1327"/>
        <w:gridCol w:w="6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798" w:type="pct"/>
            <w:shd w:val="clear" w:color="auto" w:fill="auto"/>
            <w:vAlign w:val="center"/>
          </w:tcPr>
          <w:p>
            <w:pPr>
              <w:spacing w:after="0" w:line="240" w:lineRule="auto"/>
              <w:ind w:left="0" w:firstLine="0"/>
              <w:jc w:val="center"/>
              <w:rPr>
                <w:rFonts w:cs="Times New Roman" w:asciiTheme="minorEastAsia" w:hAnsiTheme="minorEastAsia" w:eastAsiaTheme="minorEastAsia"/>
                <w:b/>
                <w:color w:val="auto"/>
              </w:rPr>
            </w:pPr>
            <w:r>
              <w:rPr>
                <w:rFonts w:hint="eastAsia" w:cs="Times New Roman" w:asciiTheme="minorEastAsia" w:hAnsiTheme="minorEastAsia" w:eastAsiaTheme="minorEastAsia"/>
                <w:b/>
                <w:color w:val="auto"/>
              </w:rPr>
              <w:t>风险点</w:t>
            </w:r>
          </w:p>
        </w:tc>
        <w:tc>
          <w:tcPr>
            <w:tcW w:w="1463" w:type="pct"/>
            <w:shd w:val="clear" w:color="auto" w:fill="auto"/>
            <w:vAlign w:val="center"/>
          </w:tcPr>
          <w:p>
            <w:pPr>
              <w:spacing w:after="0" w:line="240" w:lineRule="auto"/>
              <w:ind w:left="0" w:firstLine="0"/>
              <w:jc w:val="center"/>
              <w:rPr>
                <w:rFonts w:cs="Times New Roman" w:asciiTheme="minorEastAsia" w:hAnsiTheme="minorEastAsia" w:eastAsiaTheme="minorEastAsia"/>
                <w:b/>
                <w:color w:val="auto"/>
                <w:szCs w:val="24"/>
              </w:rPr>
            </w:pPr>
            <w:r>
              <w:rPr>
                <w:rFonts w:hint="eastAsia" w:cs="Times New Roman" w:asciiTheme="minorEastAsia" w:hAnsiTheme="minorEastAsia" w:eastAsiaTheme="minorEastAsia"/>
                <w:b/>
                <w:color w:val="auto"/>
                <w:szCs w:val="24"/>
              </w:rPr>
              <w:t>消防泵房</w:t>
            </w:r>
          </w:p>
        </w:tc>
        <w:tc>
          <w:tcPr>
            <w:tcW w:w="438" w:type="pct"/>
            <w:vMerge w:val="restart"/>
            <w:shd w:val="clear" w:color="auto" w:fill="auto"/>
            <w:vAlign w:val="center"/>
          </w:tcPr>
          <w:p>
            <w:pPr>
              <w:spacing w:after="0" w:line="240" w:lineRule="auto"/>
              <w:ind w:left="0" w:firstLine="0"/>
              <w:jc w:val="center"/>
              <w:rPr>
                <w:rFonts w:cs="Times New Roman" w:asciiTheme="minorEastAsia" w:hAnsiTheme="minorEastAsia" w:eastAsiaTheme="minorEastAsia"/>
                <w:b/>
                <w:color w:val="auto"/>
                <w:szCs w:val="24"/>
              </w:rPr>
            </w:pPr>
            <w:r>
              <w:rPr>
                <w:rFonts w:hint="eastAsia" w:cs="Times New Roman" w:asciiTheme="minorEastAsia" w:hAnsiTheme="minorEastAsia" w:eastAsiaTheme="minorEastAsia"/>
                <w:b/>
                <w:color w:val="auto"/>
                <w:szCs w:val="24"/>
              </w:rPr>
              <w:t>致险因素描述</w:t>
            </w:r>
          </w:p>
        </w:tc>
        <w:tc>
          <w:tcPr>
            <w:tcW w:w="2301" w:type="pct"/>
            <w:vMerge w:val="restart"/>
            <w:shd w:val="clear" w:color="auto" w:fill="auto"/>
            <w:vAlign w:val="center"/>
          </w:tcPr>
          <w:p>
            <w:pPr>
              <w:spacing w:after="0" w:line="360" w:lineRule="exact"/>
              <w:ind w:left="0" w:firstLine="0"/>
              <w:rPr>
                <w:rFonts w:cs="Times New Roman" w:asciiTheme="minorEastAsia" w:hAnsiTheme="minorEastAsia" w:eastAsiaTheme="minorEastAsia"/>
                <w:b/>
                <w:color w:val="auto"/>
                <w:sz w:val="22"/>
                <w:szCs w:val="21"/>
              </w:rPr>
            </w:pPr>
            <w:r>
              <w:rPr>
                <w:rFonts w:hint="eastAsia" w:cs="Times New Roman" w:asciiTheme="minorEastAsia" w:hAnsiTheme="minorEastAsia" w:eastAsiaTheme="minorEastAsia"/>
                <w:b/>
                <w:color w:val="auto"/>
                <w:sz w:val="22"/>
                <w:szCs w:val="21"/>
              </w:rPr>
              <w:t>1.非专业人员操作；</w:t>
            </w:r>
          </w:p>
          <w:p>
            <w:pPr>
              <w:spacing w:after="0" w:line="360" w:lineRule="exact"/>
              <w:ind w:left="0" w:firstLine="0"/>
              <w:rPr>
                <w:rFonts w:cs="Times New Roman" w:asciiTheme="minorEastAsia" w:hAnsiTheme="minorEastAsia" w:eastAsiaTheme="minorEastAsia"/>
                <w:b/>
                <w:color w:val="auto"/>
                <w:sz w:val="22"/>
                <w:szCs w:val="21"/>
              </w:rPr>
            </w:pPr>
            <w:r>
              <w:rPr>
                <w:rFonts w:hint="eastAsia" w:cs="Times New Roman" w:asciiTheme="minorEastAsia" w:hAnsiTheme="minorEastAsia" w:eastAsiaTheme="minorEastAsia"/>
                <w:b/>
                <w:color w:val="auto"/>
                <w:sz w:val="22"/>
                <w:szCs w:val="21"/>
              </w:rPr>
              <w:t>2.作业人员操作流程不熟，未遵守安全操作规程；</w:t>
            </w:r>
          </w:p>
          <w:p>
            <w:pPr>
              <w:spacing w:after="0" w:line="360" w:lineRule="exact"/>
              <w:ind w:left="0" w:firstLine="0"/>
              <w:rPr>
                <w:rFonts w:cs="Times New Roman" w:asciiTheme="minorEastAsia" w:hAnsiTheme="minorEastAsia" w:eastAsiaTheme="minorEastAsia"/>
                <w:b/>
                <w:color w:val="auto"/>
                <w:sz w:val="22"/>
                <w:szCs w:val="21"/>
              </w:rPr>
            </w:pPr>
            <w:r>
              <w:rPr>
                <w:rFonts w:hint="eastAsia" w:cs="Times New Roman" w:asciiTheme="minorEastAsia" w:hAnsiTheme="minorEastAsia" w:eastAsiaTheme="minorEastAsia"/>
                <w:b/>
                <w:color w:val="auto"/>
                <w:sz w:val="22"/>
                <w:szCs w:val="21"/>
              </w:rPr>
              <w:t>3.设备检测、维修保养不到位，照明不足，开关、阀门未处于正确位置；</w:t>
            </w:r>
          </w:p>
          <w:p>
            <w:pPr>
              <w:spacing w:after="0" w:line="360" w:lineRule="exact"/>
              <w:ind w:left="0" w:firstLine="0"/>
              <w:rPr>
                <w:rFonts w:cs="Times New Roman" w:asciiTheme="minorEastAsia" w:hAnsiTheme="minorEastAsia" w:eastAsiaTheme="minorEastAsia"/>
                <w:b/>
                <w:color w:val="auto"/>
                <w:sz w:val="22"/>
                <w:szCs w:val="21"/>
              </w:rPr>
            </w:pPr>
            <w:r>
              <w:rPr>
                <w:rFonts w:hint="eastAsia" w:cs="Times New Roman" w:asciiTheme="minorEastAsia" w:hAnsiTheme="minorEastAsia" w:eastAsiaTheme="minorEastAsia"/>
                <w:b/>
                <w:color w:val="auto"/>
                <w:sz w:val="22"/>
                <w:szCs w:val="21"/>
              </w:rPr>
              <w:t>4.供电设备外壳及接地不到位。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798" w:type="pct"/>
            <w:tcBorders>
              <w:bottom w:val="single" w:color="auto" w:sz="4" w:space="0"/>
            </w:tcBorders>
            <w:shd w:val="clear" w:color="auto" w:fill="auto"/>
            <w:vAlign w:val="center"/>
          </w:tcPr>
          <w:p>
            <w:pPr>
              <w:spacing w:after="0" w:line="240" w:lineRule="auto"/>
              <w:ind w:left="0" w:firstLine="0"/>
              <w:jc w:val="center"/>
              <w:rPr>
                <w:rFonts w:cs="Times New Roman" w:asciiTheme="minorEastAsia" w:hAnsiTheme="minorEastAsia" w:eastAsiaTheme="minorEastAsia"/>
                <w:b/>
                <w:color w:val="auto"/>
              </w:rPr>
            </w:pPr>
            <w:r>
              <w:rPr>
                <w:rFonts w:hint="eastAsia" w:cs="Times New Roman" w:asciiTheme="minorEastAsia" w:hAnsiTheme="minorEastAsia" w:eastAsiaTheme="minorEastAsia"/>
                <w:b/>
                <w:color w:val="auto"/>
              </w:rPr>
              <w:t>风险等级</w:t>
            </w:r>
          </w:p>
        </w:tc>
        <w:tc>
          <w:tcPr>
            <w:tcW w:w="1463" w:type="pct"/>
            <w:shd w:val="clear" w:color="auto" w:fill="FAE600"/>
            <w:vAlign w:val="center"/>
          </w:tcPr>
          <w:p>
            <w:pPr>
              <w:spacing w:after="0" w:line="240" w:lineRule="auto"/>
              <w:ind w:left="0" w:firstLine="0"/>
              <w:jc w:val="center"/>
              <w:rPr>
                <w:rFonts w:cs="Times New Roman" w:asciiTheme="minorEastAsia" w:hAnsiTheme="minorEastAsia" w:eastAsiaTheme="minorEastAsia"/>
                <w:b/>
                <w:color w:val="auto"/>
                <w:szCs w:val="24"/>
              </w:rPr>
            </w:pPr>
            <w:r>
              <w:rPr>
                <w:rFonts w:cs="Times New Roman" w:asciiTheme="minorEastAsia" w:hAnsiTheme="minorEastAsia" w:eastAsiaTheme="minorEastAsia"/>
                <w:b/>
                <w:color w:val="auto"/>
                <w:szCs w:val="24"/>
              </w:rPr>
              <w:t>一般风险</w:t>
            </w:r>
          </w:p>
        </w:tc>
        <w:tc>
          <w:tcPr>
            <w:tcW w:w="438" w:type="pct"/>
            <w:vMerge w:val="continue"/>
            <w:shd w:val="clear" w:color="auto" w:fill="auto"/>
            <w:vAlign w:val="center"/>
          </w:tcPr>
          <w:p>
            <w:pPr>
              <w:spacing w:after="0" w:line="240" w:lineRule="auto"/>
              <w:ind w:left="0" w:firstLine="0"/>
              <w:jc w:val="center"/>
              <w:rPr>
                <w:rFonts w:cs="Times New Roman" w:asciiTheme="minorEastAsia" w:hAnsiTheme="minorEastAsia" w:eastAsiaTheme="minorEastAsia"/>
                <w:b/>
                <w:color w:val="auto"/>
                <w:szCs w:val="24"/>
              </w:rPr>
            </w:pPr>
          </w:p>
        </w:tc>
        <w:tc>
          <w:tcPr>
            <w:tcW w:w="2301" w:type="pct"/>
            <w:vMerge w:val="continue"/>
            <w:shd w:val="clear" w:color="auto" w:fill="auto"/>
            <w:vAlign w:val="center"/>
          </w:tcPr>
          <w:p>
            <w:pPr>
              <w:spacing w:after="0" w:line="360" w:lineRule="exact"/>
              <w:ind w:left="0" w:firstLine="0"/>
              <w:rPr>
                <w:rFonts w:cs="Times New Roman" w:asciiTheme="minorEastAsia" w:hAnsiTheme="minorEastAsia" w:eastAsiaTheme="minorEastAsia"/>
                <w:b/>
                <w:color w:val="auto"/>
                <w:sz w:val="2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798" w:type="pct"/>
            <w:tcBorders>
              <w:bottom w:val="single" w:color="auto" w:sz="4" w:space="0"/>
            </w:tcBorders>
            <w:shd w:val="clear" w:color="auto" w:fill="auto"/>
            <w:vAlign w:val="center"/>
          </w:tcPr>
          <w:p>
            <w:pPr>
              <w:spacing w:after="0" w:line="240" w:lineRule="auto"/>
              <w:ind w:left="0" w:firstLine="0"/>
              <w:jc w:val="center"/>
              <w:rPr>
                <w:rFonts w:cs="Times New Roman" w:asciiTheme="minorEastAsia" w:hAnsiTheme="minorEastAsia" w:eastAsiaTheme="minorEastAsia"/>
                <w:b/>
                <w:color w:val="auto"/>
              </w:rPr>
            </w:pPr>
            <w:r>
              <w:rPr>
                <w:rFonts w:hint="eastAsia" w:cs="Times New Roman" w:asciiTheme="minorEastAsia" w:hAnsiTheme="minorEastAsia" w:eastAsiaTheme="minorEastAsia"/>
                <w:b/>
                <w:color w:val="auto"/>
              </w:rPr>
              <w:t>事故类型</w:t>
            </w:r>
          </w:p>
        </w:tc>
        <w:tc>
          <w:tcPr>
            <w:tcW w:w="1463" w:type="pct"/>
            <w:shd w:val="clear" w:color="auto" w:fill="auto"/>
            <w:vAlign w:val="center"/>
          </w:tcPr>
          <w:p>
            <w:pPr>
              <w:spacing w:after="0" w:line="240" w:lineRule="auto"/>
              <w:ind w:left="0" w:firstLine="0"/>
              <w:jc w:val="center"/>
              <w:rPr>
                <w:rFonts w:cs="Times New Roman" w:asciiTheme="minorEastAsia" w:hAnsiTheme="minorEastAsia" w:eastAsiaTheme="minorEastAsia"/>
                <w:b/>
                <w:color w:val="auto"/>
                <w:szCs w:val="24"/>
              </w:rPr>
            </w:pPr>
            <w:r>
              <w:rPr>
                <w:rFonts w:hint="eastAsia" w:cs="Times New Roman" w:asciiTheme="minorEastAsia" w:hAnsiTheme="minorEastAsia" w:eastAsiaTheme="minorEastAsia"/>
                <w:b/>
                <w:color w:val="auto"/>
                <w:szCs w:val="24"/>
              </w:rPr>
              <w:t>事故扩大 触电 淹溺 机械伤害</w:t>
            </w:r>
          </w:p>
        </w:tc>
        <w:tc>
          <w:tcPr>
            <w:tcW w:w="438" w:type="pct"/>
            <w:vMerge w:val="continue"/>
            <w:shd w:val="clear" w:color="auto" w:fill="auto"/>
            <w:vAlign w:val="center"/>
          </w:tcPr>
          <w:p>
            <w:pPr>
              <w:spacing w:after="0" w:line="240" w:lineRule="auto"/>
              <w:ind w:left="0" w:firstLine="0"/>
              <w:jc w:val="center"/>
              <w:rPr>
                <w:rFonts w:cs="Times New Roman" w:asciiTheme="minorEastAsia" w:hAnsiTheme="minorEastAsia" w:eastAsiaTheme="minorEastAsia"/>
                <w:b/>
                <w:color w:val="auto"/>
                <w:szCs w:val="24"/>
              </w:rPr>
            </w:pPr>
          </w:p>
        </w:tc>
        <w:tc>
          <w:tcPr>
            <w:tcW w:w="2301" w:type="pct"/>
            <w:vMerge w:val="continue"/>
            <w:shd w:val="clear" w:color="auto" w:fill="auto"/>
            <w:vAlign w:val="center"/>
          </w:tcPr>
          <w:p>
            <w:pPr>
              <w:spacing w:after="0" w:line="360" w:lineRule="exact"/>
              <w:ind w:left="0" w:firstLine="0"/>
              <w:rPr>
                <w:rFonts w:cs="Times New Roman" w:asciiTheme="minorEastAsia" w:hAnsiTheme="minorEastAsia" w:eastAsiaTheme="minorEastAsia"/>
                <w:b/>
                <w:color w:val="auto"/>
                <w:sz w:val="2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260" w:type="pct"/>
            <w:gridSpan w:val="2"/>
            <w:tcBorders>
              <w:bottom w:val="single" w:color="auto" w:sz="6" w:space="0"/>
            </w:tcBorders>
            <w:shd w:val="clear" w:color="auto" w:fill="auto"/>
            <w:vAlign w:val="center"/>
          </w:tcPr>
          <w:p>
            <w:pPr>
              <w:widowControl w:val="0"/>
              <w:spacing w:after="0" w:line="360" w:lineRule="exact"/>
              <w:ind w:left="0" w:firstLine="0"/>
              <w:jc w:val="center"/>
              <w:rPr>
                <w:rFonts w:ascii="宋体" w:hAnsi="宋体" w:eastAsia="宋体" w:cs="Times New Roman"/>
                <w:b/>
                <w:color w:val="auto"/>
                <w:sz w:val="21"/>
                <w:szCs w:val="21"/>
              </w:rPr>
            </w:pPr>
            <w:r>
              <w:rPr>
                <w:rFonts w:hint="eastAsia" w:ascii="宋体" w:hAnsi="宋体" w:eastAsia="宋体" w:cs="Times New Roman"/>
                <w:b/>
                <w:color w:val="auto"/>
                <w:sz w:val="21"/>
                <w:szCs w:val="21"/>
              </w:rPr>
              <w:t>安全标志</w:t>
            </w:r>
          </w:p>
          <w:p>
            <w:pPr>
              <w:spacing w:after="0" w:line="240" w:lineRule="auto"/>
              <w:ind w:left="0" w:firstLine="0"/>
              <w:jc w:val="center"/>
              <w:rPr>
                <w:rFonts w:cs="Times New Roman" w:asciiTheme="minorEastAsia" w:hAnsiTheme="minorEastAsia" w:eastAsiaTheme="minorEastAsia"/>
                <w:b/>
                <w:color w:val="auto"/>
                <w:szCs w:val="24"/>
              </w:rPr>
            </w:pPr>
            <w:r>
              <w:rPr>
                <w:rFonts w:cs="Times New Roman" w:asciiTheme="minorEastAsia" w:hAnsiTheme="minorEastAsia" w:eastAsiaTheme="minorEastAsia"/>
                <w:color w:val="auto"/>
                <w:szCs w:val="24"/>
              </w:rPr>
              <w:drawing>
                <wp:inline distT="0" distB="0" distL="0" distR="0">
                  <wp:extent cx="956945" cy="118237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958446" cy="1184528"/>
                          </a:xfrm>
                          <a:prstGeom prst="rect">
                            <a:avLst/>
                          </a:prstGeom>
                          <a:noFill/>
                          <a:ln>
                            <a:noFill/>
                          </a:ln>
                        </pic:spPr>
                      </pic:pic>
                    </a:graphicData>
                  </a:graphic>
                </wp:inline>
              </w:drawing>
            </w:r>
            <w:r>
              <w:rPr>
                <w:rFonts w:asciiTheme="minorEastAsia" w:hAnsiTheme="minorEastAsia" w:eastAsiaTheme="minorEastAsia"/>
                <w:color w:val="auto"/>
              </w:rPr>
              <w:drawing>
                <wp:inline distT="0" distB="0" distL="0" distR="0">
                  <wp:extent cx="929005" cy="1224280"/>
                  <wp:effectExtent l="0" t="0" r="444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5" cstate="print"/>
                          <a:stretch>
                            <a:fillRect/>
                          </a:stretch>
                        </pic:blipFill>
                        <pic:spPr>
                          <a:xfrm>
                            <a:off x="0" y="0"/>
                            <a:ext cx="952502" cy="1254548"/>
                          </a:xfrm>
                          <a:prstGeom prst="rect">
                            <a:avLst/>
                          </a:prstGeom>
                        </pic:spPr>
                      </pic:pic>
                    </a:graphicData>
                  </a:graphic>
                </wp:inline>
              </w:drawing>
            </w:r>
            <w:r>
              <w:rPr>
                <w:rFonts w:asciiTheme="minorEastAsia" w:hAnsiTheme="minorEastAsia" w:eastAsiaTheme="minorEastAsia"/>
                <w:color w:val="auto"/>
              </w:rPr>
              <w:drawing>
                <wp:inline distT="0" distB="0" distL="0" distR="0">
                  <wp:extent cx="940435" cy="1215390"/>
                  <wp:effectExtent l="0" t="0" r="0" b="381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3" cstate="print"/>
                          <a:stretch>
                            <a:fillRect/>
                          </a:stretch>
                        </pic:blipFill>
                        <pic:spPr>
                          <a:xfrm>
                            <a:off x="0" y="0"/>
                            <a:ext cx="961632" cy="1243215"/>
                          </a:xfrm>
                          <a:prstGeom prst="rect">
                            <a:avLst/>
                          </a:prstGeom>
                        </pic:spPr>
                      </pic:pic>
                    </a:graphicData>
                  </a:graphic>
                </wp:inline>
              </w:drawing>
            </w:r>
            <w:r>
              <w:rPr>
                <w:rFonts w:asciiTheme="minorEastAsia" w:hAnsiTheme="minorEastAsia" w:eastAsiaTheme="minorEastAsia"/>
                <w:color w:val="auto"/>
              </w:rPr>
              <w:drawing>
                <wp:inline distT="0" distB="0" distL="0" distR="0">
                  <wp:extent cx="956945" cy="122872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6" cstate="print"/>
                          <a:stretch>
                            <a:fillRect/>
                          </a:stretch>
                        </pic:blipFill>
                        <pic:spPr>
                          <a:xfrm>
                            <a:off x="0" y="0"/>
                            <a:ext cx="989287" cy="1269583"/>
                          </a:xfrm>
                          <a:prstGeom prst="rect">
                            <a:avLst/>
                          </a:prstGeom>
                        </pic:spPr>
                      </pic:pic>
                    </a:graphicData>
                  </a:graphic>
                </wp:inline>
              </w:drawing>
            </w:r>
          </w:p>
        </w:tc>
        <w:tc>
          <w:tcPr>
            <w:tcW w:w="438" w:type="pct"/>
            <w:tcBorders>
              <w:bottom w:val="single" w:color="auto" w:sz="6" w:space="0"/>
            </w:tcBorders>
            <w:shd w:val="clear" w:color="auto" w:fill="auto"/>
            <w:vAlign w:val="center"/>
          </w:tcPr>
          <w:p>
            <w:pPr>
              <w:spacing w:after="0" w:line="240" w:lineRule="auto"/>
              <w:ind w:left="0" w:firstLine="0"/>
              <w:jc w:val="center"/>
              <w:rPr>
                <w:rFonts w:cs="Times New Roman" w:asciiTheme="minorEastAsia" w:hAnsiTheme="minorEastAsia" w:eastAsiaTheme="minorEastAsia"/>
                <w:b/>
                <w:color w:val="auto"/>
                <w:szCs w:val="24"/>
              </w:rPr>
            </w:pPr>
            <w:r>
              <w:rPr>
                <w:rFonts w:hint="eastAsia" w:cs="Times New Roman" w:asciiTheme="minorEastAsia" w:hAnsiTheme="minorEastAsia" w:eastAsiaTheme="minorEastAsia"/>
                <w:b/>
                <w:color w:val="auto"/>
                <w:szCs w:val="24"/>
              </w:rPr>
              <w:t>风险管控措施</w:t>
            </w:r>
          </w:p>
        </w:tc>
        <w:tc>
          <w:tcPr>
            <w:tcW w:w="2301" w:type="pct"/>
            <w:tcBorders>
              <w:bottom w:val="single" w:color="auto" w:sz="4" w:space="0"/>
            </w:tcBorders>
            <w:shd w:val="clear" w:color="auto" w:fill="auto"/>
            <w:vAlign w:val="center"/>
          </w:tcPr>
          <w:p>
            <w:pPr>
              <w:spacing w:after="0" w:line="360" w:lineRule="exact"/>
              <w:ind w:left="0" w:firstLine="0"/>
              <w:rPr>
                <w:rFonts w:cs="Times New Roman" w:asciiTheme="minorEastAsia" w:hAnsiTheme="minorEastAsia" w:eastAsiaTheme="minorEastAsia"/>
                <w:b/>
                <w:color w:val="auto"/>
                <w:sz w:val="22"/>
                <w:szCs w:val="21"/>
              </w:rPr>
            </w:pPr>
            <w:r>
              <w:rPr>
                <w:rFonts w:cs="Times New Roman" w:asciiTheme="minorEastAsia" w:hAnsiTheme="minorEastAsia" w:eastAsiaTheme="minorEastAsia"/>
                <w:b/>
                <w:color w:val="auto"/>
                <w:sz w:val="22"/>
                <w:szCs w:val="21"/>
              </w:rPr>
              <w:t>1.无关人员严禁进入</w:t>
            </w:r>
            <w:r>
              <w:rPr>
                <w:rFonts w:hint="eastAsia" w:cs="Times New Roman" w:asciiTheme="minorEastAsia" w:hAnsiTheme="minorEastAsia" w:eastAsiaTheme="minorEastAsia"/>
                <w:b/>
                <w:color w:val="auto"/>
                <w:sz w:val="22"/>
                <w:szCs w:val="21"/>
              </w:rPr>
              <w:t>、</w:t>
            </w:r>
            <w:r>
              <w:rPr>
                <w:rFonts w:cs="Times New Roman" w:asciiTheme="minorEastAsia" w:hAnsiTheme="minorEastAsia" w:eastAsiaTheme="minorEastAsia"/>
                <w:b/>
                <w:color w:val="auto"/>
                <w:sz w:val="22"/>
                <w:szCs w:val="21"/>
              </w:rPr>
              <w:t>操作；</w:t>
            </w:r>
          </w:p>
          <w:p>
            <w:pPr>
              <w:spacing w:after="0" w:line="360" w:lineRule="exact"/>
              <w:ind w:left="0" w:firstLine="0"/>
              <w:rPr>
                <w:rFonts w:cs="Times New Roman" w:asciiTheme="minorEastAsia" w:hAnsiTheme="minorEastAsia" w:eastAsiaTheme="minorEastAsia"/>
                <w:b/>
                <w:color w:val="auto"/>
                <w:sz w:val="22"/>
                <w:szCs w:val="21"/>
              </w:rPr>
            </w:pPr>
            <w:r>
              <w:rPr>
                <w:rFonts w:cs="Times New Roman" w:asciiTheme="minorEastAsia" w:hAnsiTheme="minorEastAsia" w:eastAsiaTheme="minorEastAsia"/>
                <w:b/>
                <w:color w:val="auto"/>
                <w:sz w:val="22"/>
                <w:szCs w:val="21"/>
              </w:rPr>
              <w:t>2.</w:t>
            </w:r>
            <w:r>
              <w:rPr>
                <w:rFonts w:hint="eastAsia" w:cs="Times New Roman" w:asciiTheme="minorEastAsia" w:hAnsiTheme="minorEastAsia" w:eastAsiaTheme="minorEastAsia"/>
                <w:b/>
                <w:color w:val="auto"/>
                <w:sz w:val="22"/>
                <w:szCs w:val="21"/>
              </w:rPr>
              <w:t>由专业人员操作，</w:t>
            </w:r>
            <w:r>
              <w:rPr>
                <w:rFonts w:cs="Times New Roman" w:asciiTheme="minorEastAsia" w:hAnsiTheme="minorEastAsia" w:eastAsiaTheme="minorEastAsia"/>
                <w:b/>
                <w:color w:val="auto"/>
                <w:sz w:val="22"/>
                <w:szCs w:val="21"/>
              </w:rPr>
              <w:t>熟知岗位</w:t>
            </w:r>
            <w:r>
              <w:rPr>
                <w:rFonts w:hint="eastAsia" w:cs="Times New Roman" w:asciiTheme="minorEastAsia" w:hAnsiTheme="minorEastAsia" w:eastAsiaTheme="minorEastAsia"/>
                <w:b/>
                <w:color w:val="auto"/>
                <w:sz w:val="22"/>
                <w:szCs w:val="21"/>
              </w:rPr>
              <w:t>风险</w:t>
            </w:r>
            <w:r>
              <w:rPr>
                <w:rFonts w:cs="Times New Roman" w:asciiTheme="minorEastAsia" w:hAnsiTheme="minorEastAsia" w:eastAsiaTheme="minorEastAsia"/>
                <w:b/>
                <w:color w:val="auto"/>
                <w:sz w:val="22"/>
                <w:szCs w:val="21"/>
              </w:rPr>
              <w:t>及防范措施</w:t>
            </w:r>
            <w:r>
              <w:rPr>
                <w:rFonts w:hint="eastAsia" w:cs="Times New Roman" w:asciiTheme="minorEastAsia" w:hAnsiTheme="minorEastAsia" w:eastAsiaTheme="minorEastAsia"/>
                <w:b/>
                <w:color w:val="auto"/>
                <w:sz w:val="22"/>
                <w:szCs w:val="21"/>
              </w:rPr>
              <w:t>，</w:t>
            </w:r>
            <w:r>
              <w:rPr>
                <w:rFonts w:cs="Times New Roman" w:asciiTheme="minorEastAsia" w:hAnsiTheme="minorEastAsia" w:eastAsiaTheme="minorEastAsia"/>
                <w:b/>
                <w:color w:val="auto"/>
                <w:sz w:val="22"/>
                <w:szCs w:val="21"/>
              </w:rPr>
              <w:t>按规程操作；</w:t>
            </w:r>
          </w:p>
          <w:p>
            <w:pPr>
              <w:spacing w:after="0" w:line="360" w:lineRule="exact"/>
              <w:ind w:left="0" w:firstLine="0"/>
              <w:rPr>
                <w:rFonts w:cs="Times New Roman" w:asciiTheme="minorEastAsia" w:hAnsiTheme="minorEastAsia" w:eastAsiaTheme="minorEastAsia"/>
                <w:b/>
                <w:color w:val="auto"/>
                <w:sz w:val="22"/>
                <w:szCs w:val="21"/>
              </w:rPr>
            </w:pPr>
            <w:r>
              <w:rPr>
                <w:rFonts w:hint="eastAsia" w:cs="Times New Roman" w:asciiTheme="minorEastAsia" w:hAnsiTheme="minorEastAsia" w:eastAsiaTheme="minorEastAsia"/>
                <w:b/>
                <w:color w:val="auto"/>
                <w:sz w:val="22"/>
                <w:szCs w:val="21"/>
              </w:rPr>
              <w:t>3.检修工具及劳动防护用品应合格，且在检验有效期内；</w:t>
            </w:r>
          </w:p>
          <w:p>
            <w:pPr>
              <w:spacing w:after="0" w:line="360" w:lineRule="exact"/>
              <w:ind w:left="0" w:firstLine="0"/>
              <w:rPr>
                <w:rFonts w:cs="Times New Roman" w:asciiTheme="minorEastAsia" w:hAnsiTheme="minorEastAsia" w:eastAsiaTheme="minorEastAsia"/>
                <w:b/>
                <w:color w:val="auto"/>
                <w:sz w:val="22"/>
                <w:szCs w:val="21"/>
              </w:rPr>
            </w:pPr>
            <w:r>
              <w:rPr>
                <w:rFonts w:hint="eastAsia" w:cs="Times New Roman" w:asciiTheme="minorEastAsia" w:hAnsiTheme="minorEastAsia" w:eastAsiaTheme="minorEastAsia"/>
                <w:b/>
                <w:color w:val="auto"/>
                <w:sz w:val="22"/>
                <w:szCs w:val="21"/>
              </w:rPr>
              <w:t>4</w:t>
            </w:r>
            <w:r>
              <w:rPr>
                <w:rFonts w:cs="Times New Roman" w:asciiTheme="minorEastAsia" w:hAnsiTheme="minorEastAsia" w:eastAsiaTheme="minorEastAsia"/>
                <w:b/>
                <w:color w:val="auto"/>
                <w:sz w:val="22"/>
                <w:szCs w:val="21"/>
              </w:rPr>
              <w:t>.</w:t>
            </w:r>
            <w:r>
              <w:rPr>
                <w:rFonts w:hint="eastAsia" w:cs="Times New Roman" w:asciiTheme="minorEastAsia" w:hAnsiTheme="minorEastAsia" w:eastAsiaTheme="minorEastAsia"/>
                <w:b/>
                <w:color w:val="auto"/>
                <w:sz w:val="22"/>
                <w:szCs w:val="21"/>
              </w:rPr>
              <w:t>控制</w:t>
            </w:r>
            <w:r>
              <w:rPr>
                <w:rFonts w:cs="Times New Roman" w:asciiTheme="minorEastAsia" w:hAnsiTheme="minorEastAsia" w:eastAsiaTheme="minorEastAsia"/>
                <w:b/>
                <w:color w:val="auto"/>
                <w:sz w:val="22"/>
                <w:szCs w:val="21"/>
              </w:rPr>
              <w:t>开关</w:t>
            </w:r>
            <w:r>
              <w:rPr>
                <w:rFonts w:hint="eastAsia" w:cs="Times New Roman" w:asciiTheme="minorEastAsia" w:hAnsiTheme="minorEastAsia" w:eastAsiaTheme="minorEastAsia"/>
                <w:b/>
                <w:color w:val="auto"/>
                <w:sz w:val="22"/>
                <w:szCs w:val="21"/>
              </w:rPr>
              <w:t>、</w:t>
            </w:r>
            <w:r>
              <w:rPr>
                <w:rFonts w:cs="Times New Roman" w:asciiTheme="minorEastAsia" w:hAnsiTheme="minorEastAsia" w:eastAsiaTheme="minorEastAsia"/>
                <w:b/>
                <w:color w:val="auto"/>
                <w:sz w:val="22"/>
                <w:szCs w:val="21"/>
              </w:rPr>
              <w:t>阀门应处于正确位置</w:t>
            </w:r>
            <w:r>
              <w:rPr>
                <w:rFonts w:hint="eastAsia" w:cs="Times New Roman" w:asciiTheme="minorEastAsia" w:hAnsiTheme="minorEastAsia" w:eastAsiaTheme="minorEastAsia"/>
                <w:b/>
                <w:color w:val="auto"/>
                <w:sz w:val="22"/>
                <w:szCs w:val="21"/>
              </w:rPr>
              <w:t>；</w:t>
            </w:r>
          </w:p>
          <w:p>
            <w:pPr>
              <w:spacing w:after="0" w:line="360" w:lineRule="exact"/>
              <w:ind w:left="0" w:firstLine="0"/>
              <w:rPr>
                <w:rFonts w:cs="Times New Roman" w:asciiTheme="minorEastAsia" w:hAnsiTheme="minorEastAsia" w:eastAsiaTheme="minorEastAsia"/>
                <w:b/>
                <w:color w:val="auto"/>
                <w:sz w:val="22"/>
                <w:szCs w:val="21"/>
              </w:rPr>
            </w:pPr>
            <w:r>
              <w:rPr>
                <w:rFonts w:hint="eastAsia" w:cs="Times New Roman" w:asciiTheme="minorEastAsia" w:hAnsiTheme="minorEastAsia" w:eastAsiaTheme="minorEastAsia"/>
                <w:b/>
                <w:color w:val="auto"/>
                <w:sz w:val="22"/>
                <w:szCs w:val="21"/>
              </w:rPr>
              <w:t>5</w:t>
            </w:r>
            <w:r>
              <w:rPr>
                <w:rFonts w:cs="Times New Roman" w:asciiTheme="minorEastAsia" w:hAnsiTheme="minorEastAsia" w:eastAsiaTheme="minorEastAsia"/>
                <w:b/>
                <w:color w:val="auto"/>
                <w:sz w:val="22"/>
                <w:szCs w:val="21"/>
              </w:rPr>
              <w:t>.电气设备应按规定接地</w:t>
            </w:r>
            <w:r>
              <w:rPr>
                <w:rFonts w:hint="eastAsia" w:cs="Times New Roman" w:asciiTheme="minorEastAsia" w:hAnsiTheme="minorEastAsia" w:eastAsiaTheme="minorEastAsia"/>
                <w:b/>
                <w:color w:val="auto"/>
                <w:sz w:val="22"/>
                <w:szCs w:val="21"/>
              </w:rPr>
              <w:t>。</w:t>
            </w:r>
          </w:p>
          <w:p>
            <w:pPr>
              <w:spacing w:after="0" w:line="360" w:lineRule="exact"/>
              <w:ind w:left="0" w:firstLine="0"/>
              <w:rPr>
                <w:rFonts w:cs="Times New Roman" w:asciiTheme="minorEastAsia" w:hAnsiTheme="minorEastAsia" w:eastAsiaTheme="minorEastAsia"/>
                <w:b/>
                <w:color w:val="auto"/>
                <w:sz w:val="22"/>
                <w:szCs w:val="21"/>
              </w:rPr>
            </w:pPr>
            <w:r>
              <w:rPr>
                <w:rFonts w:cs="Times New Roman" w:asciiTheme="minorEastAsia" w:hAnsiTheme="minorEastAsia" w:eastAsiaTheme="minorEastAsia"/>
                <w:b/>
                <w:color w:val="auto"/>
                <w:sz w:val="22"/>
                <w:szCs w:val="21"/>
              </w:rPr>
              <w:t>6</w:t>
            </w:r>
            <w:r>
              <w:rPr>
                <w:rFonts w:hint="eastAsia" w:cs="Times New Roman" w:asciiTheme="minorEastAsia" w:hAnsiTheme="minorEastAsia" w:eastAsiaTheme="minorEastAsia"/>
                <w:b/>
                <w:color w:val="auto"/>
                <w:sz w:val="22"/>
                <w:szCs w:val="21"/>
              </w:rPr>
              <w:t>.定期维保检修设备，按规定启动、测试水泵。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798" w:type="pct"/>
            <w:tcBorders>
              <w:top w:val="single" w:color="auto" w:sz="6" w:space="0"/>
            </w:tcBorders>
            <w:shd w:val="clear" w:color="auto" w:fill="auto"/>
            <w:vAlign w:val="center"/>
          </w:tcPr>
          <w:p>
            <w:pPr>
              <w:spacing w:after="0" w:line="240" w:lineRule="auto"/>
              <w:ind w:left="0" w:firstLine="0"/>
              <w:jc w:val="center"/>
              <w:rPr>
                <w:rFonts w:cs="Times New Roman" w:asciiTheme="minorEastAsia" w:hAnsiTheme="minorEastAsia" w:eastAsiaTheme="minorEastAsia"/>
                <w:b/>
                <w:color w:val="auto"/>
              </w:rPr>
            </w:pPr>
            <w:r>
              <w:rPr>
                <w:rFonts w:hint="eastAsia" w:cs="Times New Roman" w:asciiTheme="minorEastAsia" w:hAnsiTheme="minorEastAsia" w:eastAsiaTheme="minorEastAsia"/>
                <w:b/>
                <w:color w:val="auto"/>
              </w:rPr>
              <w:t>责任部门</w:t>
            </w:r>
          </w:p>
        </w:tc>
        <w:tc>
          <w:tcPr>
            <w:tcW w:w="1463" w:type="pct"/>
            <w:tcBorders>
              <w:top w:val="single" w:color="auto" w:sz="6" w:space="0"/>
            </w:tcBorders>
            <w:shd w:val="clear" w:color="auto" w:fill="auto"/>
            <w:vAlign w:val="center"/>
          </w:tcPr>
          <w:p>
            <w:pPr>
              <w:spacing w:after="0" w:line="240" w:lineRule="auto"/>
              <w:ind w:left="0" w:firstLine="0"/>
              <w:rPr>
                <w:rFonts w:cs="Times New Roman" w:asciiTheme="minorEastAsia" w:hAnsiTheme="minorEastAsia" w:eastAsiaTheme="minorEastAsia"/>
                <w:b/>
                <w:color w:val="auto"/>
                <w:szCs w:val="24"/>
              </w:rPr>
            </w:pPr>
          </w:p>
        </w:tc>
        <w:tc>
          <w:tcPr>
            <w:tcW w:w="438" w:type="pct"/>
            <w:vMerge w:val="restart"/>
            <w:tcBorders>
              <w:top w:val="single" w:color="auto" w:sz="6" w:space="0"/>
            </w:tcBorders>
            <w:shd w:val="clear" w:color="auto" w:fill="auto"/>
            <w:vAlign w:val="center"/>
          </w:tcPr>
          <w:p>
            <w:pPr>
              <w:spacing w:after="0" w:line="240" w:lineRule="auto"/>
              <w:ind w:left="0" w:firstLine="0"/>
              <w:jc w:val="center"/>
              <w:rPr>
                <w:rFonts w:cs="Times New Roman" w:asciiTheme="minorEastAsia" w:hAnsiTheme="minorEastAsia" w:eastAsiaTheme="minorEastAsia"/>
                <w:b/>
                <w:color w:val="auto"/>
                <w:szCs w:val="24"/>
              </w:rPr>
            </w:pPr>
            <w:r>
              <w:rPr>
                <w:rFonts w:hint="eastAsia" w:cs="Times New Roman" w:asciiTheme="minorEastAsia" w:hAnsiTheme="minorEastAsia" w:eastAsiaTheme="minorEastAsia"/>
                <w:b/>
                <w:color w:val="auto"/>
                <w:szCs w:val="24"/>
              </w:rPr>
              <w:t>应急处置措施</w:t>
            </w:r>
          </w:p>
        </w:tc>
        <w:tc>
          <w:tcPr>
            <w:tcW w:w="2301" w:type="pct"/>
            <w:vMerge w:val="restart"/>
            <w:tcBorders>
              <w:top w:val="single" w:color="auto" w:sz="6" w:space="0"/>
            </w:tcBorders>
            <w:shd w:val="clear" w:color="auto" w:fill="auto"/>
            <w:vAlign w:val="center"/>
          </w:tcPr>
          <w:p>
            <w:pPr>
              <w:spacing w:after="0" w:line="360" w:lineRule="exact"/>
              <w:ind w:left="0" w:firstLine="0"/>
              <w:rPr>
                <w:rFonts w:cs="Times New Roman" w:asciiTheme="minorEastAsia" w:hAnsiTheme="minorEastAsia" w:eastAsiaTheme="minorEastAsia"/>
                <w:b/>
                <w:color w:val="auto"/>
                <w:sz w:val="22"/>
                <w:szCs w:val="21"/>
              </w:rPr>
            </w:pPr>
            <w:r>
              <w:rPr>
                <w:rFonts w:hint="eastAsia" w:cs="Times New Roman" w:asciiTheme="minorEastAsia" w:hAnsiTheme="minorEastAsia" w:eastAsiaTheme="minorEastAsia"/>
                <w:b/>
                <w:color w:val="auto"/>
                <w:sz w:val="22"/>
                <w:szCs w:val="21"/>
              </w:rPr>
              <w:t>1.火灾时，应迅速启动消防泵，</w:t>
            </w:r>
            <w:r>
              <w:rPr>
                <w:rFonts w:cs="Times New Roman" w:asciiTheme="minorEastAsia" w:hAnsiTheme="minorEastAsia" w:eastAsiaTheme="minorEastAsia"/>
                <w:b/>
                <w:color w:val="auto"/>
                <w:sz w:val="22"/>
                <w:szCs w:val="21"/>
              </w:rPr>
              <w:t>无法启动时</w:t>
            </w:r>
            <w:r>
              <w:rPr>
                <w:rFonts w:hint="eastAsia" w:cs="Times New Roman" w:asciiTheme="minorEastAsia" w:hAnsiTheme="minorEastAsia" w:eastAsiaTheme="minorEastAsia"/>
                <w:b/>
                <w:color w:val="auto"/>
                <w:sz w:val="22"/>
                <w:szCs w:val="21"/>
              </w:rPr>
              <w:t>，</w:t>
            </w:r>
            <w:r>
              <w:rPr>
                <w:rFonts w:cs="Times New Roman" w:asciiTheme="minorEastAsia" w:hAnsiTheme="minorEastAsia" w:eastAsiaTheme="minorEastAsia"/>
                <w:b/>
                <w:color w:val="auto"/>
                <w:sz w:val="22"/>
                <w:szCs w:val="21"/>
              </w:rPr>
              <w:t>应查明原因</w:t>
            </w:r>
            <w:r>
              <w:rPr>
                <w:rFonts w:hint="eastAsia" w:cs="Times New Roman" w:asciiTheme="minorEastAsia" w:hAnsiTheme="minorEastAsia" w:eastAsiaTheme="minorEastAsia"/>
                <w:b/>
                <w:color w:val="auto"/>
                <w:sz w:val="22"/>
                <w:szCs w:val="21"/>
              </w:rPr>
              <w:t>重新启动，联系专业维保单位。</w:t>
            </w:r>
          </w:p>
          <w:p>
            <w:pPr>
              <w:spacing w:after="0" w:line="360" w:lineRule="exact"/>
              <w:ind w:left="0" w:firstLine="0"/>
              <w:rPr>
                <w:rFonts w:cs="Times New Roman" w:asciiTheme="minorEastAsia" w:hAnsiTheme="minorEastAsia" w:eastAsiaTheme="minorEastAsia"/>
                <w:b/>
                <w:color w:val="auto"/>
                <w:sz w:val="22"/>
                <w:szCs w:val="21"/>
              </w:rPr>
            </w:pPr>
            <w:r>
              <w:rPr>
                <w:rFonts w:hint="eastAsia" w:cs="Times New Roman" w:asciiTheme="minorEastAsia" w:hAnsiTheme="minorEastAsia" w:eastAsiaTheme="minorEastAsia"/>
                <w:b/>
                <w:color w:val="auto"/>
                <w:sz w:val="22"/>
                <w:szCs w:val="21"/>
              </w:rPr>
              <w:t>2</w:t>
            </w:r>
            <w:r>
              <w:rPr>
                <w:rFonts w:cs="Times New Roman" w:asciiTheme="minorEastAsia" w:hAnsiTheme="minorEastAsia" w:eastAsiaTheme="minorEastAsia"/>
                <w:b/>
                <w:color w:val="auto"/>
                <w:sz w:val="22"/>
                <w:szCs w:val="21"/>
              </w:rPr>
              <w:t>.</w:t>
            </w:r>
            <w:r>
              <w:rPr>
                <w:rFonts w:hint="eastAsia" w:cs="Times New Roman" w:asciiTheme="minorEastAsia" w:hAnsiTheme="minorEastAsia" w:eastAsiaTheme="minorEastAsia"/>
                <w:b/>
                <w:color w:val="auto"/>
                <w:sz w:val="22"/>
                <w:szCs w:val="21"/>
              </w:rPr>
              <w:t>触电时应</w:t>
            </w:r>
            <w:r>
              <w:rPr>
                <w:rFonts w:cs="Times New Roman" w:asciiTheme="minorEastAsia" w:hAnsiTheme="minorEastAsia" w:eastAsiaTheme="minorEastAsia"/>
                <w:b/>
                <w:color w:val="auto"/>
                <w:sz w:val="22"/>
                <w:szCs w:val="21"/>
              </w:rPr>
              <w:t>迅速切断电源，或者用绝缘物体挑开电线或带电物体，使伤者尽快脱离电源</w:t>
            </w:r>
            <w:r>
              <w:rPr>
                <w:rFonts w:hint="eastAsia" w:cs="Times New Roman" w:asciiTheme="minorEastAsia" w:hAnsiTheme="minorEastAsia" w:eastAsiaTheme="minorEastAsia"/>
                <w:b/>
                <w:color w:val="auto"/>
                <w:sz w:val="22"/>
                <w:szCs w:val="21"/>
              </w:rPr>
              <w:t>，</w:t>
            </w:r>
            <w:r>
              <w:rPr>
                <w:rFonts w:cs="Times New Roman" w:asciiTheme="minorEastAsia" w:hAnsiTheme="minorEastAsia" w:eastAsiaTheme="minorEastAsia"/>
                <w:b/>
                <w:color w:val="auto"/>
                <w:sz w:val="22"/>
                <w:szCs w:val="21"/>
              </w:rPr>
              <w:t>将伤者移至安全地带；</w:t>
            </w:r>
          </w:p>
          <w:p>
            <w:pPr>
              <w:spacing w:after="0" w:line="360" w:lineRule="exact"/>
              <w:ind w:left="0" w:firstLine="0"/>
              <w:rPr>
                <w:rFonts w:cs="Times New Roman" w:asciiTheme="minorEastAsia" w:hAnsiTheme="minorEastAsia" w:eastAsiaTheme="minorEastAsia"/>
                <w:b/>
                <w:color w:val="auto"/>
                <w:sz w:val="22"/>
                <w:szCs w:val="21"/>
              </w:rPr>
            </w:pPr>
            <w:r>
              <w:rPr>
                <w:rFonts w:cs="Times New Roman" w:asciiTheme="minorEastAsia" w:hAnsiTheme="minorEastAsia" w:eastAsiaTheme="minorEastAsia"/>
                <w:b/>
                <w:color w:val="auto"/>
                <w:sz w:val="22"/>
                <w:szCs w:val="21"/>
              </w:rPr>
              <w:t>3.</w:t>
            </w:r>
            <w:r>
              <w:rPr>
                <w:rFonts w:hint="eastAsia" w:cs="Times New Roman" w:asciiTheme="minorEastAsia" w:hAnsiTheme="minorEastAsia" w:eastAsiaTheme="minorEastAsia"/>
                <w:b/>
                <w:color w:val="auto"/>
                <w:sz w:val="22"/>
                <w:szCs w:val="21"/>
              </w:rPr>
              <w:t>按预案及信息报告流程</w:t>
            </w:r>
            <w:r>
              <w:rPr>
                <w:rFonts w:cs="Times New Roman" w:asciiTheme="minorEastAsia" w:hAnsiTheme="minorEastAsia" w:eastAsiaTheme="minorEastAsia"/>
                <w:b/>
                <w:color w:val="auto"/>
                <w:sz w:val="22"/>
                <w:szCs w:val="21"/>
              </w:rPr>
              <w:t>向上级报告，拨打120等急救电话。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798" w:type="pct"/>
            <w:tcBorders>
              <w:top w:val="single" w:color="auto" w:sz="6" w:space="0"/>
            </w:tcBorders>
            <w:shd w:val="clear" w:color="auto" w:fill="auto"/>
            <w:vAlign w:val="center"/>
          </w:tcPr>
          <w:p>
            <w:pPr>
              <w:spacing w:after="0" w:line="240" w:lineRule="auto"/>
              <w:ind w:left="0" w:firstLine="0"/>
              <w:jc w:val="center"/>
              <w:rPr>
                <w:rFonts w:cs="Times New Roman" w:asciiTheme="minorEastAsia" w:hAnsiTheme="minorEastAsia" w:eastAsiaTheme="minorEastAsia"/>
                <w:b/>
                <w:color w:val="auto"/>
              </w:rPr>
            </w:pPr>
            <w:r>
              <w:rPr>
                <w:rFonts w:hint="eastAsia" w:cs="Times New Roman" w:asciiTheme="minorEastAsia" w:hAnsiTheme="minorEastAsia" w:eastAsiaTheme="minorEastAsia"/>
                <w:b/>
                <w:color w:val="auto"/>
              </w:rPr>
              <w:t>责任人</w:t>
            </w:r>
          </w:p>
        </w:tc>
        <w:tc>
          <w:tcPr>
            <w:tcW w:w="1463" w:type="pct"/>
            <w:tcBorders>
              <w:top w:val="single" w:color="auto" w:sz="6" w:space="0"/>
            </w:tcBorders>
            <w:shd w:val="clear" w:color="auto" w:fill="auto"/>
            <w:vAlign w:val="center"/>
          </w:tcPr>
          <w:p>
            <w:pPr>
              <w:spacing w:after="0" w:line="240" w:lineRule="auto"/>
              <w:ind w:left="0" w:firstLine="0"/>
              <w:rPr>
                <w:rFonts w:cs="Times New Roman" w:asciiTheme="minorEastAsia" w:hAnsiTheme="minorEastAsia" w:eastAsiaTheme="minorEastAsia"/>
                <w:b/>
                <w:color w:val="auto"/>
                <w:szCs w:val="24"/>
              </w:rPr>
            </w:pPr>
          </w:p>
        </w:tc>
        <w:tc>
          <w:tcPr>
            <w:tcW w:w="438" w:type="pct"/>
            <w:vMerge w:val="continue"/>
            <w:shd w:val="clear" w:color="auto" w:fill="auto"/>
            <w:vAlign w:val="center"/>
          </w:tcPr>
          <w:p>
            <w:pPr>
              <w:spacing w:after="0" w:line="240" w:lineRule="auto"/>
              <w:ind w:left="0" w:firstLine="0"/>
              <w:jc w:val="center"/>
              <w:rPr>
                <w:rFonts w:cs="Times New Roman" w:asciiTheme="minorEastAsia" w:hAnsiTheme="minorEastAsia" w:eastAsiaTheme="minorEastAsia"/>
                <w:b/>
                <w:color w:val="auto"/>
                <w:szCs w:val="24"/>
              </w:rPr>
            </w:pPr>
          </w:p>
        </w:tc>
        <w:tc>
          <w:tcPr>
            <w:tcW w:w="2301" w:type="pct"/>
            <w:vMerge w:val="continue"/>
            <w:shd w:val="clear" w:color="auto" w:fill="auto"/>
            <w:vAlign w:val="center"/>
          </w:tcPr>
          <w:p>
            <w:pPr>
              <w:spacing w:after="0" w:line="240" w:lineRule="auto"/>
              <w:ind w:left="0" w:firstLine="0"/>
              <w:rPr>
                <w:rFonts w:cs="Times New Roman" w:asciiTheme="minorEastAsia" w:hAnsiTheme="minorEastAsia" w:eastAsiaTheme="minorEastAsia"/>
                <w:b/>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798" w:type="pct"/>
            <w:tcBorders>
              <w:top w:val="single" w:color="auto" w:sz="6" w:space="0"/>
            </w:tcBorders>
            <w:shd w:val="clear" w:color="auto" w:fill="auto"/>
            <w:vAlign w:val="center"/>
          </w:tcPr>
          <w:p>
            <w:pPr>
              <w:spacing w:after="0" w:line="240" w:lineRule="auto"/>
              <w:ind w:left="0" w:firstLine="0"/>
              <w:jc w:val="center"/>
              <w:rPr>
                <w:rFonts w:cs="Times New Roman" w:asciiTheme="minorEastAsia" w:hAnsiTheme="minorEastAsia" w:eastAsiaTheme="minorEastAsia"/>
                <w:b/>
                <w:color w:val="auto"/>
              </w:rPr>
            </w:pPr>
            <w:r>
              <w:rPr>
                <w:rFonts w:hint="eastAsia" w:cs="Times New Roman" w:asciiTheme="minorEastAsia" w:hAnsiTheme="minorEastAsia" w:eastAsiaTheme="minorEastAsia"/>
                <w:b/>
                <w:color w:val="auto"/>
              </w:rPr>
              <w:t>责任人电话</w:t>
            </w:r>
          </w:p>
        </w:tc>
        <w:tc>
          <w:tcPr>
            <w:tcW w:w="1463" w:type="pct"/>
            <w:tcBorders>
              <w:top w:val="single" w:color="auto" w:sz="6" w:space="0"/>
            </w:tcBorders>
            <w:shd w:val="clear" w:color="auto" w:fill="auto"/>
            <w:vAlign w:val="center"/>
          </w:tcPr>
          <w:p>
            <w:pPr>
              <w:spacing w:after="0" w:line="240" w:lineRule="auto"/>
              <w:ind w:left="0" w:firstLine="0"/>
              <w:rPr>
                <w:rFonts w:cs="Times New Roman" w:asciiTheme="minorEastAsia" w:hAnsiTheme="minorEastAsia" w:eastAsiaTheme="minorEastAsia"/>
                <w:b/>
                <w:color w:val="auto"/>
                <w:szCs w:val="24"/>
              </w:rPr>
            </w:pPr>
          </w:p>
        </w:tc>
        <w:tc>
          <w:tcPr>
            <w:tcW w:w="438" w:type="pct"/>
            <w:vMerge w:val="continue"/>
            <w:shd w:val="clear" w:color="auto" w:fill="auto"/>
            <w:vAlign w:val="center"/>
          </w:tcPr>
          <w:p>
            <w:pPr>
              <w:spacing w:after="0" w:line="240" w:lineRule="auto"/>
              <w:ind w:left="0" w:firstLine="0"/>
              <w:jc w:val="center"/>
              <w:rPr>
                <w:rFonts w:cs="Times New Roman" w:asciiTheme="minorEastAsia" w:hAnsiTheme="minorEastAsia" w:eastAsiaTheme="minorEastAsia"/>
                <w:b/>
                <w:color w:val="auto"/>
                <w:szCs w:val="24"/>
              </w:rPr>
            </w:pPr>
          </w:p>
        </w:tc>
        <w:tc>
          <w:tcPr>
            <w:tcW w:w="2301" w:type="pct"/>
            <w:vMerge w:val="continue"/>
            <w:shd w:val="clear" w:color="auto" w:fill="auto"/>
            <w:vAlign w:val="center"/>
          </w:tcPr>
          <w:p>
            <w:pPr>
              <w:spacing w:after="0" w:line="240" w:lineRule="auto"/>
              <w:ind w:left="0" w:firstLine="0"/>
              <w:rPr>
                <w:rFonts w:cs="Times New Roman" w:asciiTheme="minorEastAsia" w:hAnsiTheme="minorEastAsia" w:eastAsiaTheme="minorEastAsia"/>
                <w:b/>
                <w:color w:val="auto"/>
                <w:szCs w:val="21"/>
              </w:rPr>
            </w:pPr>
          </w:p>
        </w:tc>
      </w:tr>
    </w:tbl>
    <w:p>
      <w:pPr>
        <w:spacing w:after="0" w:line="240" w:lineRule="auto"/>
        <w:ind w:left="0" w:firstLine="0"/>
        <w:rPr>
          <w:rFonts w:ascii="宋体" w:hAnsi="宋体" w:eastAsia="宋体" w:cs="Times New Roman"/>
          <w:b/>
          <w:color w:val="auto"/>
          <w:szCs w:val="24"/>
        </w:rPr>
      </w:pPr>
    </w:p>
    <w:p>
      <w:pPr>
        <w:spacing w:after="0" w:line="240" w:lineRule="auto"/>
        <w:ind w:left="0" w:firstLine="0"/>
        <w:rPr>
          <w:rFonts w:ascii="宋体" w:hAnsi="宋体" w:eastAsia="宋体" w:cs="Times New Roman"/>
          <w:b/>
          <w:color w:val="auto"/>
          <w:szCs w:val="24"/>
        </w:rPr>
      </w:pPr>
    </w:p>
    <w:p>
      <w:pPr>
        <w:spacing w:after="0" w:line="240" w:lineRule="auto"/>
        <w:ind w:left="0" w:firstLine="0"/>
        <w:rPr>
          <w:rFonts w:ascii="宋体" w:hAnsi="宋体" w:eastAsia="宋体" w:cs="Times New Roman"/>
          <w:b/>
          <w:color w:val="auto"/>
          <w:szCs w:val="24"/>
        </w:rPr>
      </w:pPr>
    </w:p>
    <w:p>
      <w:pPr>
        <w:spacing w:after="0" w:line="240" w:lineRule="auto"/>
        <w:ind w:left="0" w:firstLine="0"/>
        <w:rPr>
          <w:rFonts w:ascii="宋体" w:hAnsi="宋体" w:eastAsia="宋体" w:cs="Times New Roman"/>
          <w:b/>
          <w:color w:val="auto"/>
          <w:szCs w:val="24"/>
        </w:rPr>
      </w:pPr>
    </w:p>
    <w:p>
      <w:pPr>
        <w:spacing w:after="0" w:line="240" w:lineRule="auto"/>
        <w:ind w:left="0" w:firstLine="0"/>
        <w:rPr>
          <w:rFonts w:ascii="宋体" w:hAnsi="宋体" w:eastAsia="宋体" w:cs="Times New Roman"/>
          <w:b/>
          <w:color w:val="auto"/>
          <w:szCs w:val="24"/>
        </w:rPr>
      </w:pPr>
    </w:p>
    <w:p>
      <w:pPr>
        <w:spacing w:after="0" w:line="240" w:lineRule="auto"/>
        <w:ind w:left="0" w:firstLine="0"/>
        <w:rPr>
          <w:rFonts w:ascii="宋体" w:hAnsi="宋体" w:eastAsia="宋体" w:cs="Times New Roman"/>
          <w:b/>
          <w:color w:val="auto"/>
          <w:szCs w:val="24"/>
        </w:rPr>
      </w:pPr>
    </w:p>
    <w:p>
      <w:pPr>
        <w:spacing w:after="0" w:line="240" w:lineRule="auto"/>
        <w:ind w:left="0" w:firstLine="0"/>
        <w:rPr>
          <w:rFonts w:ascii="宋体" w:hAnsi="宋体" w:eastAsia="宋体" w:cs="Times New Roman"/>
          <w:b/>
          <w:color w:val="auto"/>
          <w:szCs w:val="24"/>
        </w:rPr>
      </w:pPr>
    </w:p>
    <w:p>
      <w:pPr>
        <w:spacing w:after="0" w:line="240" w:lineRule="auto"/>
        <w:ind w:left="0" w:firstLine="0"/>
        <w:rPr>
          <w:rFonts w:ascii="宋体" w:hAnsi="宋体" w:eastAsia="宋体" w:cs="Times New Roman"/>
          <w:b/>
          <w:color w:val="auto"/>
          <w:szCs w:val="24"/>
        </w:rPr>
      </w:pPr>
    </w:p>
    <w:p>
      <w:pPr>
        <w:spacing w:after="0" w:line="240" w:lineRule="auto"/>
        <w:ind w:left="0" w:firstLine="0"/>
        <w:rPr>
          <w:rFonts w:ascii="宋体" w:hAnsi="宋体" w:eastAsia="宋体" w:cs="Times New Roman"/>
          <w:b/>
          <w:color w:val="auto"/>
          <w:szCs w:val="24"/>
        </w:rPr>
      </w:pPr>
    </w:p>
    <w:tbl>
      <w:tblPr>
        <w:tblStyle w:val="30"/>
        <w:tblpPr w:leftFromText="180" w:rightFromText="180" w:vertAnchor="text" w:horzAnchor="margin" w:tblpXSpec="center" w:tblpY="19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1"/>
        <w:gridCol w:w="4147"/>
        <w:gridCol w:w="1800"/>
        <w:gridCol w:w="5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2261" w:type="dxa"/>
            <w:shd w:val="clear" w:color="auto" w:fill="auto"/>
            <w:vAlign w:val="center"/>
          </w:tcPr>
          <w:p>
            <w:pPr>
              <w:spacing w:line="400" w:lineRule="exact"/>
              <w:jc w:val="center"/>
              <w:rPr>
                <w:rFonts w:cs="Times New Roman" w:asciiTheme="minorEastAsia" w:hAnsiTheme="minorEastAsia" w:eastAsiaTheme="minorEastAsia"/>
                <w:b/>
                <w:color w:val="auto"/>
              </w:rPr>
            </w:pPr>
            <w:r>
              <w:rPr>
                <w:rFonts w:cs="Times New Roman" w:asciiTheme="minorEastAsia" w:hAnsiTheme="minorEastAsia" w:eastAsiaTheme="minorEastAsia"/>
                <w:b/>
                <w:color w:val="auto"/>
              </w:rPr>
              <w:t>风险点名称</w:t>
            </w:r>
          </w:p>
        </w:tc>
        <w:tc>
          <w:tcPr>
            <w:tcW w:w="4147" w:type="dxa"/>
            <w:shd w:val="clear" w:color="auto" w:fill="auto"/>
            <w:vAlign w:val="center"/>
          </w:tcPr>
          <w:p>
            <w:pPr>
              <w:spacing w:line="400" w:lineRule="exact"/>
              <w:jc w:val="center"/>
              <w:rPr>
                <w:rFonts w:cs="Times New Roman" w:asciiTheme="minorEastAsia" w:hAnsiTheme="minorEastAsia" w:eastAsiaTheme="minorEastAsia"/>
                <w:b/>
                <w:color w:val="auto"/>
                <w:szCs w:val="24"/>
              </w:rPr>
            </w:pPr>
            <w:r>
              <w:rPr>
                <w:rFonts w:hint="eastAsia" w:cs="Times New Roman" w:asciiTheme="minorEastAsia" w:hAnsiTheme="minorEastAsia" w:eastAsiaTheme="minorEastAsia"/>
                <w:b/>
                <w:color w:val="auto"/>
                <w:szCs w:val="24"/>
              </w:rPr>
              <w:t>污</w:t>
            </w:r>
            <w:r>
              <w:rPr>
                <w:rFonts w:cs="Times New Roman" w:asciiTheme="minorEastAsia" w:hAnsiTheme="minorEastAsia" w:eastAsiaTheme="minorEastAsia"/>
                <w:b/>
                <w:color w:val="auto"/>
                <w:szCs w:val="24"/>
              </w:rPr>
              <w:t>水泵房</w:t>
            </w:r>
          </w:p>
        </w:tc>
        <w:tc>
          <w:tcPr>
            <w:tcW w:w="1800" w:type="dxa"/>
            <w:vMerge w:val="restart"/>
            <w:shd w:val="clear" w:color="auto" w:fill="auto"/>
            <w:vAlign w:val="center"/>
          </w:tcPr>
          <w:p>
            <w:pPr>
              <w:spacing w:after="0" w:line="240" w:lineRule="auto"/>
              <w:ind w:left="0" w:firstLine="0"/>
              <w:jc w:val="center"/>
              <w:rPr>
                <w:rFonts w:cs="Times New Roman" w:asciiTheme="minorEastAsia" w:hAnsiTheme="minorEastAsia" w:eastAsiaTheme="minorEastAsia"/>
                <w:b/>
                <w:color w:val="auto"/>
                <w:szCs w:val="24"/>
              </w:rPr>
            </w:pPr>
            <w:r>
              <w:rPr>
                <w:rFonts w:cs="Times New Roman" w:asciiTheme="minorEastAsia" w:hAnsiTheme="minorEastAsia" w:eastAsiaTheme="minorEastAsia"/>
                <w:b/>
                <w:color w:val="auto"/>
                <w:szCs w:val="24"/>
              </w:rPr>
              <w:t>致险因素描述</w:t>
            </w:r>
          </w:p>
        </w:tc>
        <w:tc>
          <w:tcPr>
            <w:tcW w:w="5966" w:type="dxa"/>
            <w:vMerge w:val="restart"/>
            <w:shd w:val="clear" w:color="auto" w:fill="auto"/>
            <w:vAlign w:val="center"/>
          </w:tcPr>
          <w:p>
            <w:pPr>
              <w:spacing w:after="0" w:line="360" w:lineRule="exact"/>
              <w:ind w:left="0" w:firstLine="0"/>
              <w:rPr>
                <w:rFonts w:cs="Times New Roman" w:asciiTheme="minorEastAsia" w:hAnsiTheme="minorEastAsia" w:eastAsiaTheme="minorEastAsia"/>
                <w:b/>
                <w:color w:val="auto"/>
                <w:sz w:val="22"/>
                <w:szCs w:val="21"/>
              </w:rPr>
            </w:pPr>
            <w:r>
              <w:rPr>
                <w:rFonts w:cs="Times New Roman" w:asciiTheme="minorEastAsia" w:hAnsiTheme="minorEastAsia" w:eastAsiaTheme="minorEastAsia"/>
                <w:b/>
                <w:color w:val="auto"/>
                <w:sz w:val="22"/>
                <w:szCs w:val="21"/>
              </w:rPr>
              <w:t>1.电气作业人员未持证上岗；</w:t>
            </w:r>
          </w:p>
          <w:p>
            <w:pPr>
              <w:spacing w:after="0" w:line="360" w:lineRule="exact"/>
              <w:ind w:left="0" w:firstLine="0"/>
              <w:rPr>
                <w:rFonts w:cs="Times New Roman" w:asciiTheme="minorEastAsia" w:hAnsiTheme="minorEastAsia" w:eastAsiaTheme="minorEastAsia"/>
                <w:b/>
                <w:color w:val="auto"/>
                <w:sz w:val="22"/>
                <w:szCs w:val="21"/>
              </w:rPr>
            </w:pPr>
            <w:r>
              <w:rPr>
                <w:rFonts w:cs="Times New Roman" w:asciiTheme="minorEastAsia" w:hAnsiTheme="minorEastAsia" w:eastAsiaTheme="minorEastAsia"/>
                <w:b/>
                <w:color w:val="auto"/>
                <w:sz w:val="22"/>
                <w:szCs w:val="21"/>
              </w:rPr>
              <w:t>2.试验、检维修作业未遵守安全操作规程；</w:t>
            </w:r>
          </w:p>
          <w:p>
            <w:pPr>
              <w:spacing w:after="0" w:line="360" w:lineRule="exact"/>
              <w:ind w:left="0" w:firstLine="0"/>
              <w:rPr>
                <w:rFonts w:cs="Times New Roman" w:asciiTheme="minorEastAsia" w:hAnsiTheme="minorEastAsia" w:eastAsiaTheme="minorEastAsia"/>
                <w:b/>
                <w:color w:val="auto"/>
                <w:sz w:val="22"/>
                <w:szCs w:val="21"/>
              </w:rPr>
            </w:pPr>
            <w:r>
              <w:rPr>
                <w:rFonts w:cs="Times New Roman" w:asciiTheme="minorEastAsia" w:hAnsiTheme="minorEastAsia" w:eastAsiaTheme="minorEastAsia"/>
                <w:b/>
                <w:color w:val="auto"/>
                <w:sz w:val="22"/>
                <w:szCs w:val="21"/>
              </w:rPr>
              <w:t>3.检修工具及劳动防护用品有缺陷；</w:t>
            </w:r>
          </w:p>
          <w:p>
            <w:pPr>
              <w:spacing w:after="0" w:line="360" w:lineRule="exact"/>
              <w:ind w:left="0" w:firstLine="0"/>
              <w:rPr>
                <w:rFonts w:cs="Times New Roman" w:asciiTheme="minorEastAsia" w:hAnsiTheme="minorEastAsia" w:eastAsiaTheme="minorEastAsia"/>
                <w:b/>
                <w:color w:val="auto"/>
                <w:sz w:val="22"/>
                <w:szCs w:val="21"/>
              </w:rPr>
            </w:pPr>
            <w:r>
              <w:rPr>
                <w:rFonts w:cs="Times New Roman" w:asciiTheme="minorEastAsia" w:hAnsiTheme="minorEastAsia" w:eastAsiaTheme="minorEastAsia"/>
                <w:b/>
                <w:color w:val="auto"/>
                <w:sz w:val="22"/>
                <w:szCs w:val="21"/>
              </w:rPr>
              <w:t>4.通风不良。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2261" w:type="dxa"/>
            <w:tcBorders>
              <w:bottom w:val="single" w:color="auto" w:sz="4" w:space="0"/>
            </w:tcBorders>
            <w:shd w:val="clear" w:color="auto" w:fill="auto"/>
            <w:vAlign w:val="center"/>
          </w:tcPr>
          <w:p>
            <w:pPr>
              <w:spacing w:line="400" w:lineRule="exact"/>
              <w:jc w:val="center"/>
              <w:rPr>
                <w:rFonts w:cs="Times New Roman" w:asciiTheme="minorEastAsia" w:hAnsiTheme="minorEastAsia" w:eastAsiaTheme="minorEastAsia"/>
                <w:b/>
                <w:color w:val="auto"/>
              </w:rPr>
            </w:pPr>
            <w:r>
              <w:rPr>
                <w:rFonts w:cs="Times New Roman" w:asciiTheme="minorEastAsia" w:hAnsiTheme="minorEastAsia" w:eastAsiaTheme="minorEastAsia"/>
                <w:b/>
                <w:color w:val="auto"/>
              </w:rPr>
              <w:t>风险等级</w:t>
            </w:r>
          </w:p>
        </w:tc>
        <w:tc>
          <w:tcPr>
            <w:tcW w:w="4147" w:type="dxa"/>
            <w:shd w:val="clear" w:color="auto" w:fill="0000FF"/>
            <w:vAlign w:val="center"/>
          </w:tcPr>
          <w:p>
            <w:pPr>
              <w:spacing w:line="400" w:lineRule="exact"/>
              <w:jc w:val="center"/>
              <w:rPr>
                <w:rFonts w:cs="Times New Roman" w:asciiTheme="minorEastAsia" w:hAnsiTheme="minorEastAsia" w:eastAsiaTheme="minorEastAsia"/>
                <w:b/>
                <w:color w:val="auto"/>
                <w:szCs w:val="24"/>
              </w:rPr>
            </w:pPr>
            <w:r>
              <w:rPr>
                <w:rFonts w:hint="eastAsia" w:cs="Times New Roman" w:asciiTheme="minorEastAsia" w:hAnsiTheme="minorEastAsia" w:eastAsiaTheme="minorEastAsia"/>
                <w:b/>
                <w:color w:val="auto"/>
                <w:szCs w:val="24"/>
              </w:rPr>
              <w:t>低风险</w:t>
            </w:r>
          </w:p>
        </w:tc>
        <w:tc>
          <w:tcPr>
            <w:tcW w:w="1800" w:type="dxa"/>
            <w:vMerge w:val="continue"/>
            <w:shd w:val="clear" w:color="auto" w:fill="auto"/>
            <w:vAlign w:val="center"/>
          </w:tcPr>
          <w:p>
            <w:pPr>
              <w:spacing w:after="0" w:line="240" w:lineRule="auto"/>
              <w:ind w:left="0" w:firstLine="0"/>
              <w:jc w:val="center"/>
              <w:rPr>
                <w:rFonts w:cs="Times New Roman" w:asciiTheme="minorEastAsia" w:hAnsiTheme="minorEastAsia" w:eastAsiaTheme="minorEastAsia"/>
                <w:b/>
                <w:color w:val="auto"/>
                <w:szCs w:val="24"/>
              </w:rPr>
            </w:pPr>
          </w:p>
        </w:tc>
        <w:tc>
          <w:tcPr>
            <w:tcW w:w="5966" w:type="dxa"/>
            <w:vMerge w:val="continue"/>
            <w:shd w:val="clear" w:color="auto" w:fill="auto"/>
            <w:vAlign w:val="center"/>
          </w:tcPr>
          <w:p>
            <w:pPr>
              <w:spacing w:after="0" w:line="360" w:lineRule="exact"/>
              <w:ind w:left="0" w:firstLine="0"/>
              <w:rPr>
                <w:rFonts w:cs="Times New Roman" w:asciiTheme="minorEastAsia" w:hAnsiTheme="minorEastAsia" w:eastAsiaTheme="minorEastAsia"/>
                <w:b/>
                <w:color w:val="auto"/>
                <w:sz w:val="2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2261" w:type="dxa"/>
            <w:tcBorders>
              <w:bottom w:val="single" w:color="auto" w:sz="4" w:space="0"/>
            </w:tcBorders>
            <w:shd w:val="clear" w:color="auto" w:fill="auto"/>
            <w:vAlign w:val="center"/>
          </w:tcPr>
          <w:p>
            <w:pPr>
              <w:spacing w:line="400" w:lineRule="exact"/>
              <w:jc w:val="center"/>
              <w:rPr>
                <w:rFonts w:cs="Times New Roman" w:asciiTheme="minorEastAsia" w:hAnsiTheme="minorEastAsia" w:eastAsiaTheme="minorEastAsia"/>
                <w:b/>
                <w:color w:val="auto"/>
              </w:rPr>
            </w:pPr>
            <w:r>
              <w:rPr>
                <w:rFonts w:cs="Times New Roman" w:asciiTheme="minorEastAsia" w:hAnsiTheme="minorEastAsia" w:eastAsiaTheme="minorEastAsia"/>
                <w:b/>
                <w:color w:val="auto"/>
              </w:rPr>
              <w:t>事故类型</w:t>
            </w:r>
          </w:p>
        </w:tc>
        <w:tc>
          <w:tcPr>
            <w:tcW w:w="4147" w:type="dxa"/>
            <w:shd w:val="clear" w:color="auto" w:fill="auto"/>
            <w:vAlign w:val="center"/>
          </w:tcPr>
          <w:p>
            <w:pPr>
              <w:spacing w:line="400" w:lineRule="exact"/>
              <w:jc w:val="center"/>
              <w:rPr>
                <w:rFonts w:cs="Times New Roman" w:asciiTheme="minorEastAsia" w:hAnsiTheme="minorEastAsia" w:eastAsiaTheme="minorEastAsia"/>
                <w:b/>
                <w:color w:val="auto"/>
                <w:szCs w:val="24"/>
              </w:rPr>
            </w:pPr>
            <w:r>
              <w:rPr>
                <w:rFonts w:cs="Times New Roman" w:asciiTheme="minorEastAsia" w:hAnsiTheme="minorEastAsia" w:eastAsiaTheme="minorEastAsia"/>
                <w:b/>
                <w:color w:val="auto"/>
                <w:szCs w:val="24"/>
              </w:rPr>
              <w:t>触电 中毒窒息 机械伤害</w:t>
            </w:r>
          </w:p>
        </w:tc>
        <w:tc>
          <w:tcPr>
            <w:tcW w:w="1800" w:type="dxa"/>
            <w:vMerge w:val="continue"/>
            <w:shd w:val="clear" w:color="auto" w:fill="auto"/>
            <w:vAlign w:val="center"/>
          </w:tcPr>
          <w:p>
            <w:pPr>
              <w:spacing w:after="0" w:line="240" w:lineRule="auto"/>
              <w:ind w:left="0" w:firstLine="0"/>
              <w:jc w:val="center"/>
              <w:rPr>
                <w:rFonts w:cs="Times New Roman" w:asciiTheme="minorEastAsia" w:hAnsiTheme="minorEastAsia" w:eastAsiaTheme="minorEastAsia"/>
                <w:b/>
                <w:color w:val="auto"/>
                <w:szCs w:val="24"/>
              </w:rPr>
            </w:pPr>
          </w:p>
        </w:tc>
        <w:tc>
          <w:tcPr>
            <w:tcW w:w="5966" w:type="dxa"/>
            <w:vMerge w:val="continue"/>
            <w:shd w:val="clear" w:color="auto" w:fill="auto"/>
            <w:vAlign w:val="center"/>
          </w:tcPr>
          <w:p>
            <w:pPr>
              <w:spacing w:after="0" w:line="360" w:lineRule="exact"/>
              <w:ind w:left="0" w:firstLine="0"/>
              <w:rPr>
                <w:rFonts w:cs="Times New Roman" w:asciiTheme="minorEastAsia" w:hAnsiTheme="minorEastAsia" w:eastAsiaTheme="minorEastAsia"/>
                <w:b/>
                <w:color w:val="auto"/>
                <w:sz w:val="2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1" w:hRule="atLeast"/>
        </w:trPr>
        <w:tc>
          <w:tcPr>
            <w:tcW w:w="6408" w:type="dxa"/>
            <w:gridSpan w:val="2"/>
            <w:tcBorders>
              <w:bottom w:val="single" w:color="auto" w:sz="6" w:space="0"/>
            </w:tcBorders>
            <w:shd w:val="clear" w:color="auto" w:fill="auto"/>
            <w:vAlign w:val="center"/>
          </w:tcPr>
          <w:p>
            <w:pPr>
              <w:widowControl w:val="0"/>
              <w:spacing w:after="0" w:line="360" w:lineRule="exact"/>
              <w:ind w:left="0" w:firstLine="0"/>
              <w:jc w:val="center"/>
              <w:rPr>
                <w:rFonts w:ascii="宋体" w:hAnsi="宋体" w:eastAsia="宋体" w:cs="Times New Roman"/>
                <w:b/>
                <w:color w:val="auto"/>
                <w:sz w:val="21"/>
                <w:szCs w:val="21"/>
              </w:rPr>
            </w:pPr>
            <w:r>
              <w:rPr>
                <w:rFonts w:hint="eastAsia" w:ascii="宋体" w:hAnsi="宋体" w:eastAsia="宋体" w:cs="Times New Roman"/>
                <w:b/>
                <w:color w:val="auto"/>
                <w:sz w:val="21"/>
                <w:szCs w:val="21"/>
              </w:rPr>
              <w:t>安全标志</w:t>
            </w:r>
          </w:p>
          <w:p>
            <w:pPr>
              <w:spacing w:line="360" w:lineRule="auto"/>
              <w:jc w:val="center"/>
              <w:rPr>
                <w:rFonts w:ascii="Times New Roman" w:hAnsi="Times New Roman" w:eastAsia="宋体" w:cs="Times New Roman"/>
                <w:b/>
                <w:color w:val="auto"/>
                <w:szCs w:val="24"/>
              </w:rPr>
            </w:pPr>
            <w:r>
              <w:rPr>
                <w:rFonts w:ascii="Times New Roman" w:hAnsi="Times New Roman" w:eastAsia="宋体" w:cs="Times New Roman"/>
                <w:color w:val="auto"/>
                <w:szCs w:val="24"/>
              </w:rPr>
              <w:drawing>
                <wp:inline distT="0" distB="0" distL="0" distR="0">
                  <wp:extent cx="979805" cy="1175385"/>
                  <wp:effectExtent l="0" t="0" r="0"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979805" cy="1175385"/>
                          </a:xfrm>
                          <a:prstGeom prst="rect">
                            <a:avLst/>
                          </a:prstGeom>
                          <a:noFill/>
                          <a:ln>
                            <a:noFill/>
                          </a:ln>
                        </pic:spPr>
                      </pic:pic>
                    </a:graphicData>
                  </a:graphic>
                </wp:inline>
              </w:drawing>
            </w:r>
            <w:r>
              <w:rPr>
                <w:rFonts w:ascii="Times New Roman" w:hAnsi="Times New Roman" w:eastAsia="宋体" w:cs="Times New Roman"/>
                <w:b/>
                <w:color w:val="auto"/>
                <w:szCs w:val="24"/>
              </w:rPr>
              <w:t xml:space="preserve"> </w:t>
            </w:r>
            <w:r>
              <w:rPr>
                <w:color w:val="auto"/>
              </w:rPr>
              <w:drawing>
                <wp:inline distT="0" distB="0" distL="0" distR="0">
                  <wp:extent cx="929640" cy="1208405"/>
                  <wp:effectExtent l="0" t="0" r="381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5" cstate="print"/>
                          <a:stretch>
                            <a:fillRect/>
                          </a:stretch>
                        </pic:blipFill>
                        <pic:spPr>
                          <a:xfrm>
                            <a:off x="0" y="0"/>
                            <a:ext cx="948109" cy="1232542"/>
                          </a:xfrm>
                          <a:prstGeom prst="rect">
                            <a:avLst/>
                          </a:prstGeom>
                        </pic:spPr>
                      </pic:pic>
                    </a:graphicData>
                  </a:graphic>
                </wp:inline>
              </w:drawing>
            </w:r>
            <w:r>
              <w:rPr>
                <w:rFonts w:ascii="Times New Roman" w:hAnsi="Times New Roman" w:eastAsia="宋体" w:cs="Times New Roman"/>
                <w:color w:val="auto"/>
                <w:szCs w:val="24"/>
              </w:rPr>
              <w:drawing>
                <wp:inline distT="0" distB="0" distL="0" distR="0">
                  <wp:extent cx="914400" cy="1175385"/>
                  <wp:effectExtent l="0" t="0" r="0" b="57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914400" cy="1175385"/>
                          </a:xfrm>
                          <a:prstGeom prst="rect">
                            <a:avLst/>
                          </a:prstGeom>
                          <a:noFill/>
                          <a:ln>
                            <a:noFill/>
                          </a:ln>
                        </pic:spPr>
                      </pic:pic>
                    </a:graphicData>
                  </a:graphic>
                </wp:inline>
              </w:drawing>
            </w:r>
            <w:r>
              <w:rPr>
                <w:rFonts w:ascii="Times New Roman" w:hAnsi="Times New Roman" w:eastAsia="宋体" w:cs="Times New Roman"/>
                <w:b/>
                <w:color w:val="auto"/>
                <w:szCs w:val="24"/>
              </w:rPr>
              <w:t xml:space="preserve"> </w:t>
            </w:r>
          </w:p>
        </w:tc>
        <w:tc>
          <w:tcPr>
            <w:tcW w:w="1800" w:type="dxa"/>
            <w:tcBorders>
              <w:bottom w:val="single" w:color="auto" w:sz="6" w:space="0"/>
            </w:tcBorders>
            <w:shd w:val="clear" w:color="auto" w:fill="auto"/>
            <w:vAlign w:val="center"/>
          </w:tcPr>
          <w:p>
            <w:pPr>
              <w:spacing w:after="0" w:line="240" w:lineRule="auto"/>
              <w:ind w:left="0" w:firstLine="0"/>
              <w:jc w:val="center"/>
              <w:rPr>
                <w:rFonts w:cs="Times New Roman" w:asciiTheme="minorEastAsia" w:hAnsiTheme="minorEastAsia" w:eastAsiaTheme="minorEastAsia"/>
                <w:b/>
                <w:color w:val="auto"/>
                <w:szCs w:val="24"/>
              </w:rPr>
            </w:pPr>
            <w:r>
              <w:rPr>
                <w:rFonts w:cs="Times New Roman" w:asciiTheme="minorEastAsia" w:hAnsiTheme="minorEastAsia" w:eastAsiaTheme="minorEastAsia"/>
                <w:b/>
                <w:color w:val="auto"/>
                <w:szCs w:val="24"/>
              </w:rPr>
              <w:t>风险管控措施</w:t>
            </w:r>
          </w:p>
        </w:tc>
        <w:tc>
          <w:tcPr>
            <w:tcW w:w="5966" w:type="dxa"/>
            <w:tcBorders>
              <w:bottom w:val="single" w:color="auto" w:sz="4" w:space="0"/>
            </w:tcBorders>
            <w:shd w:val="clear" w:color="auto" w:fill="auto"/>
            <w:vAlign w:val="center"/>
          </w:tcPr>
          <w:p>
            <w:pPr>
              <w:spacing w:after="0" w:line="360" w:lineRule="exact"/>
              <w:ind w:left="0" w:firstLine="0"/>
              <w:rPr>
                <w:rFonts w:cs="Times New Roman" w:asciiTheme="minorEastAsia" w:hAnsiTheme="minorEastAsia" w:eastAsiaTheme="minorEastAsia"/>
                <w:b/>
                <w:color w:val="auto"/>
                <w:sz w:val="22"/>
                <w:szCs w:val="21"/>
              </w:rPr>
            </w:pPr>
            <w:r>
              <w:rPr>
                <w:rFonts w:cs="Times New Roman" w:asciiTheme="minorEastAsia" w:hAnsiTheme="minorEastAsia" w:eastAsiaTheme="minorEastAsia"/>
                <w:b/>
                <w:color w:val="auto"/>
                <w:sz w:val="22"/>
                <w:szCs w:val="21"/>
              </w:rPr>
              <w:t>1.电气作业人员必须持证上岗；</w:t>
            </w:r>
          </w:p>
          <w:p>
            <w:pPr>
              <w:spacing w:after="0" w:line="360" w:lineRule="exact"/>
              <w:ind w:left="0" w:firstLine="0"/>
              <w:rPr>
                <w:rFonts w:cs="Times New Roman" w:asciiTheme="minorEastAsia" w:hAnsiTheme="minorEastAsia" w:eastAsiaTheme="minorEastAsia"/>
                <w:b/>
                <w:color w:val="auto"/>
                <w:sz w:val="22"/>
                <w:szCs w:val="21"/>
              </w:rPr>
            </w:pPr>
            <w:r>
              <w:rPr>
                <w:rFonts w:cs="Times New Roman" w:asciiTheme="minorEastAsia" w:hAnsiTheme="minorEastAsia" w:eastAsiaTheme="minorEastAsia"/>
                <w:b/>
                <w:color w:val="auto"/>
                <w:sz w:val="22"/>
                <w:szCs w:val="21"/>
              </w:rPr>
              <w:t>2.作业人员须接受岗前安全教育，熟知岗位危险源及防范措施；</w:t>
            </w:r>
          </w:p>
          <w:p>
            <w:pPr>
              <w:spacing w:after="0" w:line="360" w:lineRule="exact"/>
              <w:ind w:left="0" w:firstLine="0"/>
              <w:rPr>
                <w:rFonts w:cs="Times New Roman" w:asciiTheme="minorEastAsia" w:hAnsiTheme="minorEastAsia" w:eastAsiaTheme="minorEastAsia"/>
                <w:b/>
                <w:color w:val="auto"/>
                <w:sz w:val="22"/>
                <w:szCs w:val="21"/>
              </w:rPr>
            </w:pPr>
            <w:r>
              <w:rPr>
                <w:rFonts w:cs="Times New Roman" w:asciiTheme="minorEastAsia" w:hAnsiTheme="minorEastAsia" w:eastAsiaTheme="minorEastAsia"/>
                <w:b/>
                <w:color w:val="auto"/>
                <w:sz w:val="22"/>
                <w:szCs w:val="21"/>
              </w:rPr>
              <w:t>3.检修工具及劳动防护用品应合格且在检验有效期内；</w:t>
            </w:r>
          </w:p>
          <w:p>
            <w:pPr>
              <w:spacing w:after="0" w:line="360" w:lineRule="exact"/>
              <w:ind w:left="0" w:firstLine="0"/>
              <w:rPr>
                <w:rFonts w:cs="Times New Roman" w:asciiTheme="minorEastAsia" w:hAnsiTheme="minorEastAsia" w:eastAsiaTheme="minorEastAsia"/>
                <w:b/>
                <w:color w:val="auto"/>
                <w:sz w:val="22"/>
                <w:szCs w:val="21"/>
              </w:rPr>
            </w:pPr>
            <w:r>
              <w:rPr>
                <w:rFonts w:cs="Times New Roman" w:asciiTheme="minorEastAsia" w:hAnsiTheme="minorEastAsia" w:eastAsiaTheme="minorEastAsia"/>
                <w:b/>
                <w:color w:val="auto"/>
                <w:sz w:val="22"/>
                <w:szCs w:val="21"/>
              </w:rPr>
              <w:t>4.污水泵房应确保通风良好。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trPr>
        <w:tc>
          <w:tcPr>
            <w:tcW w:w="2261" w:type="dxa"/>
            <w:tcBorders>
              <w:top w:val="single" w:color="auto" w:sz="6" w:space="0"/>
            </w:tcBorders>
            <w:shd w:val="clear" w:color="auto" w:fill="auto"/>
            <w:vAlign w:val="center"/>
          </w:tcPr>
          <w:p>
            <w:pPr>
              <w:spacing w:line="400" w:lineRule="exact"/>
              <w:jc w:val="center"/>
              <w:rPr>
                <w:rFonts w:cs="Times New Roman" w:asciiTheme="minorEastAsia" w:hAnsiTheme="minorEastAsia" w:eastAsiaTheme="minorEastAsia"/>
                <w:b/>
                <w:color w:val="auto"/>
              </w:rPr>
            </w:pPr>
            <w:r>
              <w:rPr>
                <w:rFonts w:cs="Times New Roman" w:asciiTheme="minorEastAsia" w:hAnsiTheme="minorEastAsia" w:eastAsiaTheme="minorEastAsia"/>
                <w:b/>
                <w:color w:val="auto"/>
              </w:rPr>
              <w:t>责任部门</w:t>
            </w:r>
          </w:p>
        </w:tc>
        <w:tc>
          <w:tcPr>
            <w:tcW w:w="4147" w:type="dxa"/>
            <w:tcBorders>
              <w:top w:val="single" w:color="auto" w:sz="6" w:space="0"/>
            </w:tcBorders>
            <w:shd w:val="clear" w:color="auto" w:fill="auto"/>
            <w:vAlign w:val="center"/>
          </w:tcPr>
          <w:p>
            <w:pPr>
              <w:jc w:val="center"/>
              <w:rPr>
                <w:rFonts w:ascii="Times New Roman" w:hAnsi="Times New Roman" w:eastAsia="宋体" w:cs="Times New Roman"/>
                <w:b/>
                <w:color w:val="auto"/>
              </w:rPr>
            </w:pPr>
          </w:p>
        </w:tc>
        <w:tc>
          <w:tcPr>
            <w:tcW w:w="1800" w:type="dxa"/>
            <w:vMerge w:val="restart"/>
            <w:tcBorders>
              <w:top w:val="single" w:color="auto" w:sz="6" w:space="0"/>
            </w:tcBorders>
            <w:shd w:val="clear" w:color="auto" w:fill="auto"/>
            <w:vAlign w:val="center"/>
          </w:tcPr>
          <w:p>
            <w:pPr>
              <w:spacing w:after="0" w:line="240" w:lineRule="auto"/>
              <w:ind w:left="0" w:firstLine="0"/>
              <w:jc w:val="center"/>
              <w:rPr>
                <w:rFonts w:cs="Times New Roman" w:asciiTheme="minorEastAsia" w:hAnsiTheme="minorEastAsia" w:eastAsiaTheme="minorEastAsia"/>
                <w:b/>
                <w:color w:val="auto"/>
                <w:szCs w:val="24"/>
              </w:rPr>
            </w:pPr>
            <w:r>
              <w:rPr>
                <w:rFonts w:cs="Times New Roman" w:asciiTheme="minorEastAsia" w:hAnsiTheme="minorEastAsia" w:eastAsiaTheme="minorEastAsia"/>
                <w:b/>
                <w:color w:val="auto"/>
                <w:szCs w:val="24"/>
              </w:rPr>
              <w:t>应急处置措施</w:t>
            </w:r>
          </w:p>
        </w:tc>
        <w:tc>
          <w:tcPr>
            <w:tcW w:w="5966" w:type="dxa"/>
            <w:vMerge w:val="restart"/>
            <w:tcBorders>
              <w:top w:val="single" w:color="auto" w:sz="6" w:space="0"/>
            </w:tcBorders>
            <w:shd w:val="clear" w:color="auto" w:fill="auto"/>
            <w:vAlign w:val="center"/>
          </w:tcPr>
          <w:p>
            <w:pPr>
              <w:spacing w:after="0" w:line="360" w:lineRule="exact"/>
              <w:ind w:left="0" w:firstLine="0"/>
              <w:rPr>
                <w:rFonts w:cs="Times New Roman" w:asciiTheme="minorEastAsia" w:hAnsiTheme="minorEastAsia" w:eastAsiaTheme="minorEastAsia"/>
                <w:b/>
                <w:color w:val="auto"/>
                <w:sz w:val="22"/>
                <w:szCs w:val="21"/>
              </w:rPr>
            </w:pPr>
            <w:r>
              <w:rPr>
                <w:rFonts w:cs="Times New Roman" w:asciiTheme="minorEastAsia" w:hAnsiTheme="minorEastAsia" w:eastAsiaTheme="minorEastAsia"/>
                <w:b/>
                <w:color w:val="auto"/>
                <w:sz w:val="22"/>
                <w:szCs w:val="21"/>
              </w:rPr>
              <w:t>1.触电时应迅速切断电源，或者用绝缘物体挑开电线或带电物体，使伤者尽快脱离电源，将伤者移至安全地带；</w:t>
            </w:r>
          </w:p>
          <w:p>
            <w:pPr>
              <w:spacing w:after="0" w:line="360" w:lineRule="exact"/>
              <w:ind w:left="0" w:firstLine="0"/>
              <w:rPr>
                <w:rFonts w:cs="Times New Roman" w:asciiTheme="minorEastAsia" w:hAnsiTheme="minorEastAsia" w:eastAsiaTheme="minorEastAsia"/>
                <w:b/>
                <w:color w:val="auto"/>
                <w:sz w:val="22"/>
                <w:szCs w:val="21"/>
              </w:rPr>
            </w:pPr>
            <w:r>
              <w:rPr>
                <w:rFonts w:cs="Times New Roman" w:asciiTheme="minorEastAsia" w:hAnsiTheme="minorEastAsia" w:eastAsiaTheme="minorEastAsia"/>
                <w:b/>
                <w:color w:val="auto"/>
                <w:sz w:val="22"/>
                <w:szCs w:val="21"/>
              </w:rPr>
              <w:t>2.有人员发生中毒窒息后，应先通风、佩戴好防护用品后方可进入，不得盲目施救；</w:t>
            </w:r>
          </w:p>
          <w:p>
            <w:pPr>
              <w:spacing w:after="0" w:line="360" w:lineRule="exact"/>
              <w:ind w:left="0" w:firstLine="0"/>
              <w:rPr>
                <w:rFonts w:cs="Times New Roman" w:asciiTheme="minorEastAsia" w:hAnsiTheme="minorEastAsia" w:eastAsiaTheme="minorEastAsia"/>
                <w:b/>
                <w:color w:val="auto"/>
                <w:sz w:val="22"/>
                <w:szCs w:val="21"/>
              </w:rPr>
            </w:pPr>
            <w:r>
              <w:rPr>
                <w:rFonts w:cs="Times New Roman" w:asciiTheme="minorEastAsia" w:hAnsiTheme="minorEastAsia" w:eastAsiaTheme="minorEastAsia"/>
                <w:b/>
                <w:color w:val="auto"/>
                <w:sz w:val="22"/>
                <w:szCs w:val="21"/>
              </w:rPr>
              <w:t>3.按预案及信息报告流程向上级报告，拨打120等急救电话。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trPr>
        <w:tc>
          <w:tcPr>
            <w:tcW w:w="2261" w:type="dxa"/>
            <w:tcBorders>
              <w:top w:val="single" w:color="auto" w:sz="6" w:space="0"/>
            </w:tcBorders>
            <w:shd w:val="clear" w:color="auto" w:fill="auto"/>
            <w:vAlign w:val="center"/>
          </w:tcPr>
          <w:p>
            <w:pPr>
              <w:spacing w:line="400" w:lineRule="exact"/>
              <w:jc w:val="center"/>
              <w:rPr>
                <w:rFonts w:cs="Times New Roman" w:asciiTheme="minorEastAsia" w:hAnsiTheme="minorEastAsia" w:eastAsiaTheme="minorEastAsia"/>
                <w:b/>
                <w:color w:val="auto"/>
              </w:rPr>
            </w:pPr>
            <w:r>
              <w:rPr>
                <w:rFonts w:cs="Times New Roman" w:asciiTheme="minorEastAsia" w:hAnsiTheme="minorEastAsia" w:eastAsiaTheme="minorEastAsia"/>
                <w:b/>
                <w:color w:val="auto"/>
              </w:rPr>
              <w:t>责任人</w:t>
            </w:r>
          </w:p>
        </w:tc>
        <w:tc>
          <w:tcPr>
            <w:tcW w:w="4147" w:type="dxa"/>
            <w:tcBorders>
              <w:top w:val="single" w:color="auto" w:sz="6" w:space="0"/>
            </w:tcBorders>
            <w:shd w:val="clear" w:color="auto" w:fill="auto"/>
            <w:vAlign w:val="center"/>
          </w:tcPr>
          <w:p>
            <w:pPr>
              <w:jc w:val="center"/>
              <w:rPr>
                <w:rFonts w:ascii="Times New Roman" w:hAnsi="Times New Roman" w:eastAsia="宋体" w:cs="Times New Roman"/>
                <w:b/>
                <w:color w:val="auto"/>
              </w:rPr>
            </w:pPr>
          </w:p>
        </w:tc>
        <w:tc>
          <w:tcPr>
            <w:tcW w:w="1800" w:type="dxa"/>
            <w:vMerge w:val="continue"/>
            <w:shd w:val="clear" w:color="auto" w:fill="auto"/>
            <w:vAlign w:val="center"/>
          </w:tcPr>
          <w:p>
            <w:pPr>
              <w:spacing w:line="360" w:lineRule="auto"/>
              <w:jc w:val="center"/>
              <w:rPr>
                <w:rFonts w:ascii="Times New Roman" w:hAnsi="Times New Roman" w:eastAsia="宋体" w:cs="Times New Roman"/>
                <w:b/>
                <w:color w:val="auto"/>
                <w:szCs w:val="24"/>
              </w:rPr>
            </w:pPr>
          </w:p>
        </w:tc>
        <w:tc>
          <w:tcPr>
            <w:tcW w:w="5966" w:type="dxa"/>
            <w:vMerge w:val="continue"/>
            <w:shd w:val="clear" w:color="auto" w:fill="auto"/>
            <w:vAlign w:val="center"/>
          </w:tcPr>
          <w:p>
            <w:pPr>
              <w:spacing w:line="360" w:lineRule="auto"/>
              <w:rPr>
                <w:rFonts w:ascii="Times New Roman" w:hAnsi="Times New Roman" w:eastAsia="宋体" w:cs="Times New Roman"/>
                <w:b/>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trPr>
        <w:tc>
          <w:tcPr>
            <w:tcW w:w="2261" w:type="dxa"/>
            <w:tcBorders>
              <w:top w:val="single" w:color="auto" w:sz="6" w:space="0"/>
            </w:tcBorders>
            <w:shd w:val="clear" w:color="auto" w:fill="auto"/>
            <w:vAlign w:val="center"/>
          </w:tcPr>
          <w:p>
            <w:pPr>
              <w:spacing w:line="400" w:lineRule="exact"/>
              <w:jc w:val="center"/>
              <w:rPr>
                <w:rFonts w:cs="Times New Roman" w:asciiTheme="minorEastAsia" w:hAnsiTheme="minorEastAsia" w:eastAsiaTheme="minorEastAsia"/>
                <w:b/>
                <w:color w:val="auto"/>
              </w:rPr>
            </w:pPr>
            <w:r>
              <w:rPr>
                <w:rFonts w:cs="Times New Roman" w:asciiTheme="minorEastAsia" w:hAnsiTheme="minorEastAsia" w:eastAsiaTheme="minorEastAsia"/>
                <w:b/>
                <w:color w:val="auto"/>
              </w:rPr>
              <w:t>责任人电话</w:t>
            </w:r>
          </w:p>
        </w:tc>
        <w:tc>
          <w:tcPr>
            <w:tcW w:w="4147" w:type="dxa"/>
            <w:tcBorders>
              <w:top w:val="single" w:color="auto" w:sz="6" w:space="0"/>
            </w:tcBorders>
            <w:shd w:val="clear" w:color="auto" w:fill="auto"/>
            <w:vAlign w:val="center"/>
          </w:tcPr>
          <w:p>
            <w:pPr>
              <w:jc w:val="center"/>
              <w:rPr>
                <w:rFonts w:ascii="Times New Roman" w:hAnsi="Times New Roman" w:eastAsia="宋体" w:cs="Times New Roman"/>
                <w:b/>
                <w:color w:val="auto"/>
              </w:rPr>
            </w:pPr>
          </w:p>
        </w:tc>
        <w:tc>
          <w:tcPr>
            <w:tcW w:w="1800" w:type="dxa"/>
            <w:vMerge w:val="continue"/>
            <w:shd w:val="clear" w:color="auto" w:fill="auto"/>
            <w:vAlign w:val="center"/>
          </w:tcPr>
          <w:p>
            <w:pPr>
              <w:spacing w:line="360" w:lineRule="auto"/>
              <w:jc w:val="center"/>
              <w:rPr>
                <w:rFonts w:ascii="Times New Roman" w:hAnsi="Times New Roman" w:eastAsia="宋体" w:cs="Times New Roman"/>
                <w:b/>
                <w:color w:val="auto"/>
                <w:szCs w:val="24"/>
              </w:rPr>
            </w:pPr>
          </w:p>
        </w:tc>
        <w:tc>
          <w:tcPr>
            <w:tcW w:w="5966" w:type="dxa"/>
            <w:vMerge w:val="continue"/>
            <w:shd w:val="clear" w:color="auto" w:fill="auto"/>
            <w:vAlign w:val="center"/>
          </w:tcPr>
          <w:p>
            <w:pPr>
              <w:spacing w:line="360" w:lineRule="auto"/>
              <w:rPr>
                <w:rFonts w:ascii="Times New Roman" w:hAnsi="Times New Roman" w:eastAsia="宋体" w:cs="Times New Roman"/>
                <w:b/>
                <w:color w:val="auto"/>
                <w:szCs w:val="21"/>
              </w:rPr>
            </w:pPr>
          </w:p>
        </w:tc>
      </w:tr>
    </w:tbl>
    <w:p>
      <w:pPr>
        <w:spacing w:after="0" w:line="240" w:lineRule="auto"/>
        <w:ind w:left="0" w:firstLine="0"/>
        <w:rPr>
          <w:rFonts w:ascii="宋体" w:hAnsi="宋体" w:eastAsia="宋体" w:cs="Times New Roman"/>
          <w:b/>
          <w:color w:val="auto"/>
          <w:szCs w:val="24"/>
        </w:rPr>
      </w:pPr>
    </w:p>
    <w:p>
      <w:pPr>
        <w:spacing w:after="0" w:line="240" w:lineRule="auto"/>
        <w:ind w:left="0" w:firstLine="0"/>
        <w:rPr>
          <w:rFonts w:ascii="宋体" w:hAnsi="宋体" w:eastAsia="宋体" w:cs="Times New Roman"/>
          <w:b/>
          <w:color w:val="auto"/>
          <w:szCs w:val="24"/>
        </w:rPr>
      </w:pPr>
    </w:p>
    <w:p>
      <w:pPr>
        <w:widowControl w:val="0"/>
        <w:spacing w:after="0" w:line="480" w:lineRule="exact"/>
        <w:ind w:left="0" w:firstLine="480"/>
        <w:jc w:val="both"/>
        <w:rPr>
          <w:rFonts w:ascii="宋体" w:hAnsi="宋体" w:eastAsia="宋体" w:cs="Times New Roman"/>
          <w:b/>
          <w:color w:val="auto"/>
          <w:szCs w:val="24"/>
        </w:rPr>
      </w:pPr>
    </w:p>
    <w:tbl>
      <w:tblPr>
        <w:tblStyle w:val="30"/>
        <w:tblpPr w:leftFromText="180" w:rightFromText="180" w:vertAnchor="text" w:horzAnchor="margin" w:tblpXSpec="center" w:tblpY="15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autofit"/>
        <w:tblCellMar>
          <w:top w:w="0" w:type="dxa"/>
          <w:left w:w="108" w:type="dxa"/>
          <w:bottom w:w="0" w:type="dxa"/>
          <w:right w:w="108" w:type="dxa"/>
        </w:tblCellMar>
      </w:tblPr>
      <w:tblGrid>
        <w:gridCol w:w="2417"/>
        <w:gridCol w:w="4431"/>
        <w:gridCol w:w="1923"/>
        <w:gridCol w:w="6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983" w:hRule="atLeast"/>
        </w:trPr>
        <w:tc>
          <w:tcPr>
            <w:tcW w:w="798"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widowControl w:val="0"/>
              <w:spacing w:after="0" w:line="360" w:lineRule="auto"/>
              <w:ind w:left="0" w:firstLine="0"/>
              <w:jc w:val="center"/>
              <w:rPr>
                <w:rFonts w:ascii="宋体" w:hAnsi="宋体" w:eastAsia="宋体" w:cs="Times New Roman"/>
                <w:b/>
                <w:color w:val="auto"/>
                <w:szCs w:val="24"/>
              </w:rPr>
            </w:pPr>
            <w:r>
              <w:rPr>
                <w:rFonts w:hint="eastAsia" w:ascii="宋体" w:hAnsi="宋体" w:eastAsia="宋体" w:cs="Times New Roman"/>
                <w:b/>
                <w:color w:val="auto"/>
                <w:szCs w:val="24"/>
              </w:rPr>
              <w:t>风险点名称</w:t>
            </w:r>
          </w:p>
        </w:tc>
        <w:tc>
          <w:tcPr>
            <w:tcW w:w="1463"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widowControl w:val="0"/>
              <w:spacing w:after="0" w:line="360" w:lineRule="auto"/>
              <w:ind w:left="0" w:firstLine="0"/>
              <w:jc w:val="center"/>
              <w:rPr>
                <w:rFonts w:ascii="宋体" w:hAnsi="宋体" w:eastAsia="宋体" w:cs="Times New Roman"/>
                <w:b/>
                <w:color w:val="auto"/>
                <w:szCs w:val="24"/>
              </w:rPr>
            </w:pPr>
            <w:r>
              <w:rPr>
                <w:rFonts w:hint="eastAsia" w:ascii="宋体" w:hAnsi="宋体" w:eastAsia="宋体" w:cs="Times New Roman"/>
                <w:b/>
                <w:color w:val="auto"/>
                <w:szCs w:val="24"/>
              </w:rPr>
              <w:t>收费作业区</w:t>
            </w:r>
          </w:p>
        </w:tc>
        <w:tc>
          <w:tcPr>
            <w:tcW w:w="635" w:type="pct"/>
            <w:vMerge w:val="restart"/>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widowControl w:val="0"/>
              <w:spacing w:after="0" w:line="360" w:lineRule="auto"/>
              <w:ind w:left="0" w:firstLine="0"/>
              <w:jc w:val="center"/>
              <w:rPr>
                <w:rFonts w:ascii="宋体" w:hAnsi="宋体" w:eastAsia="宋体" w:cs="Times New Roman"/>
                <w:b/>
                <w:color w:val="auto"/>
                <w:szCs w:val="24"/>
              </w:rPr>
            </w:pPr>
            <w:r>
              <w:rPr>
                <w:rFonts w:hint="eastAsia" w:ascii="宋体" w:hAnsi="宋体" w:eastAsia="宋体" w:cs="Times New Roman"/>
                <w:b/>
                <w:color w:val="auto"/>
                <w:szCs w:val="24"/>
              </w:rPr>
              <w:t>致险因素描述</w:t>
            </w:r>
          </w:p>
        </w:tc>
        <w:tc>
          <w:tcPr>
            <w:tcW w:w="2105" w:type="pct"/>
            <w:vMerge w:val="restart"/>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widowControl w:val="0"/>
              <w:spacing w:beforeLines="50" w:after="0" w:line="240" w:lineRule="auto"/>
              <w:ind w:left="0" w:firstLine="0"/>
              <w:rPr>
                <w:rFonts w:ascii="宋体" w:hAnsi="宋体" w:eastAsia="宋体" w:cs="Times New Roman"/>
                <w:b/>
                <w:color w:val="auto"/>
                <w:sz w:val="21"/>
                <w:szCs w:val="21"/>
              </w:rPr>
            </w:pPr>
            <w:r>
              <w:rPr>
                <w:rFonts w:hint="eastAsia" w:ascii="宋体" w:hAnsi="宋体" w:eastAsia="宋体" w:cs="Times New Roman"/>
                <w:b/>
                <w:color w:val="auto"/>
                <w:sz w:val="21"/>
                <w:szCs w:val="21"/>
              </w:rPr>
              <w:t>1.过往车辆失控、闯卡、坠物、泄漏火灾等；</w:t>
            </w:r>
          </w:p>
          <w:p>
            <w:pPr>
              <w:widowControl w:val="0"/>
              <w:spacing w:beforeLines="50" w:after="0" w:line="240" w:lineRule="auto"/>
              <w:ind w:left="0" w:firstLine="0"/>
              <w:rPr>
                <w:rFonts w:ascii="宋体" w:hAnsi="宋体" w:eastAsia="宋体" w:cs="Times New Roman"/>
                <w:b/>
                <w:color w:val="auto"/>
                <w:sz w:val="21"/>
                <w:szCs w:val="21"/>
              </w:rPr>
            </w:pPr>
            <w:r>
              <w:rPr>
                <w:rFonts w:hint="eastAsia" w:ascii="宋体" w:hAnsi="宋体" w:eastAsia="宋体" w:cs="Times New Roman"/>
                <w:b/>
                <w:color w:val="auto"/>
                <w:sz w:val="21"/>
                <w:szCs w:val="21"/>
              </w:rPr>
              <w:t>2.收费亭防撞、限速、标志、标线、灭火器、报警等安全防护装置缺陷；</w:t>
            </w:r>
          </w:p>
          <w:p>
            <w:pPr>
              <w:widowControl w:val="0"/>
              <w:spacing w:beforeLines="50" w:after="0" w:line="240" w:lineRule="auto"/>
              <w:ind w:left="0" w:firstLine="0"/>
              <w:rPr>
                <w:rFonts w:ascii="宋体" w:hAnsi="宋体" w:eastAsia="宋体" w:cs="Times New Roman"/>
                <w:b/>
                <w:color w:val="auto"/>
                <w:sz w:val="21"/>
                <w:szCs w:val="21"/>
              </w:rPr>
            </w:pPr>
            <w:r>
              <w:rPr>
                <w:rFonts w:hint="eastAsia" w:ascii="宋体" w:hAnsi="宋体" w:eastAsia="宋体" w:cs="Times New Roman"/>
                <w:b/>
                <w:color w:val="auto"/>
                <w:sz w:val="21"/>
                <w:szCs w:val="21"/>
              </w:rPr>
              <w:t>3.收费站建构筑物及设备防雷接地不当，违章用电等；</w:t>
            </w:r>
          </w:p>
          <w:p>
            <w:pPr>
              <w:widowControl w:val="0"/>
              <w:spacing w:beforeLines="50" w:after="0" w:line="240" w:lineRule="auto"/>
              <w:ind w:left="0" w:firstLine="0"/>
              <w:rPr>
                <w:rFonts w:ascii="宋体" w:hAnsi="宋体" w:eastAsia="宋体" w:cs="Times New Roman"/>
                <w:b/>
                <w:color w:val="auto"/>
                <w:sz w:val="21"/>
                <w:szCs w:val="21"/>
              </w:rPr>
            </w:pPr>
            <w:r>
              <w:rPr>
                <w:rFonts w:hint="eastAsia" w:ascii="宋体" w:hAnsi="宋体" w:eastAsia="宋体" w:cs="Times New Roman"/>
                <w:b/>
                <w:color w:val="auto"/>
                <w:sz w:val="21"/>
                <w:szCs w:val="21"/>
              </w:rPr>
              <w:t>4.收费人员违章横穿车道、治理闯卡及泄漏、火灾爆炸应急处置不当；</w:t>
            </w:r>
          </w:p>
          <w:p>
            <w:pPr>
              <w:widowControl w:val="0"/>
              <w:spacing w:beforeLines="50" w:after="0" w:line="240" w:lineRule="auto"/>
              <w:ind w:left="0" w:firstLine="0"/>
              <w:rPr>
                <w:rFonts w:ascii="宋体" w:hAnsi="宋体" w:eastAsia="宋体" w:cs="Times New Roman"/>
                <w:b/>
                <w:color w:val="auto"/>
                <w:szCs w:val="24"/>
              </w:rPr>
            </w:pPr>
            <w:r>
              <w:rPr>
                <w:rFonts w:hint="eastAsia" w:ascii="宋体" w:hAnsi="宋体" w:eastAsia="宋体" w:cs="Times New Roman"/>
                <w:b/>
                <w:color w:val="auto"/>
                <w:sz w:val="21"/>
                <w:szCs w:val="21"/>
              </w:rPr>
              <w:t>5.雨雪、雾霾等恶劣天气及照明不足等环境条件不良。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978" w:hRule="atLeast"/>
        </w:trPr>
        <w:tc>
          <w:tcPr>
            <w:tcW w:w="798"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widowControl w:val="0"/>
              <w:spacing w:after="0" w:line="360" w:lineRule="auto"/>
              <w:ind w:left="0" w:firstLine="0"/>
              <w:jc w:val="center"/>
              <w:rPr>
                <w:rFonts w:ascii="宋体" w:hAnsi="宋体" w:eastAsia="宋体" w:cs="Times New Roman"/>
                <w:b/>
                <w:color w:val="auto"/>
                <w:szCs w:val="24"/>
              </w:rPr>
            </w:pPr>
            <w:r>
              <w:rPr>
                <w:rFonts w:hint="eastAsia" w:ascii="宋体" w:hAnsi="宋体" w:eastAsia="宋体" w:cs="Times New Roman"/>
                <w:b/>
                <w:color w:val="auto"/>
                <w:szCs w:val="24"/>
              </w:rPr>
              <w:t>风险等级</w:t>
            </w:r>
          </w:p>
        </w:tc>
        <w:tc>
          <w:tcPr>
            <w:tcW w:w="1463" w:type="pct"/>
            <w:tcBorders>
              <w:top w:val="single" w:color="auto" w:sz="4" w:space="0"/>
              <w:left w:val="single" w:color="auto" w:sz="4" w:space="0"/>
              <w:bottom w:val="single" w:color="auto" w:sz="4" w:space="0"/>
              <w:right w:val="single" w:color="auto" w:sz="4" w:space="0"/>
            </w:tcBorders>
            <w:shd w:val="clear" w:color="auto" w:fill="FAE600"/>
            <w:vAlign w:val="center"/>
          </w:tcPr>
          <w:p>
            <w:pPr>
              <w:widowControl w:val="0"/>
              <w:spacing w:after="0" w:line="360" w:lineRule="auto"/>
              <w:ind w:left="0" w:firstLine="0"/>
              <w:jc w:val="center"/>
              <w:rPr>
                <w:rFonts w:ascii="宋体" w:hAnsi="宋体" w:eastAsia="宋体" w:cs="Times New Roman"/>
                <w:b/>
                <w:color w:val="auto"/>
                <w:szCs w:val="24"/>
              </w:rPr>
            </w:pPr>
            <w:r>
              <w:rPr>
                <w:rFonts w:hint="eastAsia" w:ascii="宋体" w:hAnsi="宋体" w:eastAsia="宋体" w:cs="Times New Roman"/>
                <w:b/>
                <w:color w:val="auto"/>
                <w:szCs w:val="24"/>
              </w:rPr>
              <w:t>一般风险</w:t>
            </w:r>
          </w:p>
        </w:tc>
        <w:tc>
          <w:tcPr>
            <w:tcW w:w="635" w:type="pct"/>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ind w:left="0" w:firstLine="0"/>
              <w:rPr>
                <w:rFonts w:ascii="宋体" w:hAnsi="宋体" w:eastAsia="宋体" w:cs="Times New Roman"/>
                <w:b/>
                <w:color w:val="auto"/>
                <w:szCs w:val="24"/>
              </w:rPr>
            </w:pPr>
          </w:p>
        </w:tc>
        <w:tc>
          <w:tcPr>
            <w:tcW w:w="2105" w:type="pct"/>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ind w:left="0" w:firstLine="0"/>
              <w:rPr>
                <w:rFonts w:ascii="宋体" w:hAnsi="宋体" w:eastAsia="宋体" w:cs="Times New Roman"/>
                <w:b/>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737" w:hRule="atLeast"/>
        </w:trPr>
        <w:tc>
          <w:tcPr>
            <w:tcW w:w="798"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widowControl w:val="0"/>
              <w:spacing w:after="0" w:line="360" w:lineRule="auto"/>
              <w:ind w:left="0" w:firstLine="0"/>
              <w:jc w:val="center"/>
              <w:rPr>
                <w:rFonts w:ascii="宋体" w:hAnsi="宋体" w:eastAsia="宋体" w:cs="Times New Roman"/>
                <w:b/>
                <w:color w:val="auto"/>
                <w:szCs w:val="24"/>
              </w:rPr>
            </w:pPr>
            <w:r>
              <w:rPr>
                <w:rFonts w:hint="eastAsia" w:ascii="宋体" w:hAnsi="宋体" w:eastAsia="宋体" w:cs="Times New Roman"/>
                <w:b/>
                <w:color w:val="auto"/>
                <w:szCs w:val="24"/>
              </w:rPr>
              <w:t>事故类型</w:t>
            </w:r>
          </w:p>
        </w:tc>
        <w:tc>
          <w:tcPr>
            <w:tcW w:w="1463"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widowControl w:val="0"/>
              <w:spacing w:after="0" w:line="360" w:lineRule="auto"/>
              <w:ind w:left="0" w:firstLine="0"/>
              <w:jc w:val="center"/>
              <w:rPr>
                <w:rFonts w:ascii="宋体" w:hAnsi="宋体" w:eastAsia="宋体" w:cs="Times New Roman"/>
                <w:b/>
                <w:color w:val="auto"/>
                <w:szCs w:val="24"/>
              </w:rPr>
            </w:pPr>
            <w:r>
              <w:rPr>
                <w:rFonts w:hint="eastAsia" w:ascii="宋体" w:hAnsi="宋体" w:eastAsia="宋体" w:cs="Times New Roman"/>
                <w:b/>
                <w:color w:val="auto"/>
                <w:szCs w:val="24"/>
              </w:rPr>
              <w:t>车辆伤害 火灾爆炸 触电 物体打击</w:t>
            </w:r>
          </w:p>
        </w:tc>
        <w:tc>
          <w:tcPr>
            <w:tcW w:w="635" w:type="pct"/>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ind w:left="0" w:firstLine="0"/>
              <w:rPr>
                <w:rFonts w:ascii="宋体" w:hAnsi="宋体" w:eastAsia="宋体" w:cs="Times New Roman"/>
                <w:b/>
                <w:color w:val="auto"/>
                <w:szCs w:val="24"/>
              </w:rPr>
            </w:pPr>
          </w:p>
        </w:tc>
        <w:tc>
          <w:tcPr>
            <w:tcW w:w="2105" w:type="pct"/>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ind w:left="0" w:firstLine="0"/>
              <w:rPr>
                <w:rFonts w:ascii="宋体" w:hAnsi="宋体" w:eastAsia="宋体" w:cs="Times New Roman"/>
                <w:b/>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737" w:hRule="atLeast"/>
        </w:trPr>
        <w:tc>
          <w:tcPr>
            <w:tcW w:w="2260" w:type="pct"/>
            <w:gridSpan w:val="2"/>
            <w:tcBorders>
              <w:top w:val="single" w:color="auto" w:sz="4" w:space="0"/>
              <w:left w:val="single" w:color="auto" w:sz="4" w:space="0"/>
              <w:bottom w:val="single" w:color="auto" w:sz="6" w:space="0"/>
              <w:right w:val="single" w:color="auto" w:sz="4" w:space="0"/>
            </w:tcBorders>
            <w:shd w:val="clear" w:color="auto" w:fill="FFFFFF" w:themeFill="background1"/>
            <w:vAlign w:val="center"/>
          </w:tcPr>
          <w:p>
            <w:pPr>
              <w:widowControl w:val="0"/>
              <w:spacing w:after="0" w:line="360" w:lineRule="auto"/>
              <w:ind w:left="0" w:firstLine="0"/>
              <w:jc w:val="center"/>
              <w:rPr>
                <w:rFonts w:ascii="宋体" w:hAnsi="宋体" w:eastAsia="宋体" w:cs="Times New Roman"/>
                <w:b/>
                <w:color w:val="auto"/>
                <w:szCs w:val="24"/>
              </w:rPr>
            </w:pPr>
            <w:r>
              <w:rPr>
                <w:rFonts w:hint="eastAsia" w:ascii="宋体" w:hAnsi="宋体" w:eastAsia="宋体" w:cs="Times New Roman"/>
                <w:b/>
                <w:color w:val="auto"/>
                <w:szCs w:val="24"/>
              </w:rPr>
              <w:t>安全标志</w:t>
            </w:r>
          </w:p>
          <w:p>
            <w:pPr>
              <w:widowControl w:val="0"/>
              <w:spacing w:after="0" w:line="360" w:lineRule="auto"/>
              <w:ind w:left="0" w:firstLine="0"/>
              <w:jc w:val="center"/>
              <w:rPr>
                <w:rFonts w:ascii="宋体" w:hAnsi="宋体" w:eastAsia="宋体" w:cs="Times New Roman"/>
                <w:b/>
                <w:color w:val="auto"/>
                <w:szCs w:val="24"/>
              </w:rPr>
            </w:pPr>
            <w:r>
              <w:rPr>
                <w:rFonts w:ascii="Times New Roman" w:hAnsi="Times New Roman" w:eastAsia="宋体" w:cs="Times New Roman"/>
                <w:color w:val="auto"/>
                <w:sz w:val="21"/>
                <w:szCs w:val="24"/>
              </w:rPr>
              <w:drawing>
                <wp:inline distT="0" distB="0" distL="0" distR="0">
                  <wp:extent cx="1121410" cy="1351915"/>
                  <wp:effectExtent l="0" t="0" r="2540" b="63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121410" cy="1351915"/>
                          </a:xfrm>
                          <a:prstGeom prst="rect">
                            <a:avLst/>
                          </a:prstGeom>
                          <a:noFill/>
                          <a:ln>
                            <a:noFill/>
                          </a:ln>
                        </pic:spPr>
                      </pic:pic>
                    </a:graphicData>
                  </a:graphic>
                </wp:inline>
              </w:drawing>
            </w:r>
            <w:r>
              <w:rPr>
                <w:rFonts w:ascii="Times New Roman" w:hAnsi="Times New Roman" w:eastAsia="宋体" w:cs="Times New Roman"/>
                <w:color w:val="auto"/>
                <w:sz w:val="16"/>
                <w:szCs w:val="24"/>
              </w:rPr>
              <w:drawing>
                <wp:inline distT="0" distB="0" distL="0" distR="0">
                  <wp:extent cx="1097280" cy="1351915"/>
                  <wp:effectExtent l="0" t="0" r="7620"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097280" cy="1351915"/>
                          </a:xfrm>
                          <a:prstGeom prst="rect">
                            <a:avLst/>
                          </a:prstGeom>
                          <a:noFill/>
                          <a:ln>
                            <a:noFill/>
                          </a:ln>
                        </pic:spPr>
                      </pic:pic>
                    </a:graphicData>
                  </a:graphic>
                </wp:inline>
              </w:drawing>
            </w:r>
            <w:r>
              <w:rPr>
                <w:rFonts w:ascii="Times New Roman" w:hAnsi="Times New Roman" w:eastAsia="宋体" w:cs="Times New Roman"/>
                <w:color w:val="auto"/>
                <w:sz w:val="21"/>
                <w:szCs w:val="24"/>
              </w:rPr>
              <w:drawing>
                <wp:inline distT="0" distB="0" distL="0" distR="0">
                  <wp:extent cx="1081405" cy="1343660"/>
                  <wp:effectExtent l="0" t="0" r="4445" b="88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081405" cy="1343660"/>
                          </a:xfrm>
                          <a:prstGeom prst="rect">
                            <a:avLst/>
                          </a:prstGeom>
                          <a:noFill/>
                          <a:ln>
                            <a:noFill/>
                          </a:ln>
                        </pic:spPr>
                      </pic:pic>
                    </a:graphicData>
                  </a:graphic>
                </wp:inline>
              </w:drawing>
            </w:r>
          </w:p>
        </w:tc>
        <w:tc>
          <w:tcPr>
            <w:tcW w:w="635" w:type="pct"/>
            <w:tcBorders>
              <w:top w:val="single" w:color="auto" w:sz="4" w:space="0"/>
              <w:left w:val="single" w:color="auto" w:sz="4" w:space="0"/>
              <w:bottom w:val="single" w:color="auto" w:sz="6" w:space="0"/>
              <w:right w:val="single" w:color="auto" w:sz="4" w:space="0"/>
            </w:tcBorders>
            <w:shd w:val="clear" w:color="auto" w:fill="FFFFFF" w:themeFill="background1"/>
            <w:vAlign w:val="center"/>
          </w:tcPr>
          <w:p>
            <w:pPr>
              <w:widowControl w:val="0"/>
              <w:spacing w:after="0" w:line="360" w:lineRule="auto"/>
              <w:ind w:left="0" w:firstLine="0"/>
              <w:jc w:val="center"/>
              <w:rPr>
                <w:rFonts w:ascii="宋体" w:hAnsi="宋体" w:eastAsia="宋体" w:cs="Times New Roman"/>
                <w:b/>
                <w:color w:val="auto"/>
                <w:szCs w:val="24"/>
              </w:rPr>
            </w:pPr>
            <w:r>
              <w:rPr>
                <w:rFonts w:hint="eastAsia" w:ascii="宋体" w:hAnsi="宋体" w:eastAsia="宋体" w:cs="Times New Roman"/>
                <w:b/>
                <w:color w:val="auto"/>
                <w:szCs w:val="24"/>
              </w:rPr>
              <w:t>风险管控措施</w:t>
            </w:r>
          </w:p>
        </w:tc>
        <w:tc>
          <w:tcPr>
            <w:tcW w:w="2105"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widowControl w:val="0"/>
              <w:spacing w:beforeLines="50" w:after="0" w:line="240" w:lineRule="auto"/>
              <w:ind w:left="0" w:firstLine="0"/>
              <w:rPr>
                <w:rFonts w:ascii="宋体" w:hAnsi="宋体" w:eastAsia="宋体" w:cs="Times New Roman"/>
                <w:b/>
                <w:color w:val="auto"/>
                <w:sz w:val="21"/>
                <w:szCs w:val="21"/>
              </w:rPr>
            </w:pPr>
            <w:r>
              <w:rPr>
                <w:rFonts w:hint="eastAsia" w:ascii="宋体" w:hAnsi="宋体" w:eastAsia="宋体" w:cs="Times New Roman"/>
                <w:b/>
                <w:color w:val="auto"/>
                <w:sz w:val="21"/>
                <w:szCs w:val="21"/>
              </w:rPr>
              <w:t>1.制定车辆闯卡、泄漏、火灾爆炸及雨雪恶劣天气的等应急预案及现场处置方案，定期开展应急演练；</w:t>
            </w:r>
          </w:p>
          <w:p>
            <w:pPr>
              <w:widowControl w:val="0"/>
              <w:spacing w:beforeLines="50" w:after="0" w:line="240" w:lineRule="auto"/>
              <w:ind w:left="0" w:firstLine="0"/>
              <w:rPr>
                <w:rFonts w:ascii="宋体" w:hAnsi="宋体" w:eastAsia="宋体" w:cs="Times New Roman"/>
                <w:b/>
                <w:color w:val="auto"/>
                <w:sz w:val="21"/>
                <w:szCs w:val="21"/>
              </w:rPr>
            </w:pPr>
            <w:r>
              <w:rPr>
                <w:rFonts w:hint="eastAsia" w:ascii="宋体" w:hAnsi="宋体" w:eastAsia="宋体" w:cs="Times New Roman"/>
                <w:b/>
                <w:color w:val="auto"/>
                <w:sz w:val="21"/>
                <w:szCs w:val="21"/>
              </w:rPr>
              <w:t>2.定期对收费站内各类安全防护设施进行检查、维护；</w:t>
            </w:r>
          </w:p>
          <w:p>
            <w:pPr>
              <w:widowControl w:val="0"/>
              <w:spacing w:beforeLines="50" w:after="0" w:line="240" w:lineRule="auto"/>
              <w:ind w:left="0" w:firstLine="0"/>
              <w:rPr>
                <w:rFonts w:ascii="宋体" w:hAnsi="宋体" w:eastAsia="宋体" w:cs="Times New Roman"/>
                <w:b/>
                <w:color w:val="auto"/>
                <w:sz w:val="21"/>
                <w:szCs w:val="21"/>
              </w:rPr>
            </w:pPr>
            <w:r>
              <w:rPr>
                <w:rFonts w:hint="eastAsia" w:ascii="宋体" w:hAnsi="宋体" w:eastAsia="宋体" w:cs="Times New Roman"/>
                <w:b/>
                <w:color w:val="auto"/>
                <w:sz w:val="21"/>
                <w:szCs w:val="21"/>
              </w:rPr>
              <w:t>3.定期进行防雷接地检测，严格管理收费区用电安全；</w:t>
            </w:r>
          </w:p>
          <w:p>
            <w:pPr>
              <w:widowControl w:val="0"/>
              <w:spacing w:beforeLines="50" w:after="0" w:line="240" w:lineRule="auto"/>
              <w:ind w:left="0" w:firstLine="0"/>
              <w:rPr>
                <w:rFonts w:ascii="宋体" w:hAnsi="宋体" w:eastAsia="宋体" w:cs="Times New Roman"/>
                <w:b/>
                <w:color w:val="auto"/>
                <w:szCs w:val="24"/>
              </w:rPr>
            </w:pPr>
            <w:r>
              <w:rPr>
                <w:rFonts w:hint="eastAsia" w:ascii="宋体" w:hAnsi="宋体" w:eastAsia="宋体" w:cs="Times New Roman"/>
                <w:b/>
                <w:color w:val="auto"/>
                <w:sz w:val="21"/>
                <w:szCs w:val="21"/>
              </w:rPr>
              <w:t>4.加强收费作业人员、稽查人员的安全教育培训。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798" w:type="pct"/>
            <w:tcBorders>
              <w:top w:val="single" w:color="auto" w:sz="6" w:space="0"/>
              <w:left w:val="single" w:color="auto" w:sz="4" w:space="0"/>
              <w:bottom w:val="single" w:color="auto" w:sz="4" w:space="0"/>
              <w:right w:val="single" w:color="auto" w:sz="4" w:space="0"/>
            </w:tcBorders>
            <w:shd w:val="clear" w:color="auto" w:fill="FFFFFF" w:themeFill="background1"/>
            <w:vAlign w:val="center"/>
          </w:tcPr>
          <w:p>
            <w:pPr>
              <w:widowControl w:val="0"/>
              <w:spacing w:after="0" w:line="360" w:lineRule="auto"/>
              <w:ind w:left="0" w:firstLine="0"/>
              <w:jc w:val="center"/>
              <w:rPr>
                <w:rFonts w:ascii="宋体" w:hAnsi="宋体" w:eastAsia="宋体" w:cs="Times New Roman"/>
                <w:b/>
                <w:color w:val="auto"/>
                <w:szCs w:val="24"/>
              </w:rPr>
            </w:pPr>
            <w:r>
              <w:rPr>
                <w:rFonts w:hint="eastAsia" w:ascii="宋体" w:hAnsi="宋体" w:eastAsia="宋体" w:cs="Times New Roman"/>
                <w:b/>
                <w:color w:val="auto"/>
                <w:szCs w:val="24"/>
              </w:rPr>
              <w:t>责任部门</w:t>
            </w:r>
          </w:p>
        </w:tc>
        <w:tc>
          <w:tcPr>
            <w:tcW w:w="1463" w:type="pct"/>
            <w:tcBorders>
              <w:top w:val="single" w:color="auto" w:sz="6" w:space="0"/>
              <w:left w:val="single" w:color="auto" w:sz="4" w:space="0"/>
              <w:bottom w:val="single" w:color="auto" w:sz="4" w:space="0"/>
              <w:right w:val="single" w:color="auto" w:sz="4" w:space="0"/>
            </w:tcBorders>
            <w:shd w:val="clear" w:color="auto" w:fill="FFFFFF" w:themeFill="background1"/>
            <w:vAlign w:val="center"/>
          </w:tcPr>
          <w:p>
            <w:pPr>
              <w:widowControl w:val="0"/>
              <w:spacing w:after="0" w:line="360" w:lineRule="auto"/>
              <w:ind w:left="0" w:firstLine="0"/>
              <w:rPr>
                <w:rFonts w:ascii="宋体" w:hAnsi="宋体" w:eastAsia="宋体" w:cs="Times New Roman"/>
                <w:b/>
                <w:color w:val="auto"/>
                <w:szCs w:val="24"/>
              </w:rPr>
            </w:pPr>
          </w:p>
        </w:tc>
        <w:tc>
          <w:tcPr>
            <w:tcW w:w="635" w:type="pct"/>
            <w:vMerge w:val="restart"/>
            <w:tcBorders>
              <w:top w:val="single" w:color="auto" w:sz="6" w:space="0"/>
              <w:left w:val="single" w:color="auto" w:sz="4" w:space="0"/>
              <w:bottom w:val="single" w:color="auto" w:sz="4" w:space="0"/>
              <w:right w:val="single" w:color="auto" w:sz="4" w:space="0"/>
            </w:tcBorders>
            <w:shd w:val="clear" w:color="auto" w:fill="FFFFFF" w:themeFill="background1"/>
            <w:vAlign w:val="center"/>
          </w:tcPr>
          <w:p>
            <w:pPr>
              <w:widowControl w:val="0"/>
              <w:spacing w:after="0" w:line="360" w:lineRule="auto"/>
              <w:ind w:left="0" w:firstLine="0"/>
              <w:jc w:val="center"/>
              <w:rPr>
                <w:rFonts w:ascii="宋体" w:hAnsi="宋体" w:eastAsia="宋体" w:cs="Times New Roman"/>
                <w:b/>
                <w:color w:val="auto"/>
                <w:szCs w:val="24"/>
              </w:rPr>
            </w:pPr>
            <w:r>
              <w:rPr>
                <w:rFonts w:hint="eastAsia" w:ascii="宋体" w:hAnsi="宋体" w:eastAsia="宋体" w:cs="Times New Roman"/>
                <w:b/>
                <w:color w:val="auto"/>
                <w:szCs w:val="24"/>
              </w:rPr>
              <w:t>应急处置措施</w:t>
            </w:r>
          </w:p>
        </w:tc>
        <w:tc>
          <w:tcPr>
            <w:tcW w:w="2105" w:type="pct"/>
            <w:vMerge w:val="restart"/>
            <w:tcBorders>
              <w:top w:val="single" w:color="auto" w:sz="6" w:space="0"/>
              <w:left w:val="single" w:color="auto" w:sz="4" w:space="0"/>
              <w:bottom w:val="single" w:color="auto" w:sz="4" w:space="0"/>
              <w:right w:val="single" w:color="auto" w:sz="4" w:space="0"/>
            </w:tcBorders>
            <w:shd w:val="clear" w:color="auto" w:fill="FFFFFF" w:themeFill="background1"/>
            <w:vAlign w:val="center"/>
          </w:tcPr>
          <w:p>
            <w:pPr>
              <w:widowControl w:val="0"/>
              <w:spacing w:beforeLines="50" w:after="0" w:line="240" w:lineRule="auto"/>
              <w:ind w:left="0" w:firstLine="0"/>
              <w:rPr>
                <w:rFonts w:ascii="宋体" w:hAnsi="宋体" w:eastAsia="宋体" w:cs="Times New Roman"/>
                <w:b/>
                <w:color w:val="auto"/>
                <w:sz w:val="21"/>
                <w:szCs w:val="21"/>
              </w:rPr>
            </w:pPr>
            <w:r>
              <w:rPr>
                <w:rFonts w:hint="eastAsia" w:ascii="宋体" w:hAnsi="宋体" w:eastAsia="宋体" w:cs="Times New Roman"/>
                <w:b/>
                <w:color w:val="auto"/>
                <w:sz w:val="21"/>
                <w:szCs w:val="21"/>
              </w:rPr>
              <w:t>1.泄漏、火灾爆炸时，按预案规定及时疏散人员至安全地带和现场处置，并按规定流程上报；</w:t>
            </w:r>
          </w:p>
          <w:p>
            <w:pPr>
              <w:widowControl w:val="0"/>
              <w:spacing w:beforeLines="50" w:after="0" w:line="240" w:lineRule="auto"/>
              <w:ind w:left="0" w:firstLine="0"/>
              <w:rPr>
                <w:rFonts w:ascii="宋体" w:hAnsi="宋体" w:eastAsia="宋体" w:cs="Times New Roman"/>
                <w:b/>
                <w:color w:val="auto"/>
                <w:sz w:val="21"/>
                <w:szCs w:val="21"/>
              </w:rPr>
            </w:pPr>
            <w:r>
              <w:rPr>
                <w:rFonts w:hint="eastAsia" w:ascii="宋体" w:hAnsi="宋体" w:eastAsia="宋体" w:cs="Times New Roman"/>
                <w:b/>
                <w:color w:val="auto"/>
                <w:sz w:val="21"/>
                <w:szCs w:val="21"/>
              </w:rPr>
              <w:t>2.发生人员伤亡时，应使伤者尽快脱离危险源，实施抢救，拨打120等急救电话。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trPr>
        <w:tc>
          <w:tcPr>
            <w:tcW w:w="798"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widowControl w:val="0"/>
              <w:spacing w:after="0" w:line="360" w:lineRule="auto"/>
              <w:ind w:left="0" w:firstLine="0"/>
              <w:jc w:val="center"/>
              <w:rPr>
                <w:rFonts w:ascii="宋体" w:hAnsi="宋体" w:eastAsia="宋体" w:cs="Times New Roman"/>
                <w:b/>
                <w:color w:val="auto"/>
                <w:szCs w:val="24"/>
              </w:rPr>
            </w:pPr>
            <w:r>
              <w:rPr>
                <w:rFonts w:hint="eastAsia" w:ascii="宋体" w:hAnsi="宋体" w:eastAsia="宋体" w:cs="Times New Roman"/>
                <w:b/>
                <w:color w:val="auto"/>
                <w:szCs w:val="24"/>
              </w:rPr>
              <w:t>责任人</w:t>
            </w:r>
          </w:p>
        </w:tc>
        <w:tc>
          <w:tcPr>
            <w:tcW w:w="1463"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widowControl w:val="0"/>
              <w:spacing w:after="0" w:line="360" w:lineRule="auto"/>
              <w:ind w:left="0" w:firstLine="0"/>
              <w:rPr>
                <w:rFonts w:ascii="宋体" w:hAnsi="宋体" w:eastAsia="宋体" w:cs="Times New Roman"/>
                <w:b/>
                <w:color w:val="auto"/>
                <w:szCs w:val="24"/>
              </w:rPr>
            </w:pPr>
          </w:p>
        </w:tc>
        <w:tc>
          <w:tcPr>
            <w:tcW w:w="635" w:type="pct"/>
            <w:vMerge w:val="continue"/>
            <w:tcBorders>
              <w:top w:val="single" w:color="auto" w:sz="6"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ind w:left="0" w:firstLine="0"/>
              <w:rPr>
                <w:rFonts w:ascii="宋体" w:hAnsi="宋体" w:eastAsia="宋体" w:cs="Times New Roman"/>
                <w:b/>
                <w:color w:val="auto"/>
                <w:szCs w:val="24"/>
              </w:rPr>
            </w:pPr>
          </w:p>
        </w:tc>
        <w:tc>
          <w:tcPr>
            <w:tcW w:w="2105" w:type="pct"/>
            <w:vMerge w:val="continue"/>
            <w:tcBorders>
              <w:top w:val="single" w:color="auto" w:sz="6"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ind w:left="0" w:firstLine="0"/>
              <w:rPr>
                <w:rFonts w:ascii="宋体" w:hAnsi="宋体" w:eastAsia="宋体" w:cs="Times New Roman"/>
                <w:b/>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798"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widowControl w:val="0"/>
              <w:spacing w:after="0" w:line="360" w:lineRule="auto"/>
              <w:ind w:left="0" w:firstLine="0"/>
              <w:jc w:val="center"/>
              <w:rPr>
                <w:rFonts w:ascii="宋体" w:hAnsi="宋体" w:eastAsia="宋体" w:cs="Times New Roman"/>
                <w:b/>
                <w:color w:val="auto"/>
                <w:szCs w:val="24"/>
              </w:rPr>
            </w:pPr>
            <w:r>
              <w:rPr>
                <w:rFonts w:hint="eastAsia" w:ascii="宋体" w:hAnsi="宋体" w:eastAsia="宋体" w:cs="Times New Roman"/>
                <w:b/>
                <w:color w:val="auto"/>
                <w:szCs w:val="24"/>
              </w:rPr>
              <w:t>责任电话</w:t>
            </w:r>
          </w:p>
        </w:tc>
        <w:tc>
          <w:tcPr>
            <w:tcW w:w="1463"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widowControl w:val="0"/>
              <w:spacing w:after="0" w:line="360" w:lineRule="auto"/>
              <w:ind w:left="0" w:firstLine="0"/>
              <w:rPr>
                <w:rFonts w:ascii="宋体" w:hAnsi="宋体" w:eastAsia="宋体" w:cs="Times New Roman"/>
                <w:b/>
                <w:color w:val="auto"/>
                <w:szCs w:val="24"/>
              </w:rPr>
            </w:pPr>
          </w:p>
        </w:tc>
        <w:tc>
          <w:tcPr>
            <w:tcW w:w="635" w:type="pct"/>
            <w:vMerge w:val="continue"/>
            <w:tcBorders>
              <w:top w:val="single" w:color="auto" w:sz="6"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ind w:left="0" w:firstLine="0"/>
              <w:rPr>
                <w:rFonts w:ascii="宋体" w:hAnsi="宋体" w:eastAsia="宋体" w:cs="Times New Roman"/>
                <w:b/>
                <w:color w:val="auto"/>
                <w:szCs w:val="24"/>
              </w:rPr>
            </w:pPr>
          </w:p>
        </w:tc>
        <w:tc>
          <w:tcPr>
            <w:tcW w:w="2105" w:type="pct"/>
            <w:vMerge w:val="continue"/>
            <w:tcBorders>
              <w:top w:val="single" w:color="auto" w:sz="6" w:space="0"/>
              <w:left w:val="single" w:color="auto" w:sz="4" w:space="0"/>
              <w:bottom w:val="single" w:color="auto" w:sz="4" w:space="0"/>
              <w:right w:val="single" w:color="auto" w:sz="4" w:space="0"/>
            </w:tcBorders>
            <w:shd w:val="clear" w:color="auto" w:fill="FFFFFF" w:themeFill="background1"/>
            <w:vAlign w:val="center"/>
          </w:tcPr>
          <w:p>
            <w:pPr>
              <w:spacing w:after="0" w:line="240" w:lineRule="auto"/>
              <w:ind w:left="0" w:firstLine="0"/>
              <w:rPr>
                <w:rFonts w:ascii="宋体" w:hAnsi="宋体" w:eastAsia="宋体" w:cs="Times New Roman"/>
                <w:b/>
                <w:color w:val="auto"/>
                <w:sz w:val="21"/>
                <w:szCs w:val="21"/>
              </w:rPr>
            </w:pPr>
          </w:p>
        </w:tc>
      </w:tr>
    </w:tbl>
    <w:p>
      <w:pPr>
        <w:widowControl w:val="0"/>
        <w:spacing w:beforeLines="50" w:afterLines="50" w:line="560" w:lineRule="exact"/>
        <w:ind w:left="0" w:hanging="11"/>
        <w:outlineLvl w:val="1"/>
        <w:rPr>
          <w:rFonts w:cs="Calibri" w:asciiTheme="minorEastAsia" w:hAnsiTheme="minorEastAsia" w:eastAsiaTheme="minorEastAsia"/>
          <w:b/>
          <w:color w:val="auto"/>
          <w:sz w:val="28"/>
          <w:szCs w:val="24"/>
        </w:rPr>
      </w:pPr>
      <w:bookmarkStart w:id="19" w:name="_Toc80301752"/>
      <w:r>
        <w:rPr>
          <w:rFonts w:hint="eastAsia" w:cs="Calibri" w:asciiTheme="minorEastAsia" w:hAnsiTheme="minorEastAsia" w:eastAsiaTheme="minorEastAsia"/>
          <w:b/>
          <w:color w:val="auto"/>
          <w:sz w:val="28"/>
          <w:szCs w:val="24"/>
        </w:rPr>
        <w:t>2.</w:t>
      </w:r>
      <w:r>
        <w:rPr>
          <w:rFonts w:cs="Calibri" w:asciiTheme="minorEastAsia" w:hAnsiTheme="minorEastAsia" w:eastAsiaTheme="minorEastAsia"/>
          <w:b/>
          <w:color w:val="auto"/>
          <w:sz w:val="28"/>
          <w:szCs w:val="24"/>
        </w:rPr>
        <w:t>3</w:t>
      </w:r>
      <w:r>
        <w:rPr>
          <w:rFonts w:hint="eastAsia" w:cs="Calibri" w:asciiTheme="minorEastAsia" w:hAnsiTheme="minorEastAsia" w:eastAsiaTheme="minorEastAsia"/>
          <w:b/>
          <w:color w:val="auto"/>
          <w:sz w:val="28"/>
          <w:szCs w:val="24"/>
        </w:rPr>
        <w:t>风险告知卡</w:t>
      </w:r>
      <w:bookmarkEnd w:id="19"/>
    </w:p>
    <w:p>
      <w:pPr>
        <w:widowControl w:val="0"/>
        <w:spacing w:after="0" w:line="480" w:lineRule="exact"/>
        <w:ind w:left="0" w:firstLine="480"/>
        <w:jc w:val="both"/>
        <w:rPr>
          <w:rFonts w:cs="Calibri" w:asciiTheme="minorEastAsia" w:hAnsiTheme="minorEastAsia" w:eastAsiaTheme="minorEastAsia"/>
          <w:color w:val="auto"/>
          <w:szCs w:val="24"/>
        </w:rPr>
        <w:sectPr>
          <w:headerReference r:id="rId7" w:type="default"/>
          <w:footerReference r:id="rId8" w:type="default"/>
          <w:pgSz w:w="16838" w:h="11906" w:orient="landscape"/>
          <w:pgMar w:top="1134" w:right="1134" w:bottom="1134" w:left="777" w:header="454" w:footer="567" w:gutter="0"/>
          <w:cols w:space="425" w:num="1"/>
          <w:docGrid w:type="lines" w:linePitch="326" w:charSpace="0"/>
        </w:sectPr>
      </w:pPr>
      <w:r>
        <w:rPr>
          <w:rFonts w:hint="eastAsia" w:cs="Calibri" w:asciiTheme="minorEastAsia" w:hAnsiTheme="minorEastAsia" w:eastAsiaTheme="minorEastAsia"/>
          <w:color w:val="auto"/>
          <w:szCs w:val="24"/>
        </w:rPr>
        <w:t>收费站共设置站长、副站长、收费班长、收费员、票证员、电工、厨师等岗位，按照岗位职责建立岗位风险告知卡。</w:t>
      </w:r>
    </w:p>
    <w:p>
      <w:pPr>
        <w:widowControl w:val="0"/>
        <w:spacing w:after="0" w:line="240" w:lineRule="auto"/>
        <w:ind w:left="0" w:firstLine="0"/>
        <w:jc w:val="center"/>
        <w:rPr>
          <w:rFonts w:ascii="华文中宋" w:hAnsi="华文中宋" w:eastAsia="华文中宋" w:cs="Times New Roman"/>
          <w:color w:val="auto"/>
          <w:sz w:val="28"/>
        </w:rPr>
      </w:pPr>
      <w:r>
        <w:rPr>
          <w:rFonts w:hint="eastAsia" w:ascii="华文中宋" w:hAnsi="华文中宋" w:eastAsia="华文中宋" w:cs="Times New Roman"/>
          <w:color w:val="auto"/>
          <w:sz w:val="28"/>
        </w:rPr>
        <w:t>收费站岗位风险告知卡</w:t>
      </w:r>
    </w:p>
    <w:tbl>
      <w:tblPr>
        <w:tblStyle w:val="29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8"/>
        <w:gridCol w:w="993"/>
        <w:gridCol w:w="1560"/>
        <w:gridCol w:w="5670"/>
        <w:gridCol w:w="51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97" w:type="pct"/>
            <w:shd w:val="clear" w:color="auto" w:fill="F1F1F1" w:themeFill="background1" w:themeFillShade="F2"/>
            <w:vAlign w:val="center"/>
          </w:tcPr>
          <w:p>
            <w:pPr>
              <w:widowControl w:val="0"/>
              <w:spacing w:after="0" w:line="240" w:lineRule="auto"/>
              <w:ind w:left="0" w:firstLine="0"/>
              <w:jc w:val="center"/>
              <w:rPr>
                <w:rFonts w:ascii="宋体" w:hAnsi="宋体" w:eastAsia="宋体" w:cs="Times New Roman"/>
                <w:b/>
                <w:color w:val="auto"/>
                <w:kern w:val="0"/>
                <w:szCs w:val="24"/>
              </w:rPr>
            </w:pPr>
            <w:r>
              <w:rPr>
                <w:rFonts w:ascii="宋体" w:hAnsi="宋体" w:eastAsia="宋体" w:cs="Times New Roman"/>
                <w:b/>
                <w:color w:val="auto"/>
                <w:kern w:val="0"/>
                <w:szCs w:val="24"/>
              </w:rPr>
              <w:t>岗位</w:t>
            </w:r>
            <w:r>
              <w:rPr>
                <w:rFonts w:hint="eastAsia" w:ascii="宋体" w:hAnsi="宋体" w:eastAsia="宋体" w:cs="Times New Roman"/>
                <w:b/>
                <w:color w:val="auto"/>
                <w:kern w:val="0"/>
                <w:szCs w:val="24"/>
              </w:rPr>
              <w:t>：站长、副站长</w:t>
            </w:r>
          </w:p>
        </w:tc>
        <w:tc>
          <w:tcPr>
            <w:tcW w:w="328" w:type="pct"/>
            <w:tcBorders>
              <w:bottom w:val="single" w:color="auto" w:sz="4" w:space="0"/>
            </w:tcBorders>
            <w:shd w:val="clear" w:color="auto" w:fill="F1F1F1" w:themeFill="background1" w:themeFillShade="F2"/>
            <w:vAlign w:val="center"/>
          </w:tcPr>
          <w:p>
            <w:pPr>
              <w:widowControl w:val="0"/>
              <w:spacing w:after="0" w:line="240" w:lineRule="auto"/>
              <w:ind w:left="0" w:firstLine="0"/>
              <w:jc w:val="center"/>
              <w:rPr>
                <w:rFonts w:ascii="宋体" w:hAnsi="宋体" w:eastAsia="宋体" w:cs="Times New Roman"/>
                <w:b/>
                <w:color w:val="auto"/>
                <w:kern w:val="0"/>
                <w:szCs w:val="24"/>
              </w:rPr>
            </w:pPr>
            <w:r>
              <w:rPr>
                <w:rFonts w:hint="eastAsia" w:ascii="宋体" w:hAnsi="宋体" w:eastAsia="宋体" w:cs="Times New Roman"/>
                <w:b/>
                <w:color w:val="auto"/>
                <w:kern w:val="0"/>
                <w:szCs w:val="24"/>
              </w:rPr>
              <w:t>风险点</w:t>
            </w:r>
          </w:p>
        </w:tc>
        <w:tc>
          <w:tcPr>
            <w:tcW w:w="515" w:type="pct"/>
            <w:tcBorders>
              <w:bottom w:val="single" w:color="auto" w:sz="4" w:space="0"/>
            </w:tcBorders>
            <w:shd w:val="clear" w:color="auto" w:fill="F1F1F1" w:themeFill="background1" w:themeFillShade="F2"/>
            <w:vAlign w:val="center"/>
          </w:tcPr>
          <w:p>
            <w:pPr>
              <w:widowControl w:val="0"/>
              <w:spacing w:after="0" w:line="240" w:lineRule="auto"/>
              <w:ind w:left="0" w:firstLine="0"/>
              <w:jc w:val="center"/>
              <w:rPr>
                <w:rFonts w:ascii="宋体" w:hAnsi="宋体" w:eastAsia="宋体" w:cs="Times New Roman"/>
                <w:b/>
                <w:color w:val="auto"/>
                <w:kern w:val="0"/>
                <w:szCs w:val="24"/>
              </w:rPr>
            </w:pPr>
            <w:r>
              <w:rPr>
                <w:rFonts w:hint="eastAsia" w:ascii="宋体" w:hAnsi="宋体" w:eastAsia="宋体" w:cs="Times New Roman"/>
                <w:b/>
                <w:color w:val="auto"/>
                <w:kern w:val="0"/>
                <w:szCs w:val="24"/>
              </w:rPr>
              <w:t>风险事件</w:t>
            </w:r>
          </w:p>
        </w:tc>
        <w:tc>
          <w:tcPr>
            <w:tcW w:w="1872" w:type="pct"/>
            <w:tcBorders>
              <w:bottom w:val="single" w:color="auto" w:sz="4" w:space="0"/>
            </w:tcBorders>
            <w:shd w:val="clear" w:color="auto" w:fill="F1F1F1" w:themeFill="background1" w:themeFillShade="F2"/>
            <w:vAlign w:val="center"/>
          </w:tcPr>
          <w:p>
            <w:pPr>
              <w:widowControl w:val="0"/>
              <w:spacing w:after="0" w:line="240" w:lineRule="auto"/>
              <w:ind w:left="0" w:firstLine="0"/>
              <w:jc w:val="center"/>
              <w:rPr>
                <w:rFonts w:ascii="宋体" w:hAnsi="宋体" w:eastAsia="宋体" w:cs="Times New Roman"/>
                <w:b/>
                <w:color w:val="auto"/>
                <w:kern w:val="0"/>
                <w:szCs w:val="24"/>
              </w:rPr>
            </w:pPr>
            <w:r>
              <w:rPr>
                <w:rFonts w:ascii="宋体" w:hAnsi="宋体" w:eastAsia="宋体" w:cs="Times New Roman"/>
                <w:b/>
                <w:color w:val="auto"/>
                <w:kern w:val="0"/>
                <w:szCs w:val="24"/>
              </w:rPr>
              <w:t>风险管控措施</w:t>
            </w:r>
          </w:p>
        </w:tc>
        <w:tc>
          <w:tcPr>
            <w:tcW w:w="1688" w:type="pct"/>
            <w:tcBorders>
              <w:bottom w:val="single" w:color="auto" w:sz="4" w:space="0"/>
            </w:tcBorders>
            <w:shd w:val="clear" w:color="auto" w:fill="F1F1F1" w:themeFill="background1" w:themeFillShade="F2"/>
            <w:vAlign w:val="center"/>
          </w:tcPr>
          <w:p>
            <w:pPr>
              <w:widowControl w:val="0"/>
              <w:spacing w:after="0" w:line="240" w:lineRule="auto"/>
              <w:ind w:left="0" w:firstLine="0"/>
              <w:jc w:val="center"/>
              <w:rPr>
                <w:rFonts w:ascii="宋体" w:hAnsi="宋体" w:eastAsia="宋体" w:cs="Times New Roman"/>
                <w:b/>
                <w:color w:val="auto"/>
                <w:kern w:val="0"/>
                <w:szCs w:val="24"/>
              </w:rPr>
            </w:pPr>
            <w:r>
              <w:rPr>
                <w:rFonts w:ascii="宋体" w:hAnsi="宋体" w:eastAsia="宋体" w:cs="Times New Roman"/>
                <w:b/>
                <w:color w:val="auto"/>
                <w:kern w:val="0"/>
                <w:szCs w:val="24"/>
              </w:rPr>
              <w:t>应急处置措施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97" w:type="pct"/>
            <w:vMerge w:val="restart"/>
          </w:tcPr>
          <w:p>
            <w:pPr>
              <w:widowControl w:val="0"/>
              <w:spacing w:beforeLines="100" w:afterLines="50" w:line="360" w:lineRule="auto"/>
              <w:ind w:left="0" w:firstLine="0"/>
              <w:jc w:val="left"/>
              <w:rPr>
                <w:rFonts w:ascii="宋体" w:hAnsi="宋体" w:eastAsia="宋体" w:cs="Times New Roman"/>
                <w:b/>
                <w:color w:val="auto"/>
                <w:kern w:val="0"/>
                <w:szCs w:val="24"/>
              </w:rPr>
            </w:pPr>
            <w:r>
              <w:rPr>
                <w:rFonts w:hint="eastAsia" w:ascii="宋体" w:hAnsi="宋体" w:eastAsia="宋体" w:cs="Times New Roman"/>
                <w:b/>
                <w:color w:val="auto"/>
                <w:kern w:val="0"/>
                <w:szCs w:val="24"/>
              </w:rPr>
              <w:t>作业步骤/</w:t>
            </w:r>
            <w:r>
              <w:rPr>
                <w:rFonts w:ascii="宋体" w:hAnsi="宋体" w:eastAsia="宋体" w:cs="Times New Roman"/>
                <w:b/>
                <w:color w:val="auto"/>
                <w:kern w:val="0"/>
                <w:szCs w:val="24"/>
              </w:rPr>
              <w:t>内容</w:t>
            </w:r>
            <w:r>
              <w:rPr>
                <w:rFonts w:hint="eastAsia" w:ascii="宋体" w:hAnsi="宋体" w:eastAsia="宋体" w:cs="Times New Roman"/>
                <w:b/>
                <w:color w:val="auto"/>
                <w:kern w:val="0"/>
                <w:szCs w:val="24"/>
              </w:rPr>
              <w:t>：</w:t>
            </w:r>
          </w:p>
          <w:p>
            <w:pPr>
              <w:widowControl w:val="0"/>
              <w:spacing w:beforeLines="100" w:afterLines="50" w:line="240" w:lineRule="auto"/>
              <w:ind w:left="0" w:firstLine="0"/>
              <w:jc w:val="both"/>
              <w:rPr>
                <w:rFonts w:cs="宋体"/>
                <w:color w:val="auto"/>
                <w:kern w:val="0"/>
                <w:szCs w:val="24"/>
              </w:rPr>
            </w:pPr>
            <w:r>
              <w:rPr>
                <w:rFonts w:hint="eastAsia" w:ascii="Calibri" w:hAnsi="Calibri" w:eastAsia="宋体" w:cs="Times New Roman"/>
                <w:color w:val="auto"/>
                <w:szCs w:val="24"/>
              </w:rPr>
              <w:t>值班巡查</w:t>
            </w:r>
            <w:r>
              <w:rPr>
                <w:rFonts w:hint="eastAsia" w:ascii="宋体" w:hAnsi="宋体" w:eastAsia="宋体" w:cs="Times New Roman"/>
                <w:color w:val="auto"/>
                <w:szCs w:val="24"/>
              </w:rPr>
              <w:t>→</w:t>
            </w:r>
            <w:r>
              <w:rPr>
                <w:rFonts w:ascii="Calibri" w:hAnsi="Calibri" w:eastAsia="宋体" w:cs="Times New Roman"/>
                <w:color w:val="auto"/>
                <w:szCs w:val="24"/>
              </w:rPr>
              <w:t>岗前准备</w:t>
            </w:r>
            <w:r>
              <w:rPr>
                <w:rFonts w:hint="eastAsia" w:ascii="Calibri" w:hAnsi="Calibri" w:eastAsia="宋体" w:cs="Times New Roman"/>
                <w:color w:val="auto"/>
                <w:szCs w:val="24"/>
              </w:rPr>
              <w:t>→带队巡查</w:t>
            </w:r>
            <w:r>
              <w:rPr>
                <w:rFonts w:hint="eastAsia" w:ascii="宋体" w:hAnsi="宋体" w:eastAsia="宋体" w:cs="Times New Roman"/>
                <w:color w:val="auto"/>
                <w:szCs w:val="24"/>
              </w:rPr>
              <w:t>→</w:t>
            </w:r>
            <w:r>
              <w:rPr>
                <w:rFonts w:hint="eastAsia" w:ascii="Calibri" w:hAnsi="Calibri" w:eastAsia="宋体" w:cs="Times New Roman"/>
                <w:color w:val="auto"/>
                <w:szCs w:val="24"/>
              </w:rPr>
              <w:t>岗后总结</w:t>
            </w:r>
          </w:p>
        </w:tc>
        <w:tc>
          <w:tcPr>
            <w:tcW w:w="328" w:type="pct"/>
            <w:vMerge w:val="restart"/>
            <w:shd w:val="clear" w:color="auto" w:fill="auto"/>
            <w:vAlign w:val="center"/>
          </w:tcPr>
          <w:p>
            <w:pPr>
              <w:widowControl w:val="0"/>
              <w:spacing w:beforeLines="20" w:after="0" w:line="240" w:lineRule="auto"/>
              <w:ind w:left="0" w:firstLine="0"/>
              <w:jc w:val="center"/>
              <w:rPr>
                <w:rFonts w:ascii="宋体" w:hAnsi="宋体" w:eastAsia="宋体" w:cs="Times New Roman"/>
                <w:color w:val="auto"/>
                <w:kern w:val="0"/>
                <w:szCs w:val="24"/>
              </w:rPr>
            </w:pPr>
            <w:r>
              <w:rPr>
                <w:rFonts w:hint="eastAsia" w:ascii="宋体" w:hAnsi="宋体" w:eastAsia="宋体" w:cs="Times New Roman"/>
                <w:color w:val="auto"/>
                <w:kern w:val="0"/>
                <w:szCs w:val="24"/>
              </w:rPr>
              <w:t>宿办区、收费广场。</w:t>
            </w:r>
          </w:p>
        </w:tc>
        <w:tc>
          <w:tcPr>
            <w:tcW w:w="515" w:type="pct"/>
            <w:shd w:val="clear" w:color="auto" w:fill="FAE600"/>
            <w:vAlign w:val="center"/>
          </w:tcPr>
          <w:p>
            <w:pPr>
              <w:widowControl w:val="0"/>
              <w:spacing w:beforeLines="20" w:after="0" w:line="240" w:lineRule="auto"/>
              <w:ind w:left="0" w:firstLine="0"/>
              <w:jc w:val="center"/>
              <w:rPr>
                <w:rFonts w:ascii="宋体" w:hAnsi="宋体" w:eastAsia="宋体" w:cs="Times New Roman"/>
                <w:b/>
                <w:color w:val="auto"/>
                <w:kern w:val="0"/>
                <w:sz w:val="28"/>
                <w:szCs w:val="24"/>
              </w:rPr>
            </w:pPr>
            <w:r>
              <w:rPr>
                <w:rFonts w:hint="eastAsia" w:ascii="宋体" w:hAnsi="宋体" w:eastAsia="宋体" w:cs="Times New Roman"/>
                <w:b/>
                <w:color w:val="auto"/>
                <w:kern w:val="0"/>
                <w:sz w:val="28"/>
                <w:szCs w:val="24"/>
              </w:rPr>
              <w:t>车辆</w:t>
            </w:r>
            <w:r>
              <w:rPr>
                <w:rFonts w:ascii="宋体" w:hAnsi="宋体" w:eastAsia="宋体" w:cs="Times New Roman"/>
                <w:b/>
                <w:color w:val="auto"/>
                <w:kern w:val="0"/>
                <w:sz w:val="28"/>
                <w:szCs w:val="24"/>
              </w:rPr>
              <w:t>伤害</w:t>
            </w:r>
          </w:p>
        </w:tc>
        <w:tc>
          <w:tcPr>
            <w:tcW w:w="1872" w:type="pct"/>
            <w:shd w:val="clear" w:color="auto" w:fill="auto"/>
            <w:vAlign w:val="center"/>
          </w:tcPr>
          <w:p>
            <w:pPr>
              <w:widowControl w:val="0"/>
              <w:spacing w:beforeLines="20" w:after="0" w:line="280" w:lineRule="exact"/>
              <w:ind w:left="0" w:firstLine="0"/>
              <w:jc w:val="both"/>
              <w:rPr>
                <w:rFonts w:ascii="宋体" w:hAnsi="宋体" w:eastAsia="宋体" w:cs="Times New Roman"/>
                <w:color w:val="auto"/>
                <w:kern w:val="0"/>
                <w:szCs w:val="24"/>
              </w:rPr>
            </w:pPr>
            <w:r>
              <w:rPr>
                <w:rFonts w:ascii="宋体" w:hAnsi="宋体" w:eastAsia="宋体" w:cs="Times New Roman"/>
                <w:color w:val="auto"/>
                <w:kern w:val="0"/>
                <w:szCs w:val="24"/>
              </w:rPr>
              <w:t>1.确保车道及广场各类防护设施</w:t>
            </w:r>
            <w:r>
              <w:rPr>
                <w:rFonts w:hint="eastAsia" w:ascii="宋体" w:hAnsi="宋体" w:eastAsia="宋体" w:cs="Times New Roman"/>
                <w:color w:val="auto"/>
                <w:kern w:val="0"/>
                <w:szCs w:val="24"/>
              </w:rPr>
              <w:t>、标志齐全有效；</w:t>
            </w:r>
          </w:p>
          <w:p>
            <w:pPr>
              <w:widowControl w:val="0"/>
              <w:spacing w:beforeLines="20" w:after="0" w:line="280" w:lineRule="exact"/>
              <w:ind w:left="0" w:firstLine="0"/>
              <w:jc w:val="both"/>
              <w:rPr>
                <w:rFonts w:ascii="宋体" w:hAnsi="宋体" w:eastAsia="宋体" w:cs="Times New Roman"/>
                <w:color w:val="auto"/>
                <w:kern w:val="0"/>
                <w:szCs w:val="24"/>
              </w:rPr>
            </w:pPr>
            <w:r>
              <w:rPr>
                <w:rFonts w:hint="eastAsia" w:ascii="宋体" w:hAnsi="宋体" w:eastAsia="宋体" w:cs="Times New Roman"/>
                <w:color w:val="auto"/>
                <w:kern w:val="0"/>
                <w:szCs w:val="24"/>
              </w:rPr>
              <w:t>2. 组织收费、疏导及检查作业或穿越车道时，穿戴反光警示标志服，注意观察来往车辆；</w:t>
            </w:r>
          </w:p>
          <w:p>
            <w:pPr>
              <w:widowControl w:val="0"/>
              <w:spacing w:beforeLines="20" w:after="0" w:line="280" w:lineRule="exact"/>
              <w:ind w:left="0" w:firstLine="0"/>
              <w:jc w:val="both"/>
              <w:rPr>
                <w:rFonts w:ascii="宋体" w:hAnsi="宋体" w:eastAsia="宋体" w:cs="Times New Roman"/>
                <w:color w:val="auto"/>
                <w:kern w:val="0"/>
                <w:szCs w:val="24"/>
              </w:rPr>
            </w:pPr>
            <w:r>
              <w:rPr>
                <w:rFonts w:hint="eastAsia" w:ascii="宋体" w:hAnsi="宋体" w:eastAsia="宋体" w:cs="Times New Roman"/>
                <w:color w:val="auto"/>
                <w:kern w:val="0"/>
                <w:szCs w:val="24"/>
              </w:rPr>
              <w:t>3.遵守公司车辆管理及使用安全规章制度。</w:t>
            </w:r>
          </w:p>
        </w:tc>
        <w:tc>
          <w:tcPr>
            <w:tcW w:w="1688" w:type="pct"/>
            <w:shd w:val="clear" w:color="auto" w:fill="auto"/>
            <w:vAlign w:val="center"/>
          </w:tcPr>
          <w:p>
            <w:pPr>
              <w:widowControl w:val="0"/>
              <w:spacing w:beforeLines="20" w:after="0" w:line="280" w:lineRule="exact"/>
              <w:ind w:left="0" w:firstLine="0"/>
              <w:jc w:val="both"/>
              <w:rPr>
                <w:rFonts w:ascii="宋体" w:hAnsi="宋体" w:eastAsia="宋体" w:cs="Times New Roman"/>
                <w:color w:val="auto"/>
                <w:kern w:val="0"/>
                <w:szCs w:val="24"/>
              </w:rPr>
            </w:pPr>
            <w:r>
              <w:rPr>
                <w:rFonts w:hint="eastAsia" w:ascii="宋体" w:hAnsi="宋体" w:eastAsia="宋体" w:cs="Times New Roman"/>
                <w:color w:val="auto"/>
                <w:kern w:val="0"/>
                <w:szCs w:val="24"/>
              </w:rPr>
              <w:t>1.视情况转移伤员或设置警戒区；2.积极抢救伤员：如受伤人员出现骨折、休克或昏迷状况，应采取临时包扎止血措施，应实施人工呼吸或胸外心脏挤压法抢救；3.组织或参与现场救援、交通组织；4.及时上报并拨打救援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97" w:type="pct"/>
            <w:vMerge w:val="continue"/>
          </w:tcPr>
          <w:p>
            <w:pPr>
              <w:widowControl w:val="0"/>
              <w:spacing w:beforeLines="100" w:afterLines="50" w:line="360" w:lineRule="auto"/>
              <w:ind w:left="0" w:firstLine="0"/>
              <w:jc w:val="both"/>
              <w:rPr>
                <w:rFonts w:ascii="宋体" w:hAnsi="宋体" w:eastAsia="宋体" w:cs="Times New Roman"/>
                <w:b/>
                <w:color w:val="auto"/>
                <w:kern w:val="0"/>
                <w:szCs w:val="24"/>
              </w:rPr>
            </w:pPr>
          </w:p>
        </w:tc>
        <w:tc>
          <w:tcPr>
            <w:tcW w:w="328" w:type="pct"/>
            <w:vMerge w:val="continue"/>
            <w:shd w:val="clear" w:color="auto" w:fill="auto"/>
            <w:vAlign w:val="center"/>
          </w:tcPr>
          <w:p>
            <w:pPr>
              <w:widowControl w:val="0"/>
              <w:spacing w:beforeLines="20" w:after="0" w:line="240" w:lineRule="auto"/>
              <w:ind w:left="0" w:firstLine="0"/>
              <w:jc w:val="center"/>
              <w:rPr>
                <w:rFonts w:ascii="宋体" w:hAnsi="宋体" w:eastAsia="宋体" w:cs="Times New Roman"/>
                <w:color w:val="auto"/>
                <w:kern w:val="0"/>
                <w:szCs w:val="24"/>
              </w:rPr>
            </w:pPr>
          </w:p>
        </w:tc>
        <w:tc>
          <w:tcPr>
            <w:tcW w:w="515" w:type="pct"/>
            <w:tcBorders>
              <w:bottom w:val="single" w:color="auto" w:sz="4" w:space="0"/>
            </w:tcBorders>
            <w:shd w:val="clear" w:color="auto" w:fill="FAE600"/>
            <w:vAlign w:val="center"/>
          </w:tcPr>
          <w:p>
            <w:pPr>
              <w:widowControl w:val="0"/>
              <w:spacing w:beforeLines="20" w:after="0" w:line="240" w:lineRule="auto"/>
              <w:ind w:left="0" w:firstLine="0"/>
              <w:jc w:val="center"/>
              <w:rPr>
                <w:rFonts w:ascii="宋体" w:hAnsi="宋体" w:eastAsia="宋体" w:cs="Times New Roman"/>
                <w:b/>
                <w:color w:val="auto"/>
                <w:kern w:val="0"/>
                <w:sz w:val="28"/>
                <w:szCs w:val="24"/>
              </w:rPr>
            </w:pPr>
            <w:r>
              <w:rPr>
                <w:rFonts w:hint="eastAsia" w:ascii="宋体" w:hAnsi="宋体" w:eastAsia="宋体" w:cs="Times New Roman"/>
                <w:b/>
                <w:color w:val="auto"/>
                <w:kern w:val="0"/>
                <w:sz w:val="28"/>
                <w:szCs w:val="24"/>
              </w:rPr>
              <w:t>火灾爆炸</w:t>
            </w:r>
          </w:p>
        </w:tc>
        <w:tc>
          <w:tcPr>
            <w:tcW w:w="1872" w:type="pct"/>
            <w:shd w:val="clear" w:color="auto" w:fill="auto"/>
            <w:vAlign w:val="center"/>
          </w:tcPr>
          <w:p>
            <w:pPr>
              <w:widowControl w:val="0"/>
              <w:spacing w:beforeLines="20" w:after="0" w:line="280" w:lineRule="exact"/>
              <w:ind w:left="0" w:firstLine="0"/>
              <w:jc w:val="both"/>
              <w:rPr>
                <w:rFonts w:ascii="宋体" w:hAnsi="宋体" w:eastAsia="宋体" w:cs="Times New Roman"/>
                <w:color w:val="auto"/>
                <w:kern w:val="0"/>
                <w:szCs w:val="24"/>
              </w:rPr>
            </w:pPr>
            <w:r>
              <w:rPr>
                <w:rFonts w:hint="eastAsia" w:ascii="宋体" w:hAnsi="宋体" w:eastAsia="宋体" w:cs="Times New Roman"/>
                <w:color w:val="auto"/>
                <w:kern w:val="0"/>
                <w:szCs w:val="24"/>
              </w:rPr>
              <w:t>1.制定广场及站区危化品泄漏、火灾爆炸现场处置方案，组织应急演练与培训；</w:t>
            </w:r>
          </w:p>
          <w:p>
            <w:pPr>
              <w:widowControl w:val="0"/>
              <w:spacing w:beforeLines="20" w:after="0" w:line="280" w:lineRule="exact"/>
              <w:ind w:left="0" w:firstLine="0"/>
              <w:jc w:val="both"/>
              <w:rPr>
                <w:rFonts w:ascii="宋体" w:hAnsi="宋体" w:eastAsia="宋体" w:cs="Times New Roman"/>
                <w:color w:val="auto"/>
                <w:kern w:val="0"/>
                <w:szCs w:val="24"/>
              </w:rPr>
            </w:pPr>
            <w:r>
              <w:rPr>
                <w:rFonts w:hint="eastAsia" w:ascii="宋体" w:hAnsi="宋体" w:eastAsia="宋体" w:cs="Times New Roman"/>
                <w:color w:val="auto"/>
                <w:kern w:val="0"/>
                <w:szCs w:val="24"/>
              </w:rPr>
              <w:t>2.组织开展隐患排查治理，确保消防器材齐全有效；</w:t>
            </w:r>
          </w:p>
          <w:p>
            <w:pPr>
              <w:widowControl w:val="0"/>
              <w:spacing w:beforeLines="20" w:after="0" w:line="280" w:lineRule="exact"/>
              <w:ind w:left="0" w:firstLine="0"/>
              <w:jc w:val="both"/>
              <w:rPr>
                <w:rFonts w:ascii="宋体" w:hAnsi="宋体" w:eastAsia="宋体" w:cs="Times New Roman"/>
                <w:color w:val="auto"/>
                <w:kern w:val="0"/>
                <w:szCs w:val="24"/>
              </w:rPr>
            </w:pPr>
            <w:r>
              <w:rPr>
                <w:rFonts w:hint="eastAsia" w:ascii="宋体" w:hAnsi="宋体" w:eastAsia="宋体" w:cs="Times New Roman"/>
                <w:color w:val="auto"/>
                <w:kern w:val="0"/>
                <w:szCs w:val="24"/>
              </w:rPr>
              <w:t>3.加强车道机电设备维护管理，定期进行防雷检测；</w:t>
            </w:r>
          </w:p>
          <w:p>
            <w:pPr>
              <w:widowControl w:val="0"/>
              <w:spacing w:beforeLines="20" w:after="0" w:line="280" w:lineRule="exact"/>
              <w:ind w:left="0" w:firstLine="0"/>
              <w:jc w:val="both"/>
              <w:rPr>
                <w:rFonts w:ascii="宋体" w:hAnsi="宋体" w:eastAsia="宋体" w:cs="Times New Roman"/>
                <w:color w:val="auto"/>
                <w:kern w:val="0"/>
                <w:szCs w:val="24"/>
              </w:rPr>
            </w:pPr>
            <w:r>
              <w:rPr>
                <w:rFonts w:hint="eastAsia" w:ascii="宋体" w:hAnsi="宋体" w:eastAsia="宋体" w:cs="Times New Roman"/>
                <w:color w:val="auto"/>
                <w:kern w:val="0"/>
                <w:szCs w:val="24"/>
              </w:rPr>
              <w:t>4.加强用火、用电及用气管理，发现隐患及时治理。</w:t>
            </w:r>
          </w:p>
        </w:tc>
        <w:tc>
          <w:tcPr>
            <w:tcW w:w="1688" w:type="pct"/>
            <w:shd w:val="clear" w:color="auto" w:fill="auto"/>
            <w:vAlign w:val="center"/>
          </w:tcPr>
          <w:p>
            <w:pPr>
              <w:widowControl w:val="0"/>
              <w:spacing w:beforeLines="20" w:after="0" w:line="280" w:lineRule="exact"/>
              <w:ind w:left="0" w:firstLine="0"/>
              <w:jc w:val="both"/>
              <w:rPr>
                <w:rFonts w:ascii="宋体" w:hAnsi="宋体" w:eastAsia="宋体" w:cs="Times New Roman"/>
                <w:color w:val="auto"/>
                <w:kern w:val="0"/>
                <w:szCs w:val="24"/>
              </w:rPr>
            </w:pPr>
            <w:r>
              <w:rPr>
                <w:rFonts w:hint="eastAsia" w:ascii="宋体" w:hAnsi="宋体" w:eastAsia="宋体" w:cs="Times New Roman"/>
                <w:color w:val="auto"/>
                <w:kern w:val="0"/>
                <w:szCs w:val="24"/>
              </w:rPr>
              <w:t>1.火情较小时，组织人员进行初期火灾扑救；危化品车辆火灾或火情失控时应及时组织疏散、设置警戒区；2.电气火灾时应迅速组织电工切断电源；3.有人员伤亡时，应移至安全区进行救护或设置临时安全区；</w:t>
            </w:r>
            <w:r>
              <w:rPr>
                <w:rFonts w:ascii="宋体" w:hAnsi="宋体" w:eastAsia="宋体" w:cs="Times New Roman"/>
                <w:color w:val="auto"/>
                <w:kern w:val="0"/>
                <w:szCs w:val="24"/>
              </w:rPr>
              <w:t>4.</w:t>
            </w:r>
            <w:r>
              <w:rPr>
                <w:rFonts w:hint="eastAsia" w:ascii="宋体" w:hAnsi="宋体" w:eastAsia="宋体" w:cs="Times New Roman"/>
                <w:color w:val="auto"/>
                <w:kern w:val="0"/>
                <w:szCs w:val="24"/>
              </w:rPr>
              <w:t>及时上报并拨打救援电话。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97" w:type="pct"/>
            <w:vMerge w:val="continue"/>
          </w:tcPr>
          <w:p>
            <w:pPr>
              <w:widowControl w:val="0"/>
              <w:spacing w:beforeLines="100" w:afterLines="50" w:line="360" w:lineRule="auto"/>
              <w:ind w:left="0" w:firstLine="0"/>
              <w:jc w:val="both"/>
              <w:rPr>
                <w:rFonts w:ascii="宋体" w:hAnsi="宋体" w:eastAsia="宋体" w:cs="Times New Roman"/>
                <w:b/>
                <w:color w:val="auto"/>
                <w:kern w:val="0"/>
                <w:szCs w:val="24"/>
              </w:rPr>
            </w:pPr>
          </w:p>
        </w:tc>
        <w:tc>
          <w:tcPr>
            <w:tcW w:w="328" w:type="pct"/>
            <w:vMerge w:val="continue"/>
            <w:shd w:val="clear" w:color="auto" w:fill="auto"/>
            <w:vAlign w:val="center"/>
          </w:tcPr>
          <w:p>
            <w:pPr>
              <w:widowControl w:val="0"/>
              <w:spacing w:beforeLines="20" w:after="0" w:line="240" w:lineRule="auto"/>
              <w:ind w:left="0" w:firstLine="0"/>
              <w:jc w:val="center"/>
              <w:rPr>
                <w:rFonts w:ascii="宋体" w:hAnsi="宋体" w:eastAsia="宋体" w:cs="Times New Roman"/>
                <w:color w:val="auto"/>
                <w:kern w:val="0"/>
                <w:szCs w:val="24"/>
              </w:rPr>
            </w:pPr>
          </w:p>
        </w:tc>
        <w:tc>
          <w:tcPr>
            <w:tcW w:w="515" w:type="pct"/>
            <w:shd w:val="clear" w:color="auto" w:fill="3764FF"/>
            <w:vAlign w:val="center"/>
          </w:tcPr>
          <w:p>
            <w:pPr>
              <w:widowControl w:val="0"/>
              <w:spacing w:beforeLines="20" w:after="0" w:line="320" w:lineRule="exact"/>
              <w:ind w:left="0" w:firstLine="0"/>
              <w:jc w:val="center"/>
              <w:rPr>
                <w:rFonts w:ascii="宋体" w:hAnsi="宋体" w:eastAsia="宋体" w:cs="Times New Roman"/>
                <w:b/>
                <w:color w:val="auto"/>
                <w:kern w:val="0"/>
                <w:sz w:val="28"/>
                <w:szCs w:val="24"/>
              </w:rPr>
            </w:pPr>
            <w:r>
              <w:rPr>
                <w:rFonts w:hint="eastAsia" w:ascii="宋体" w:hAnsi="宋体" w:eastAsia="宋体" w:cs="Times New Roman"/>
                <w:b/>
                <w:color w:val="auto"/>
                <w:kern w:val="0"/>
                <w:sz w:val="28"/>
                <w:szCs w:val="24"/>
              </w:rPr>
              <w:t>财产损失</w:t>
            </w:r>
          </w:p>
          <w:p>
            <w:pPr>
              <w:widowControl w:val="0"/>
              <w:spacing w:beforeLines="20" w:after="0" w:line="320" w:lineRule="exact"/>
              <w:ind w:left="0" w:firstLine="0"/>
              <w:jc w:val="center"/>
              <w:rPr>
                <w:rFonts w:ascii="宋体" w:hAnsi="宋体" w:eastAsia="宋体" w:cs="Times New Roman"/>
                <w:b/>
                <w:color w:val="auto"/>
                <w:kern w:val="0"/>
                <w:sz w:val="28"/>
                <w:szCs w:val="24"/>
              </w:rPr>
            </w:pPr>
            <w:r>
              <w:rPr>
                <w:rFonts w:hint="eastAsia" w:ascii="宋体" w:hAnsi="宋体" w:eastAsia="宋体" w:cs="Times New Roman"/>
                <w:b/>
                <w:color w:val="auto"/>
                <w:kern w:val="0"/>
                <w:sz w:val="28"/>
                <w:szCs w:val="24"/>
              </w:rPr>
              <w:t>暴力纠纷</w:t>
            </w:r>
          </w:p>
        </w:tc>
        <w:tc>
          <w:tcPr>
            <w:tcW w:w="1872" w:type="pct"/>
            <w:shd w:val="clear" w:color="auto" w:fill="auto"/>
            <w:vAlign w:val="center"/>
          </w:tcPr>
          <w:p>
            <w:pPr>
              <w:widowControl w:val="0"/>
              <w:spacing w:beforeLines="20" w:after="0" w:line="280" w:lineRule="exact"/>
              <w:ind w:left="0" w:firstLine="0"/>
              <w:jc w:val="both"/>
              <w:rPr>
                <w:rFonts w:ascii="宋体" w:hAnsi="宋体" w:eastAsia="宋体" w:cs="Times New Roman"/>
                <w:color w:val="auto"/>
                <w:kern w:val="0"/>
                <w:szCs w:val="24"/>
              </w:rPr>
            </w:pPr>
            <w:r>
              <w:rPr>
                <w:rFonts w:hint="eastAsia" w:ascii="宋体" w:hAnsi="宋体" w:eastAsia="宋体" w:cs="Times New Roman"/>
                <w:color w:val="auto"/>
                <w:kern w:val="0"/>
                <w:szCs w:val="24"/>
              </w:rPr>
              <w:t>1.组织学习公司收费、疏导及绿通检查管理规定；</w:t>
            </w:r>
          </w:p>
          <w:p>
            <w:pPr>
              <w:widowControl w:val="0"/>
              <w:spacing w:beforeLines="20" w:after="0" w:line="280" w:lineRule="exact"/>
              <w:ind w:left="0" w:firstLine="0"/>
              <w:jc w:val="both"/>
              <w:rPr>
                <w:rFonts w:ascii="宋体" w:hAnsi="宋体" w:eastAsia="宋体" w:cs="Times New Roman"/>
                <w:color w:val="auto"/>
                <w:kern w:val="0"/>
                <w:szCs w:val="24"/>
              </w:rPr>
            </w:pPr>
            <w:r>
              <w:rPr>
                <w:rFonts w:hint="eastAsia" w:ascii="宋体" w:hAnsi="宋体" w:eastAsia="宋体" w:cs="Times New Roman"/>
                <w:color w:val="auto"/>
                <w:kern w:val="0"/>
                <w:szCs w:val="24"/>
              </w:rPr>
              <w:t>2.确保站内防暴、监控等设施齐全有效；</w:t>
            </w:r>
          </w:p>
          <w:p>
            <w:pPr>
              <w:widowControl w:val="0"/>
              <w:spacing w:beforeLines="20" w:after="0" w:line="280" w:lineRule="exact"/>
              <w:ind w:left="0" w:firstLine="0"/>
              <w:jc w:val="both"/>
              <w:rPr>
                <w:rFonts w:ascii="宋体" w:hAnsi="宋体" w:eastAsia="宋体" w:cs="Times New Roman"/>
                <w:color w:val="auto"/>
                <w:kern w:val="0"/>
                <w:szCs w:val="24"/>
              </w:rPr>
            </w:pPr>
            <w:r>
              <w:rPr>
                <w:rFonts w:hint="eastAsia" w:ascii="宋体" w:hAnsi="宋体" w:eastAsia="宋体" w:cs="Times New Roman"/>
                <w:color w:val="auto"/>
                <w:kern w:val="0"/>
                <w:szCs w:val="24"/>
              </w:rPr>
              <w:t>3.加强应急演练与培训。</w:t>
            </w:r>
          </w:p>
        </w:tc>
        <w:tc>
          <w:tcPr>
            <w:tcW w:w="1688" w:type="pct"/>
            <w:shd w:val="clear" w:color="auto" w:fill="auto"/>
            <w:vAlign w:val="center"/>
          </w:tcPr>
          <w:p>
            <w:pPr>
              <w:widowControl w:val="0"/>
              <w:spacing w:beforeLines="20" w:after="0" w:line="280" w:lineRule="exact"/>
              <w:ind w:left="0" w:firstLine="0"/>
              <w:jc w:val="both"/>
              <w:rPr>
                <w:rFonts w:ascii="宋体" w:hAnsi="宋体" w:eastAsia="宋体" w:cs="Times New Roman"/>
                <w:color w:val="auto"/>
                <w:kern w:val="0"/>
                <w:szCs w:val="24"/>
              </w:rPr>
            </w:pPr>
            <w:r>
              <w:rPr>
                <w:rFonts w:hint="eastAsia" w:ascii="宋体" w:hAnsi="宋体" w:eastAsia="宋体" w:cs="Times New Roman"/>
                <w:color w:val="auto"/>
                <w:kern w:val="0"/>
                <w:szCs w:val="24"/>
              </w:rPr>
              <w:t>1.组织现场救援和交通组织；2.有人员伤亡时及时进行救护；</w:t>
            </w:r>
          </w:p>
          <w:p>
            <w:pPr>
              <w:widowControl w:val="0"/>
              <w:spacing w:beforeLines="20" w:after="0" w:line="280" w:lineRule="exact"/>
              <w:ind w:left="0" w:firstLine="0"/>
              <w:jc w:val="both"/>
              <w:rPr>
                <w:rFonts w:ascii="宋体" w:hAnsi="宋体" w:eastAsia="宋体" w:cs="Times New Roman"/>
                <w:color w:val="auto"/>
                <w:kern w:val="0"/>
                <w:szCs w:val="24"/>
              </w:rPr>
            </w:pPr>
            <w:r>
              <w:rPr>
                <w:rFonts w:hint="eastAsia" w:ascii="宋体" w:hAnsi="宋体" w:eastAsia="宋体" w:cs="Times New Roman"/>
                <w:color w:val="auto"/>
                <w:kern w:val="0"/>
                <w:szCs w:val="24"/>
              </w:rPr>
              <w:t>3.视情况上报并拨打救援电话。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97" w:type="pct"/>
            <w:vMerge w:val="continue"/>
            <w:tcBorders>
              <w:bottom w:val="single" w:color="auto" w:sz="4" w:space="0"/>
            </w:tcBorders>
          </w:tcPr>
          <w:p>
            <w:pPr>
              <w:widowControl w:val="0"/>
              <w:spacing w:beforeLines="100" w:afterLines="50" w:line="360" w:lineRule="auto"/>
              <w:ind w:left="0" w:firstLine="0"/>
              <w:jc w:val="both"/>
              <w:rPr>
                <w:rFonts w:ascii="宋体" w:hAnsi="宋体" w:eastAsia="宋体" w:cs="Times New Roman"/>
                <w:b/>
                <w:color w:val="auto"/>
                <w:kern w:val="0"/>
                <w:szCs w:val="24"/>
              </w:rPr>
            </w:pPr>
          </w:p>
        </w:tc>
        <w:tc>
          <w:tcPr>
            <w:tcW w:w="328" w:type="pct"/>
            <w:vMerge w:val="continue"/>
            <w:tcBorders>
              <w:bottom w:val="single" w:color="auto" w:sz="4" w:space="0"/>
            </w:tcBorders>
            <w:shd w:val="clear" w:color="auto" w:fill="auto"/>
            <w:vAlign w:val="center"/>
          </w:tcPr>
          <w:p>
            <w:pPr>
              <w:widowControl w:val="0"/>
              <w:spacing w:beforeLines="20" w:after="0" w:line="240" w:lineRule="auto"/>
              <w:ind w:left="0" w:firstLine="0"/>
              <w:jc w:val="center"/>
              <w:rPr>
                <w:rFonts w:ascii="宋体" w:hAnsi="宋体" w:eastAsia="宋体" w:cs="Times New Roman"/>
                <w:color w:val="auto"/>
                <w:kern w:val="0"/>
                <w:szCs w:val="24"/>
              </w:rPr>
            </w:pPr>
          </w:p>
        </w:tc>
        <w:tc>
          <w:tcPr>
            <w:tcW w:w="515" w:type="pct"/>
            <w:tcBorders>
              <w:bottom w:val="single" w:color="auto" w:sz="4" w:space="0"/>
            </w:tcBorders>
            <w:shd w:val="clear" w:color="auto" w:fill="3764FF"/>
            <w:vAlign w:val="center"/>
          </w:tcPr>
          <w:p>
            <w:pPr>
              <w:widowControl w:val="0"/>
              <w:spacing w:beforeLines="20" w:after="0" w:line="240" w:lineRule="auto"/>
              <w:ind w:left="0" w:firstLine="0"/>
              <w:jc w:val="center"/>
              <w:rPr>
                <w:rFonts w:ascii="宋体" w:hAnsi="宋体" w:eastAsia="宋体" w:cs="Times New Roman"/>
                <w:b/>
                <w:color w:val="auto"/>
                <w:kern w:val="0"/>
                <w:sz w:val="28"/>
                <w:szCs w:val="24"/>
              </w:rPr>
            </w:pPr>
            <w:r>
              <w:rPr>
                <w:rFonts w:hint="eastAsia" w:ascii="宋体" w:hAnsi="宋体" w:eastAsia="宋体" w:cs="Times New Roman"/>
                <w:b/>
                <w:color w:val="auto"/>
                <w:kern w:val="0"/>
                <w:sz w:val="28"/>
                <w:szCs w:val="24"/>
              </w:rPr>
              <w:t>其他</w:t>
            </w:r>
          </w:p>
        </w:tc>
        <w:tc>
          <w:tcPr>
            <w:tcW w:w="1872" w:type="pct"/>
            <w:tcBorders>
              <w:bottom w:val="single" w:color="auto" w:sz="4" w:space="0"/>
            </w:tcBorders>
            <w:shd w:val="clear" w:color="auto" w:fill="auto"/>
            <w:vAlign w:val="center"/>
          </w:tcPr>
          <w:p>
            <w:pPr>
              <w:widowControl w:val="0"/>
              <w:spacing w:beforeLines="20" w:after="0" w:line="280" w:lineRule="exact"/>
              <w:ind w:left="0" w:firstLine="0"/>
              <w:jc w:val="both"/>
              <w:rPr>
                <w:rFonts w:ascii="宋体" w:hAnsi="宋体" w:eastAsia="宋体" w:cs="Times New Roman"/>
                <w:color w:val="auto"/>
                <w:kern w:val="0"/>
                <w:szCs w:val="24"/>
              </w:rPr>
            </w:pPr>
            <w:r>
              <w:rPr>
                <w:rFonts w:ascii="宋体" w:hAnsi="宋体" w:eastAsia="宋体" w:cs="Times New Roman"/>
                <w:color w:val="auto"/>
                <w:kern w:val="0"/>
                <w:szCs w:val="24"/>
              </w:rPr>
              <w:t>1.</w:t>
            </w:r>
            <w:r>
              <w:rPr>
                <w:rFonts w:hint="eastAsia" w:ascii="宋体" w:hAnsi="宋体" w:eastAsia="宋体" w:cs="Times New Roman"/>
                <w:color w:val="auto"/>
                <w:kern w:val="0"/>
                <w:szCs w:val="24"/>
              </w:rPr>
              <w:t>不得酒后驾车、上岗，避免恶劣天气室外高处作业；</w:t>
            </w:r>
          </w:p>
          <w:p>
            <w:pPr>
              <w:widowControl w:val="0"/>
              <w:spacing w:beforeLines="20" w:after="0" w:line="280" w:lineRule="exact"/>
              <w:ind w:left="0" w:firstLine="0"/>
              <w:jc w:val="both"/>
              <w:rPr>
                <w:rFonts w:ascii="宋体" w:hAnsi="宋体" w:eastAsia="宋体" w:cs="Times New Roman"/>
                <w:color w:val="auto"/>
                <w:kern w:val="0"/>
                <w:szCs w:val="24"/>
              </w:rPr>
            </w:pPr>
            <w:r>
              <w:rPr>
                <w:rFonts w:hint="eastAsia" w:ascii="宋体" w:hAnsi="宋体" w:eastAsia="宋体" w:cs="Times New Roman"/>
                <w:color w:val="auto"/>
                <w:kern w:val="0"/>
                <w:szCs w:val="24"/>
              </w:rPr>
              <w:t>2</w:t>
            </w:r>
            <w:r>
              <w:rPr>
                <w:rFonts w:ascii="宋体" w:hAnsi="宋体" w:eastAsia="宋体" w:cs="Times New Roman"/>
                <w:color w:val="auto"/>
                <w:kern w:val="0"/>
                <w:szCs w:val="24"/>
              </w:rPr>
              <w:t>.车道作业</w:t>
            </w:r>
            <w:r>
              <w:rPr>
                <w:rFonts w:hint="eastAsia" w:ascii="宋体" w:hAnsi="宋体" w:eastAsia="宋体" w:cs="Times New Roman"/>
                <w:color w:val="auto"/>
                <w:kern w:val="0"/>
                <w:szCs w:val="24"/>
              </w:rPr>
              <w:t>注意观察周边环境和来往车辆；</w:t>
            </w:r>
          </w:p>
          <w:p>
            <w:pPr>
              <w:widowControl w:val="0"/>
              <w:spacing w:beforeLines="20" w:after="0" w:line="280" w:lineRule="exact"/>
              <w:ind w:left="0" w:firstLine="0"/>
              <w:jc w:val="both"/>
              <w:rPr>
                <w:rFonts w:ascii="宋体" w:hAnsi="宋体" w:eastAsia="宋体" w:cs="Times New Roman"/>
                <w:color w:val="auto"/>
                <w:kern w:val="0"/>
                <w:szCs w:val="24"/>
              </w:rPr>
            </w:pPr>
            <w:r>
              <w:rPr>
                <w:rFonts w:hint="eastAsia" w:ascii="宋体" w:hAnsi="宋体" w:eastAsia="宋体" w:cs="Times New Roman"/>
                <w:color w:val="auto"/>
                <w:kern w:val="0"/>
                <w:szCs w:val="24"/>
              </w:rPr>
              <w:t>3.组织学习风险管控清单，不得违章指挥、冒险作业。</w:t>
            </w:r>
          </w:p>
        </w:tc>
        <w:tc>
          <w:tcPr>
            <w:tcW w:w="1688" w:type="pct"/>
            <w:tcBorders>
              <w:bottom w:val="single" w:color="auto" w:sz="4" w:space="0"/>
            </w:tcBorders>
            <w:shd w:val="clear" w:color="auto" w:fill="auto"/>
            <w:vAlign w:val="center"/>
          </w:tcPr>
          <w:p>
            <w:pPr>
              <w:widowControl w:val="0"/>
              <w:spacing w:beforeLines="20" w:after="0" w:line="280" w:lineRule="exact"/>
              <w:ind w:left="0" w:firstLine="0"/>
              <w:jc w:val="both"/>
              <w:rPr>
                <w:rFonts w:ascii="宋体" w:hAnsi="宋体" w:eastAsia="宋体" w:cs="Times New Roman"/>
                <w:color w:val="auto"/>
                <w:kern w:val="0"/>
                <w:szCs w:val="24"/>
              </w:rPr>
            </w:pPr>
            <w:r>
              <w:rPr>
                <w:rFonts w:hint="eastAsia" w:ascii="宋体" w:hAnsi="宋体" w:eastAsia="宋体" w:cs="Times New Roman"/>
                <w:color w:val="auto"/>
                <w:kern w:val="0"/>
                <w:szCs w:val="24"/>
              </w:rPr>
              <w:t>1.组织现场救援和交通组织；2.有人员伤亡时及时进行救护；</w:t>
            </w:r>
          </w:p>
          <w:p>
            <w:pPr>
              <w:widowControl w:val="0"/>
              <w:spacing w:beforeLines="20" w:after="0" w:line="280" w:lineRule="exact"/>
              <w:ind w:left="0" w:firstLine="0"/>
              <w:jc w:val="both"/>
              <w:rPr>
                <w:rFonts w:ascii="宋体" w:hAnsi="宋体" w:eastAsia="宋体" w:cs="Times New Roman"/>
                <w:color w:val="auto"/>
                <w:kern w:val="0"/>
                <w:szCs w:val="24"/>
              </w:rPr>
            </w:pPr>
            <w:r>
              <w:rPr>
                <w:rFonts w:hint="eastAsia" w:ascii="宋体" w:hAnsi="宋体" w:eastAsia="宋体" w:cs="Times New Roman"/>
                <w:color w:val="auto"/>
                <w:kern w:val="0"/>
                <w:szCs w:val="24"/>
              </w:rPr>
              <w:t>3.视情况上报并拨打救援电话。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40" w:type="pct"/>
            <w:gridSpan w:val="3"/>
            <w:tcBorders>
              <w:bottom w:val="single" w:color="auto" w:sz="4" w:space="0"/>
            </w:tcBorders>
            <w:shd w:val="clear" w:color="auto" w:fill="F1F1F1" w:themeFill="background1" w:themeFillShade="F2"/>
            <w:vAlign w:val="center"/>
          </w:tcPr>
          <w:p>
            <w:pPr>
              <w:widowControl w:val="0"/>
              <w:spacing w:beforeLines="20" w:after="0" w:line="240" w:lineRule="auto"/>
              <w:ind w:left="0" w:firstLine="0"/>
              <w:jc w:val="left"/>
              <w:rPr>
                <w:rFonts w:ascii="宋体" w:hAnsi="宋体" w:eastAsia="宋体" w:cs="Times New Roman"/>
                <w:b/>
                <w:color w:val="auto"/>
                <w:kern w:val="0"/>
                <w:szCs w:val="24"/>
              </w:rPr>
            </w:pPr>
            <w:r>
              <w:rPr>
                <w:rFonts w:hint="eastAsia" w:ascii="宋体" w:hAnsi="宋体" w:eastAsia="宋体" w:cs="Times New Roman"/>
                <w:b/>
                <w:color w:val="auto"/>
                <w:kern w:val="0"/>
                <w:szCs w:val="24"/>
              </w:rPr>
              <w:t>值班</w:t>
            </w:r>
            <w:r>
              <w:rPr>
                <w:rFonts w:ascii="宋体" w:hAnsi="宋体" w:eastAsia="宋体" w:cs="Times New Roman"/>
                <w:b/>
                <w:color w:val="auto"/>
                <w:kern w:val="0"/>
                <w:szCs w:val="24"/>
              </w:rPr>
              <w:t>电话</w:t>
            </w:r>
            <w:r>
              <w:rPr>
                <w:rFonts w:hint="eastAsia" w:ascii="宋体" w:hAnsi="宋体" w:eastAsia="宋体" w:cs="Times New Roman"/>
                <w:b/>
                <w:color w:val="auto"/>
                <w:kern w:val="0"/>
                <w:szCs w:val="24"/>
              </w:rPr>
              <w:t>：</w:t>
            </w:r>
          </w:p>
        </w:tc>
        <w:tc>
          <w:tcPr>
            <w:tcW w:w="3560" w:type="pct"/>
            <w:gridSpan w:val="2"/>
            <w:tcBorders>
              <w:bottom w:val="single" w:color="auto" w:sz="4" w:space="0"/>
            </w:tcBorders>
            <w:shd w:val="clear" w:color="auto" w:fill="F1F1F1" w:themeFill="background1" w:themeFillShade="F2"/>
            <w:vAlign w:val="center"/>
          </w:tcPr>
          <w:p>
            <w:pPr>
              <w:widowControl w:val="0"/>
              <w:spacing w:beforeLines="20" w:after="0" w:line="240" w:lineRule="auto"/>
              <w:ind w:left="0" w:firstLine="0"/>
              <w:jc w:val="center"/>
              <w:rPr>
                <w:rFonts w:ascii="宋体" w:hAnsi="宋体" w:eastAsia="宋体" w:cs="Times New Roman"/>
                <w:b/>
                <w:color w:val="auto"/>
                <w:kern w:val="0"/>
                <w:szCs w:val="24"/>
              </w:rPr>
            </w:pPr>
            <w:r>
              <w:rPr>
                <w:rFonts w:ascii="宋体" w:hAnsi="宋体" w:eastAsia="宋体" w:cs="Times New Roman"/>
                <w:b/>
                <w:color w:val="auto"/>
                <w:kern w:val="0"/>
                <w:szCs w:val="24"/>
              </w:rPr>
              <w:t>救援电话</w:t>
            </w:r>
            <w:r>
              <w:rPr>
                <w:rFonts w:hint="eastAsia" w:ascii="宋体" w:hAnsi="宋体" w:eastAsia="宋体" w:cs="Times New Roman"/>
                <w:b/>
                <w:color w:val="auto"/>
                <w:kern w:val="0"/>
                <w:szCs w:val="24"/>
              </w:rPr>
              <w:t xml:space="preserve">： </w:t>
            </w:r>
            <w:r>
              <w:rPr>
                <w:rFonts w:ascii="宋体" w:hAnsi="宋体" w:eastAsia="宋体" w:cs="Times New Roman"/>
                <w:b/>
                <w:color w:val="auto"/>
                <w:kern w:val="0"/>
                <w:szCs w:val="24"/>
              </w:rPr>
              <w:t xml:space="preserve">        </w:t>
            </w:r>
            <w:r>
              <w:rPr>
                <w:rFonts w:hint="eastAsia" w:ascii="宋体" w:hAnsi="宋体" w:eastAsia="宋体" w:cs="Times New Roman"/>
                <w:b/>
                <w:color w:val="auto"/>
                <w:kern w:val="0"/>
                <w:szCs w:val="24"/>
              </w:rPr>
              <w:t xml:space="preserve">  </w:t>
            </w:r>
            <w:r>
              <w:rPr>
                <w:rFonts w:ascii="宋体" w:hAnsi="宋体" w:eastAsia="宋体" w:cs="Times New Roman"/>
                <w:b/>
                <w:color w:val="auto"/>
                <w:kern w:val="0"/>
                <w:szCs w:val="24"/>
              </w:rPr>
              <w:t>消防</w:t>
            </w:r>
            <w:r>
              <w:rPr>
                <w:rFonts w:hint="eastAsia" w:ascii="宋体" w:hAnsi="宋体" w:eastAsia="宋体" w:cs="Times New Roman"/>
                <w:b/>
                <w:color w:val="auto"/>
                <w:kern w:val="0"/>
                <w:szCs w:val="24"/>
              </w:rPr>
              <w:t>：119    急救：120    公安：110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00" w:type="pct"/>
            <w:gridSpan w:val="5"/>
            <w:shd w:val="clear" w:color="auto" w:fill="FFFFFF" w:themeFill="background1"/>
            <w:vAlign w:val="center"/>
          </w:tcPr>
          <w:p>
            <w:pPr>
              <w:widowControl w:val="0"/>
              <w:spacing w:beforeLines="20" w:after="0" w:line="240" w:lineRule="auto"/>
              <w:ind w:left="0" w:firstLine="0"/>
              <w:jc w:val="left"/>
              <w:rPr>
                <w:rFonts w:ascii="宋体" w:hAnsi="宋体" w:eastAsia="宋体" w:cs="Times New Roman"/>
                <w:b/>
                <w:color w:val="auto"/>
                <w:kern w:val="0"/>
                <w:szCs w:val="24"/>
              </w:rPr>
            </w:pPr>
            <w:r>
              <w:rPr>
                <w:rFonts w:ascii="宋体" w:hAnsi="宋体" w:eastAsia="宋体" w:cs="Times New Roman"/>
                <w:b/>
                <w:color w:val="auto"/>
                <w:kern w:val="0"/>
                <w:szCs w:val="24"/>
              </w:rPr>
              <w:t>作业小组成员</w:t>
            </w:r>
            <w:r>
              <w:rPr>
                <w:rFonts w:hint="eastAsia" w:ascii="宋体" w:hAnsi="宋体" w:eastAsia="宋体" w:cs="Times New Roman"/>
                <w:b/>
                <w:color w:val="auto"/>
                <w:kern w:val="0"/>
                <w:szCs w:val="24"/>
              </w:rPr>
              <w:t>：</w:t>
            </w:r>
          </w:p>
        </w:tc>
      </w:tr>
    </w:tbl>
    <w:p>
      <w:pPr>
        <w:widowControl w:val="0"/>
        <w:spacing w:after="0" w:line="560" w:lineRule="exact"/>
        <w:ind w:left="10" w:hangingChars="3"/>
        <w:jc w:val="center"/>
        <w:rPr>
          <w:rFonts w:cs="宋体"/>
          <w:color w:val="auto"/>
          <w:sz w:val="22"/>
          <w:szCs w:val="24"/>
        </w:rPr>
      </w:pPr>
      <w:r>
        <w:rPr>
          <w:rFonts w:hint="eastAsia" w:ascii="华文隶书" w:hAnsi="华文中宋" w:eastAsia="华文隶书"/>
          <w:b/>
          <w:color w:val="auto"/>
          <w:sz w:val="32"/>
          <w:szCs w:val="32"/>
        </w:rPr>
        <w:t>安全第一      预防为主                              防风险     除隐患     遏事故</w:t>
      </w:r>
    </w:p>
    <w:p>
      <w:pPr>
        <w:spacing w:after="0" w:line="240" w:lineRule="auto"/>
        <w:ind w:left="0" w:firstLine="0"/>
        <w:rPr>
          <w:rFonts w:ascii="华文中宋" w:hAnsi="华文中宋" w:eastAsia="华文中宋" w:cs="Times New Roman"/>
          <w:color w:val="auto"/>
          <w:sz w:val="28"/>
        </w:rPr>
      </w:pPr>
      <w:r>
        <w:rPr>
          <w:rFonts w:ascii="华文中宋" w:hAnsi="华文中宋" w:eastAsia="华文中宋" w:cs="Times New Roman"/>
          <w:color w:val="auto"/>
          <w:sz w:val="28"/>
        </w:rPr>
        <w:br w:type="page"/>
      </w:r>
    </w:p>
    <w:p>
      <w:pPr>
        <w:widowControl w:val="0"/>
        <w:spacing w:after="0" w:line="240" w:lineRule="auto"/>
        <w:ind w:left="0" w:firstLine="0"/>
        <w:jc w:val="center"/>
        <w:rPr>
          <w:rFonts w:ascii="华文中宋" w:hAnsi="华文中宋" w:eastAsia="华文中宋" w:cs="Times New Roman"/>
          <w:color w:val="auto"/>
          <w:sz w:val="28"/>
        </w:rPr>
      </w:pPr>
      <w:r>
        <w:rPr>
          <w:rFonts w:hint="eastAsia" w:ascii="华文中宋" w:hAnsi="华文中宋" w:eastAsia="华文中宋" w:cs="Times New Roman"/>
          <w:color w:val="auto"/>
          <w:sz w:val="28"/>
        </w:rPr>
        <w:t>收费站岗位风险告知卡</w:t>
      </w:r>
    </w:p>
    <w:tbl>
      <w:tblPr>
        <w:tblStyle w:val="29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9"/>
        <w:gridCol w:w="1275"/>
        <w:gridCol w:w="1417"/>
        <w:gridCol w:w="5103"/>
        <w:gridCol w:w="5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51" w:type="pct"/>
            <w:shd w:val="clear" w:color="auto" w:fill="F1F1F1" w:themeFill="background1" w:themeFillShade="F2"/>
            <w:vAlign w:val="center"/>
          </w:tcPr>
          <w:p>
            <w:pPr>
              <w:widowControl w:val="0"/>
              <w:spacing w:after="0" w:line="240" w:lineRule="auto"/>
              <w:ind w:left="0" w:firstLine="0"/>
              <w:jc w:val="center"/>
              <w:rPr>
                <w:rFonts w:ascii="宋体" w:hAnsi="宋体" w:eastAsia="宋体" w:cs="Times New Roman"/>
                <w:b/>
                <w:color w:val="auto"/>
                <w:kern w:val="0"/>
                <w:szCs w:val="24"/>
              </w:rPr>
            </w:pPr>
            <w:r>
              <w:rPr>
                <w:rFonts w:ascii="宋体" w:hAnsi="宋体" w:eastAsia="宋体" w:cs="Times New Roman"/>
                <w:b/>
                <w:color w:val="auto"/>
                <w:kern w:val="0"/>
                <w:szCs w:val="24"/>
              </w:rPr>
              <w:t>岗位</w:t>
            </w:r>
            <w:r>
              <w:rPr>
                <w:rFonts w:hint="eastAsia" w:ascii="宋体" w:hAnsi="宋体" w:eastAsia="宋体" w:cs="Times New Roman"/>
                <w:b/>
                <w:color w:val="auto"/>
                <w:kern w:val="0"/>
                <w:szCs w:val="24"/>
              </w:rPr>
              <w:t>：收费员、班长</w:t>
            </w:r>
          </w:p>
        </w:tc>
        <w:tc>
          <w:tcPr>
            <w:tcW w:w="421" w:type="pct"/>
            <w:tcBorders>
              <w:bottom w:val="single" w:color="auto" w:sz="4" w:space="0"/>
            </w:tcBorders>
            <w:shd w:val="clear" w:color="auto" w:fill="F1F1F1" w:themeFill="background1" w:themeFillShade="F2"/>
            <w:vAlign w:val="center"/>
          </w:tcPr>
          <w:p>
            <w:pPr>
              <w:widowControl w:val="0"/>
              <w:spacing w:after="0" w:line="240" w:lineRule="auto"/>
              <w:ind w:left="0" w:firstLine="0"/>
              <w:jc w:val="center"/>
              <w:rPr>
                <w:rFonts w:ascii="宋体" w:hAnsi="宋体" w:eastAsia="宋体" w:cs="Times New Roman"/>
                <w:b/>
                <w:color w:val="auto"/>
                <w:kern w:val="0"/>
                <w:szCs w:val="24"/>
              </w:rPr>
            </w:pPr>
            <w:r>
              <w:rPr>
                <w:rFonts w:hint="eastAsia" w:ascii="宋体" w:hAnsi="宋体" w:eastAsia="宋体" w:cs="Times New Roman"/>
                <w:b/>
                <w:color w:val="auto"/>
                <w:kern w:val="0"/>
                <w:szCs w:val="24"/>
              </w:rPr>
              <w:t>风险点</w:t>
            </w:r>
          </w:p>
        </w:tc>
        <w:tc>
          <w:tcPr>
            <w:tcW w:w="468" w:type="pct"/>
            <w:tcBorders>
              <w:bottom w:val="single" w:color="auto" w:sz="4" w:space="0"/>
            </w:tcBorders>
            <w:shd w:val="clear" w:color="auto" w:fill="F1F1F1" w:themeFill="background1" w:themeFillShade="F2"/>
            <w:vAlign w:val="center"/>
          </w:tcPr>
          <w:p>
            <w:pPr>
              <w:widowControl w:val="0"/>
              <w:spacing w:after="0" w:line="240" w:lineRule="auto"/>
              <w:ind w:left="0" w:firstLine="0"/>
              <w:jc w:val="center"/>
              <w:rPr>
                <w:rFonts w:ascii="宋体" w:hAnsi="宋体" w:eastAsia="宋体" w:cs="Times New Roman"/>
                <w:b/>
                <w:color w:val="auto"/>
                <w:kern w:val="0"/>
                <w:szCs w:val="24"/>
              </w:rPr>
            </w:pPr>
            <w:r>
              <w:rPr>
                <w:rFonts w:hint="eastAsia" w:ascii="宋体" w:hAnsi="宋体" w:eastAsia="宋体" w:cs="Times New Roman"/>
                <w:b/>
                <w:color w:val="auto"/>
                <w:kern w:val="0"/>
                <w:szCs w:val="24"/>
              </w:rPr>
              <w:t>风险事件</w:t>
            </w:r>
          </w:p>
        </w:tc>
        <w:tc>
          <w:tcPr>
            <w:tcW w:w="1685" w:type="pct"/>
            <w:tcBorders>
              <w:bottom w:val="single" w:color="auto" w:sz="4" w:space="0"/>
            </w:tcBorders>
            <w:shd w:val="clear" w:color="auto" w:fill="F1F1F1" w:themeFill="background1" w:themeFillShade="F2"/>
            <w:vAlign w:val="center"/>
          </w:tcPr>
          <w:p>
            <w:pPr>
              <w:widowControl w:val="0"/>
              <w:spacing w:after="0" w:line="240" w:lineRule="auto"/>
              <w:ind w:left="0" w:firstLine="0"/>
              <w:jc w:val="center"/>
              <w:rPr>
                <w:rFonts w:ascii="宋体" w:hAnsi="宋体" w:eastAsia="宋体" w:cs="Times New Roman"/>
                <w:b/>
                <w:color w:val="auto"/>
                <w:kern w:val="0"/>
                <w:szCs w:val="24"/>
              </w:rPr>
            </w:pPr>
            <w:r>
              <w:rPr>
                <w:rFonts w:ascii="宋体" w:hAnsi="宋体" w:eastAsia="宋体" w:cs="Times New Roman"/>
                <w:b/>
                <w:color w:val="auto"/>
                <w:kern w:val="0"/>
                <w:szCs w:val="24"/>
              </w:rPr>
              <w:t>风险管控措施</w:t>
            </w:r>
          </w:p>
        </w:tc>
        <w:tc>
          <w:tcPr>
            <w:tcW w:w="1875" w:type="pct"/>
            <w:tcBorders>
              <w:bottom w:val="single" w:color="auto" w:sz="4" w:space="0"/>
            </w:tcBorders>
            <w:shd w:val="clear" w:color="auto" w:fill="F1F1F1" w:themeFill="background1" w:themeFillShade="F2"/>
            <w:vAlign w:val="center"/>
          </w:tcPr>
          <w:p>
            <w:pPr>
              <w:widowControl w:val="0"/>
              <w:spacing w:after="0" w:line="240" w:lineRule="auto"/>
              <w:ind w:left="0" w:firstLine="0"/>
              <w:jc w:val="center"/>
              <w:rPr>
                <w:rFonts w:ascii="宋体" w:hAnsi="宋体" w:eastAsia="宋体" w:cs="Times New Roman"/>
                <w:b/>
                <w:color w:val="auto"/>
                <w:kern w:val="0"/>
                <w:szCs w:val="24"/>
              </w:rPr>
            </w:pPr>
            <w:r>
              <w:rPr>
                <w:rFonts w:ascii="宋体" w:hAnsi="宋体" w:eastAsia="宋体" w:cs="Times New Roman"/>
                <w:b/>
                <w:color w:val="auto"/>
                <w:kern w:val="0"/>
                <w:szCs w:val="24"/>
              </w:rPr>
              <w:t>应急处置措施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51" w:type="pct"/>
            <w:vMerge w:val="restart"/>
          </w:tcPr>
          <w:p>
            <w:pPr>
              <w:widowControl w:val="0"/>
              <w:spacing w:beforeLines="100" w:afterLines="50" w:line="360" w:lineRule="auto"/>
              <w:ind w:left="0" w:firstLine="0"/>
              <w:jc w:val="left"/>
              <w:rPr>
                <w:rFonts w:ascii="宋体" w:hAnsi="宋体" w:eastAsia="宋体" w:cs="Times New Roman"/>
                <w:b/>
                <w:color w:val="auto"/>
                <w:kern w:val="0"/>
                <w:szCs w:val="24"/>
              </w:rPr>
            </w:pPr>
            <w:r>
              <w:rPr>
                <w:rFonts w:hint="eastAsia" w:ascii="宋体" w:hAnsi="宋体" w:eastAsia="宋体" w:cs="Times New Roman"/>
                <w:b/>
                <w:color w:val="auto"/>
                <w:kern w:val="0"/>
                <w:szCs w:val="24"/>
              </w:rPr>
              <w:t>作业步骤/</w:t>
            </w:r>
            <w:r>
              <w:rPr>
                <w:rFonts w:ascii="宋体" w:hAnsi="宋体" w:eastAsia="宋体" w:cs="Times New Roman"/>
                <w:b/>
                <w:color w:val="auto"/>
                <w:kern w:val="0"/>
                <w:szCs w:val="24"/>
              </w:rPr>
              <w:t>内容</w:t>
            </w:r>
            <w:r>
              <w:rPr>
                <w:rFonts w:hint="eastAsia" w:ascii="宋体" w:hAnsi="宋体" w:eastAsia="宋体" w:cs="Times New Roman"/>
                <w:b/>
                <w:color w:val="auto"/>
                <w:kern w:val="0"/>
                <w:szCs w:val="24"/>
              </w:rPr>
              <w:t>：</w:t>
            </w:r>
          </w:p>
          <w:p>
            <w:pPr>
              <w:widowControl w:val="0"/>
              <w:spacing w:beforeLines="100" w:afterLines="50" w:line="240" w:lineRule="auto"/>
              <w:ind w:left="0" w:firstLine="0"/>
              <w:jc w:val="both"/>
              <w:rPr>
                <w:rFonts w:cs="宋体"/>
                <w:color w:val="auto"/>
                <w:kern w:val="0"/>
                <w:szCs w:val="24"/>
              </w:rPr>
            </w:pPr>
            <w:r>
              <w:rPr>
                <w:rFonts w:hint="eastAsia" w:ascii="Calibri" w:hAnsi="Calibri" w:eastAsia="宋体" w:cs="Times New Roman"/>
                <w:color w:val="auto"/>
                <w:szCs w:val="24"/>
              </w:rPr>
              <w:t>岗前准备</w:t>
            </w:r>
            <w:r>
              <w:rPr>
                <w:rFonts w:hint="eastAsia" w:ascii="宋体" w:hAnsi="宋体" w:eastAsia="宋体" w:cs="Times New Roman"/>
                <w:color w:val="auto"/>
                <w:szCs w:val="24"/>
              </w:rPr>
              <w:t>→岗前检查→收费作业→岗后总结</w:t>
            </w:r>
          </w:p>
        </w:tc>
        <w:tc>
          <w:tcPr>
            <w:tcW w:w="421" w:type="pct"/>
            <w:vMerge w:val="restart"/>
            <w:shd w:val="clear" w:color="auto" w:fill="auto"/>
            <w:vAlign w:val="center"/>
          </w:tcPr>
          <w:p>
            <w:pPr>
              <w:widowControl w:val="0"/>
              <w:spacing w:beforeLines="20" w:after="0" w:line="240" w:lineRule="auto"/>
              <w:ind w:left="0" w:firstLine="0"/>
              <w:jc w:val="center"/>
              <w:rPr>
                <w:rFonts w:ascii="宋体" w:hAnsi="宋体" w:eastAsia="宋体" w:cs="Times New Roman"/>
                <w:color w:val="auto"/>
                <w:kern w:val="0"/>
                <w:szCs w:val="24"/>
              </w:rPr>
            </w:pPr>
            <w:r>
              <w:rPr>
                <w:rFonts w:hint="eastAsia" w:ascii="宋体" w:hAnsi="宋体" w:eastAsia="宋体" w:cs="Times New Roman"/>
                <w:color w:val="auto"/>
                <w:kern w:val="0"/>
                <w:szCs w:val="24"/>
              </w:rPr>
              <w:t>宿办区、收费广场。</w:t>
            </w:r>
          </w:p>
        </w:tc>
        <w:tc>
          <w:tcPr>
            <w:tcW w:w="468" w:type="pct"/>
            <w:shd w:val="clear" w:color="auto" w:fill="FAE600"/>
            <w:vAlign w:val="center"/>
          </w:tcPr>
          <w:p>
            <w:pPr>
              <w:widowControl w:val="0"/>
              <w:spacing w:beforeLines="20" w:after="0" w:line="280" w:lineRule="exact"/>
              <w:ind w:left="0" w:firstLine="0"/>
              <w:jc w:val="center"/>
              <w:rPr>
                <w:rFonts w:ascii="宋体" w:hAnsi="宋体" w:eastAsia="宋体" w:cs="Times New Roman"/>
                <w:b/>
                <w:color w:val="auto"/>
                <w:kern w:val="0"/>
                <w:sz w:val="28"/>
                <w:szCs w:val="24"/>
              </w:rPr>
            </w:pPr>
            <w:r>
              <w:rPr>
                <w:rFonts w:hint="eastAsia" w:ascii="宋体" w:hAnsi="宋体" w:eastAsia="宋体" w:cs="Times New Roman"/>
                <w:b/>
                <w:color w:val="auto"/>
                <w:kern w:val="0"/>
                <w:sz w:val="28"/>
                <w:szCs w:val="24"/>
              </w:rPr>
              <w:t>车辆</w:t>
            </w:r>
            <w:r>
              <w:rPr>
                <w:rFonts w:ascii="宋体" w:hAnsi="宋体" w:eastAsia="宋体" w:cs="Times New Roman"/>
                <w:b/>
                <w:color w:val="auto"/>
                <w:kern w:val="0"/>
                <w:sz w:val="28"/>
                <w:szCs w:val="24"/>
              </w:rPr>
              <w:t>伤害</w:t>
            </w:r>
          </w:p>
        </w:tc>
        <w:tc>
          <w:tcPr>
            <w:tcW w:w="1685" w:type="pct"/>
            <w:shd w:val="clear" w:color="auto" w:fill="auto"/>
            <w:vAlign w:val="center"/>
          </w:tcPr>
          <w:p>
            <w:pPr>
              <w:widowControl w:val="0"/>
              <w:spacing w:beforeLines="20" w:after="0" w:line="280" w:lineRule="exact"/>
              <w:ind w:left="0" w:firstLine="0"/>
              <w:jc w:val="both"/>
              <w:rPr>
                <w:rFonts w:ascii="宋体" w:hAnsi="宋体" w:eastAsia="宋体" w:cs="Times New Roman"/>
                <w:color w:val="auto"/>
                <w:kern w:val="0"/>
                <w:szCs w:val="24"/>
              </w:rPr>
            </w:pPr>
            <w:r>
              <w:rPr>
                <w:rFonts w:ascii="宋体" w:hAnsi="宋体" w:eastAsia="宋体" w:cs="Times New Roman"/>
                <w:color w:val="auto"/>
                <w:kern w:val="0"/>
                <w:szCs w:val="24"/>
              </w:rPr>
              <w:t>1.按规定排查收费广场各类防护设施</w:t>
            </w:r>
            <w:r>
              <w:rPr>
                <w:rFonts w:hint="eastAsia" w:ascii="宋体" w:hAnsi="宋体" w:eastAsia="宋体" w:cs="Times New Roman"/>
                <w:color w:val="auto"/>
                <w:kern w:val="0"/>
                <w:szCs w:val="24"/>
              </w:rPr>
              <w:t>、标志，发现隐患及时上报；2.收费、疏导作业或穿越车道时，穿戴反光警示标志服，遵守作业安全规程，选择合理站位，注意观察来往车辆。</w:t>
            </w:r>
          </w:p>
        </w:tc>
        <w:tc>
          <w:tcPr>
            <w:tcW w:w="1875" w:type="pct"/>
            <w:shd w:val="clear" w:color="auto" w:fill="auto"/>
            <w:vAlign w:val="center"/>
          </w:tcPr>
          <w:p>
            <w:pPr>
              <w:widowControl w:val="0"/>
              <w:spacing w:beforeLines="20" w:after="0" w:line="280" w:lineRule="exact"/>
              <w:ind w:left="0" w:firstLine="0"/>
              <w:jc w:val="both"/>
              <w:rPr>
                <w:rFonts w:ascii="宋体" w:hAnsi="宋体" w:eastAsia="宋体" w:cs="Times New Roman"/>
                <w:color w:val="auto"/>
                <w:kern w:val="0"/>
                <w:szCs w:val="24"/>
              </w:rPr>
            </w:pPr>
            <w:r>
              <w:rPr>
                <w:rFonts w:hint="eastAsia" w:ascii="宋体" w:hAnsi="宋体" w:eastAsia="宋体" w:cs="Times New Roman"/>
                <w:color w:val="auto"/>
                <w:kern w:val="0"/>
                <w:szCs w:val="24"/>
              </w:rPr>
              <w:t>1.视情况转移伤员或设置警戒区；2.积极抢救伤员：如受伤人员出现骨折、休克或昏迷状况，应采取临时包扎止血措施，实施人工呼吸或胸外心脏挤压法抢救；3.组织或参与现场救援、交通组织；4.及时上报并拨打救援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51" w:type="pct"/>
            <w:vMerge w:val="continue"/>
          </w:tcPr>
          <w:p>
            <w:pPr>
              <w:widowControl w:val="0"/>
              <w:spacing w:beforeLines="100" w:afterLines="50" w:line="360" w:lineRule="auto"/>
              <w:ind w:left="0" w:firstLine="0"/>
              <w:jc w:val="both"/>
              <w:rPr>
                <w:rFonts w:ascii="宋体" w:hAnsi="宋体" w:eastAsia="宋体" w:cs="Times New Roman"/>
                <w:b/>
                <w:color w:val="auto"/>
                <w:kern w:val="0"/>
                <w:szCs w:val="24"/>
              </w:rPr>
            </w:pPr>
          </w:p>
        </w:tc>
        <w:tc>
          <w:tcPr>
            <w:tcW w:w="421" w:type="pct"/>
            <w:vMerge w:val="continue"/>
            <w:shd w:val="clear" w:color="auto" w:fill="auto"/>
            <w:vAlign w:val="center"/>
          </w:tcPr>
          <w:p>
            <w:pPr>
              <w:widowControl w:val="0"/>
              <w:spacing w:beforeLines="20" w:after="0" w:line="240" w:lineRule="auto"/>
              <w:ind w:left="0" w:firstLine="0"/>
              <w:jc w:val="center"/>
              <w:rPr>
                <w:rFonts w:ascii="宋体" w:hAnsi="宋体" w:eastAsia="宋体" w:cs="Times New Roman"/>
                <w:color w:val="auto"/>
                <w:kern w:val="0"/>
                <w:szCs w:val="24"/>
              </w:rPr>
            </w:pPr>
          </w:p>
        </w:tc>
        <w:tc>
          <w:tcPr>
            <w:tcW w:w="468" w:type="pct"/>
            <w:tcBorders>
              <w:bottom w:val="single" w:color="auto" w:sz="4" w:space="0"/>
            </w:tcBorders>
            <w:shd w:val="clear" w:color="auto" w:fill="FAE600"/>
            <w:vAlign w:val="center"/>
          </w:tcPr>
          <w:p>
            <w:pPr>
              <w:widowControl w:val="0"/>
              <w:spacing w:beforeLines="20" w:after="0" w:line="280" w:lineRule="exact"/>
              <w:ind w:left="0" w:firstLine="0"/>
              <w:jc w:val="center"/>
              <w:rPr>
                <w:rFonts w:ascii="宋体" w:hAnsi="宋体" w:eastAsia="宋体" w:cs="Times New Roman"/>
                <w:b/>
                <w:color w:val="auto"/>
                <w:kern w:val="0"/>
                <w:sz w:val="28"/>
                <w:szCs w:val="24"/>
              </w:rPr>
            </w:pPr>
            <w:r>
              <w:rPr>
                <w:rFonts w:hint="eastAsia" w:ascii="宋体" w:hAnsi="宋体" w:eastAsia="宋体" w:cs="Times New Roman"/>
                <w:b/>
                <w:color w:val="auto"/>
                <w:kern w:val="0"/>
                <w:sz w:val="28"/>
                <w:szCs w:val="24"/>
              </w:rPr>
              <w:t>火灾爆炸</w:t>
            </w:r>
          </w:p>
        </w:tc>
        <w:tc>
          <w:tcPr>
            <w:tcW w:w="1685" w:type="pct"/>
            <w:shd w:val="clear" w:color="auto" w:fill="auto"/>
            <w:vAlign w:val="center"/>
          </w:tcPr>
          <w:p>
            <w:pPr>
              <w:widowControl w:val="0"/>
              <w:spacing w:beforeLines="20" w:after="0" w:line="280" w:lineRule="exact"/>
              <w:ind w:left="0" w:firstLine="0"/>
              <w:jc w:val="both"/>
              <w:rPr>
                <w:rFonts w:ascii="宋体" w:hAnsi="宋体" w:eastAsia="宋体" w:cs="Times New Roman"/>
                <w:color w:val="auto"/>
                <w:kern w:val="0"/>
                <w:szCs w:val="24"/>
              </w:rPr>
            </w:pPr>
            <w:r>
              <w:rPr>
                <w:rFonts w:hint="eastAsia" w:ascii="宋体" w:hAnsi="宋体" w:eastAsia="宋体" w:cs="Times New Roman"/>
                <w:color w:val="auto"/>
                <w:kern w:val="0"/>
                <w:szCs w:val="24"/>
              </w:rPr>
              <w:t>1.学习危化品泄漏、火灾爆炸现场处置方案；</w:t>
            </w:r>
          </w:p>
          <w:p>
            <w:pPr>
              <w:widowControl w:val="0"/>
              <w:spacing w:beforeLines="20" w:after="0" w:line="280" w:lineRule="exact"/>
              <w:ind w:left="0" w:firstLine="0"/>
              <w:jc w:val="both"/>
              <w:rPr>
                <w:rFonts w:ascii="宋体" w:hAnsi="宋体" w:eastAsia="宋体" w:cs="Times New Roman"/>
                <w:color w:val="auto"/>
                <w:kern w:val="0"/>
                <w:szCs w:val="24"/>
              </w:rPr>
            </w:pPr>
            <w:r>
              <w:rPr>
                <w:rFonts w:hint="eastAsia" w:ascii="宋体" w:hAnsi="宋体" w:eastAsia="宋体" w:cs="Times New Roman"/>
                <w:color w:val="auto"/>
                <w:kern w:val="0"/>
                <w:szCs w:val="24"/>
              </w:rPr>
              <w:t>2.按规定开展隐患排查治理，发现隐患及时上报；3.遵守站区内用火、用电及用气管理，发现隐患及时治理。</w:t>
            </w:r>
          </w:p>
        </w:tc>
        <w:tc>
          <w:tcPr>
            <w:tcW w:w="1875" w:type="pct"/>
            <w:shd w:val="clear" w:color="auto" w:fill="auto"/>
            <w:vAlign w:val="center"/>
          </w:tcPr>
          <w:p>
            <w:pPr>
              <w:widowControl w:val="0"/>
              <w:spacing w:beforeLines="20" w:after="0" w:line="280" w:lineRule="exact"/>
              <w:ind w:left="0" w:firstLine="0"/>
              <w:jc w:val="both"/>
              <w:rPr>
                <w:rFonts w:ascii="宋体" w:hAnsi="宋体" w:eastAsia="宋体" w:cs="Times New Roman"/>
                <w:color w:val="auto"/>
                <w:kern w:val="0"/>
                <w:szCs w:val="24"/>
              </w:rPr>
            </w:pPr>
            <w:r>
              <w:rPr>
                <w:rFonts w:hint="eastAsia" w:ascii="宋体" w:hAnsi="宋体" w:eastAsia="宋体" w:cs="Times New Roman"/>
                <w:color w:val="auto"/>
                <w:kern w:val="0"/>
                <w:szCs w:val="24"/>
              </w:rPr>
              <w:t>1.火情较小时开展初期火灾扑救；危化品车辆火灾或火情失控时应及时疏散、设置警戒区；2.电气火灾时应迅速切断电源；3.有人员伤亡时，应移至安全区进行救护或设安全区；</w:t>
            </w:r>
            <w:r>
              <w:rPr>
                <w:rFonts w:ascii="宋体" w:hAnsi="宋体" w:eastAsia="宋体" w:cs="Times New Roman"/>
                <w:color w:val="auto"/>
                <w:kern w:val="0"/>
                <w:szCs w:val="24"/>
              </w:rPr>
              <w:t>4.</w:t>
            </w:r>
            <w:r>
              <w:rPr>
                <w:rFonts w:hint="eastAsia" w:ascii="宋体" w:hAnsi="宋体" w:eastAsia="宋体" w:cs="Times New Roman"/>
                <w:color w:val="auto"/>
                <w:kern w:val="0"/>
                <w:szCs w:val="24"/>
              </w:rPr>
              <w:t>及时上报并拨打救援电话。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51" w:type="pct"/>
            <w:vMerge w:val="continue"/>
          </w:tcPr>
          <w:p>
            <w:pPr>
              <w:widowControl w:val="0"/>
              <w:spacing w:beforeLines="100" w:afterLines="50" w:line="360" w:lineRule="auto"/>
              <w:ind w:left="0" w:firstLine="0"/>
              <w:jc w:val="both"/>
              <w:rPr>
                <w:rFonts w:ascii="宋体" w:hAnsi="宋体" w:eastAsia="宋体" w:cs="Times New Roman"/>
                <w:b/>
                <w:color w:val="auto"/>
                <w:kern w:val="0"/>
                <w:szCs w:val="24"/>
              </w:rPr>
            </w:pPr>
          </w:p>
        </w:tc>
        <w:tc>
          <w:tcPr>
            <w:tcW w:w="421" w:type="pct"/>
            <w:vMerge w:val="continue"/>
            <w:shd w:val="clear" w:color="auto" w:fill="auto"/>
            <w:vAlign w:val="center"/>
          </w:tcPr>
          <w:p>
            <w:pPr>
              <w:widowControl w:val="0"/>
              <w:spacing w:beforeLines="20" w:after="0" w:line="240" w:lineRule="auto"/>
              <w:ind w:left="0" w:firstLine="0"/>
              <w:jc w:val="center"/>
              <w:rPr>
                <w:rFonts w:ascii="宋体" w:hAnsi="宋体" w:eastAsia="宋体" w:cs="Times New Roman"/>
                <w:color w:val="auto"/>
                <w:kern w:val="0"/>
                <w:szCs w:val="24"/>
              </w:rPr>
            </w:pPr>
          </w:p>
        </w:tc>
        <w:tc>
          <w:tcPr>
            <w:tcW w:w="468" w:type="pct"/>
            <w:shd w:val="clear" w:color="auto" w:fill="3764FF"/>
            <w:vAlign w:val="center"/>
          </w:tcPr>
          <w:p>
            <w:pPr>
              <w:widowControl w:val="0"/>
              <w:spacing w:beforeLines="20" w:after="0" w:line="280" w:lineRule="exact"/>
              <w:ind w:left="0" w:firstLine="0"/>
              <w:jc w:val="center"/>
              <w:rPr>
                <w:rFonts w:ascii="宋体" w:hAnsi="宋体" w:eastAsia="宋体" w:cs="Times New Roman"/>
                <w:b/>
                <w:color w:val="auto"/>
                <w:kern w:val="0"/>
                <w:sz w:val="28"/>
                <w:szCs w:val="24"/>
              </w:rPr>
            </w:pPr>
            <w:r>
              <w:rPr>
                <w:rFonts w:hint="eastAsia" w:ascii="宋体" w:hAnsi="宋体" w:eastAsia="宋体" w:cs="Times New Roman"/>
                <w:b/>
                <w:color w:val="auto"/>
                <w:kern w:val="0"/>
                <w:sz w:val="28"/>
                <w:szCs w:val="24"/>
              </w:rPr>
              <w:t>财产损失</w:t>
            </w:r>
          </w:p>
          <w:p>
            <w:pPr>
              <w:widowControl w:val="0"/>
              <w:spacing w:beforeLines="20" w:after="0" w:line="280" w:lineRule="exact"/>
              <w:ind w:left="0" w:firstLine="0"/>
              <w:jc w:val="center"/>
              <w:rPr>
                <w:rFonts w:ascii="宋体" w:hAnsi="宋体" w:eastAsia="宋体" w:cs="Times New Roman"/>
                <w:b/>
                <w:color w:val="auto"/>
                <w:kern w:val="0"/>
                <w:sz w:val="28"/>
                <w:szCs w:val="24"/>
              </w:rPr>
            </w:pPr>
            <w:r>
              <w:rPr>
                <w:rFonts w:hint="eastAsia" w:ascii="宋体" w:hAnsi="宋体" w:eastAsia="宋体" w:cs="Times New Roman"/>
                <w:b/>
                <w:color w:val="auto"/>
                <w:kern w:val="0"/>
                <w:sz w:val="28"/>
                <w:szCs w:val="24"/>
              </w:rPr>
              <w:t>暴力纠纷</w:t>
            </w:r>
          </w:p>
        </w:tc>
        <w:tc>
          <w:tcPr>
            <w:tcW w:w="1685" w:type="pct"/>
            <w:shd w:val="clear" w:color="auto" w:fill="auto"/>
            <w:vAlign w:val="center"/>
          </w:tcPr>
          <w:p>
            <w:pPr>
              <w:widowControl w:val="0"/>
              <w:spacing w:beforeLines="20" w:after="0" w:line="280" w:lineRule="exact"/>
              <w:ind w:left="0" w:firstLine="0"/>
              <w:jc w:val="both"/>
              <w:rPr>
                <w:rFonts w:ascii="宋体" w:hAnsi="宋体" w:eastAsia="宋体" w:cs="Times New Roman"/>
                <w:color w:val="auto"/>
                <w:kern w:val="0"/>
                <w:szCs w:val="24"/>
              </w:rPr>
            </w:pPr>
            <w:r>
              <w:rPr>
                <w:rFonts w:hint="eastAsia" w:ascii="宋体" w:hAnsi="宋体" w:eastAsia="宋体" w:cs="Times New Roman"/>
                <w:color w:val="auto"/>
                <w:kern w:val="0"/>
                <w:szCs w:val="24"/>
              </w:rPr>
              <w:t>1.认真学习公司收费、疏导及绿通检查管理规定，注意工作方式；2.加强业务学习，按规定保管票款，确保人走门、柜锁；3.作业前按规定排查广场及岗亭内报警、监控、门窗等设施。</w:t>
            </w:r>
          </w:p>
        </w:tc>
        <w:tc>
          <w:tcPr>
            <w:tcW w:w="1875" w:type="pct"/>
            <w:shd w:val="clear" w:color="auto" w:fill="auto"/>
            <w:vAlign w:val="center"/>
          </w:tcPr>
          <w:p>
            <w:pPr>
              <w:widowControl w:val="0"/>
              <w:spacing w:beforeLines="20" w:after="0" w:line="280" w:lineRule="exact"/>
              <w:ind w:left="0" w:firstLine="0"/>
              <w:jc w:val="both"/>
              <w:rPr>
                <w:rFonts w:ascii="宋体" w:hAnsi="宋体" w:eastAsia="宋体" w:cs="Times New Roman"/>
                <w:color w:val="auto"/>
                <w:kern w:val="0"/>
                <w:szCs w:val="24"/>
              </w:rPr>
            </w:pPr>
            <w:r>
              <w:rPr>
                <w:rFonts w:hint="eastAsia" w:ascii="宋体" w:hAnsi="宋体" w:eastAsia="宋体" w:cs="Times New Roman"/>
                <w:color w:val="auto"/>
                <w:kern w:val="0"/>
                <w:szCs w:val="24"/>
              </w:rPr>
              <w:t>1.组织现场救援和交通组织；2.发现异常人员或车辆异常时及时上报；3.人员伤亡时及时进行救护；4.视情况上报并拨打救援电话。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51" w:type="pct"/>
            <w:vMerge w:val="continue"/>
            <w:tcBorders>
              <w:bottom w:val="single" w:color="auto" w:sz="4" w:space="0"/>
            </w:tcBorders>
          </w:tcPr>
          <w:p>
            <w:pPr>
              <w:widowControl w:val="0"/>
              <w:spacing w:beforeLines="100" w:afterLines="50" w:line="360" w:lineRule="auto"/>
              <w:ind w:left="0" w:firstLine="0"/>
              <w:jc w:val="both"/>
              <w:rPr>
                <w:rFonts w:ascii="宋体" w:hAnsi="宋体" w:eastAsia="宋体" w:cs="Times New Roman"/>
                <w:b/>
                <w:color w:val="auto"/>
                <w:kern w:val="0"/>
                <w:szCs w:val="24"/>
              </w:rPr>
            </w:pPr>
          </w:p>
        </w:tc>
        <w:tc>
          <w:tcPr>
            <w:tcW w:w="421" w:type="pct"/>
            <w:vMerge w:val="continue"/>
            <w:tcBorders>
              <w:bottom w:val="single" w:color="auto" w:sz="4" w:space="0"/>
            </w:tcBorders>
            <w:shd w:val="clear" w:color="auto" w:fill="auto"/>
            <w:vAlign w:val="center"/>
          </w:tcPr>
          <w:p>
            <w:pPr>
              <w:widowControl w:val="0"/>
              <w:spacing w:beforeLines="20" w:after="0" w:line="240" w:lineRule="auto"/>
              <w:ind w:left="0" w:firstLine="0"/>
              <w:jc w:val="center"/>
              <w:rPr>
                <w:rFonts w:ascii="宋体" w:hAnsi="宋体" w:eastAsia="宋体" w:cs="Times New Roman"/>
                <w:color w:val="auto"/>
                <w:kern w:val="0"/>
                <w:szCs w:val="24"/>
              </w:rPr>
            </w:pPr>
          </w:p>
        </w:tc>
        <w:tc>
          <w:tcPr>
            <w:tcW w:w="468" w:type="pct"/>
            <w:tcBorders>
              <w:bottom w:val="single" w:color="auto" w:sz="4" w:space="0"/>
            </w:tcBorders>
            <w:shd w:val="clear" w:color="auto" w:fill="3764FF"/>
            <w:vAlign w:val="center"/>
          </w:tcPr>
          <w:p>
            <w:pPr>
              <w:widowControl w:val="0"/>
              <w:spacing w:beforeLines="20" w:after="0" w:line="280" w:lineRule="exact"/>
              <w:ind w:left="0" w:firstLine="0"/>
              <w:jc w:val="center"/>
              <w:rPr>
                <w:rFonts w:ascii="宋体" w:hAnsi="宋体" w:eastAsia="宋体" w:cs="Times New Roman"/>
                <w:b/>
                <w:color w:val="auto"/>
                <w:kern w:val="0"/>
                <w:sz w:val="28"/>
                <w:szCs w:val="24"/>
              </w:rPr>
            </w:pPr>
            <w:r>
              <w:rPr>
                <w:rFonts w:hint="eastAsia" w:ascii="宋体" w:hAnsi="宋体" w:eastAsia="宋体" w:cs="Times New Roman"/>
                <w:b/>
                <w:color w:val="auto"/>
                <w:kern w:val="0"/>
                <w:sz w:val="28"/>
                <w:szCs w:val="24"/>
              </w:rPr>
              <w:t>其他</w:t>
            </w:r>
          </w:p>
        </w:tc>
        <w:tc>
          <w:tcPr>
            <w:tcW w:w="1685" w:type="pct"/>
            <w:tcBorders>
              <w:bottom w:val="single" w:color="auto" w:sz="4" w:space="0"/>
            </w:tcBorders>
            <w:shd w:val="clear" w:color="auto" w:fill="auto"/>
            <w:vAlign w:val="center"/>
          </w:tcPr>
          <w:p>
            <w:pPr>
              <w:widowControl w:val="0"/>
              <w:spacing w:beforeLines="20" w:after="0" w:line="280" w:lineRule="exact"/>
              <w:ind w:left="0" w:firstLine="0"/>
              <w:jc w:val="both"/>
              <w:rPr>
                <w:rFonts w:ascii="宋体" w:hAnsi="宋体" w:eastAsia="宋体" w:cs="Times New Roman"/>
                <w:color w:val="auto"/>
                <w:kern w:val="0"/>
                <w:szCs w:val="24"/>
              </w:rPr>
            </w:pPr>
            <w:r>
              <w:rPr>
                <w:rFonts w:ascii="宋体" w:hAnsi="宋体" w:eastAsia="宋体" w:cs="Times New Roman"/>
                <w:color w:val="auto"/>
                <w:kern w:val="0"/>
                <w:szCs w:val="24"/>
              </w:rPr>
              <w:t>1.</w:t>
            </w:r>
            <w:r>
              <w:rPr>
                <w:rFonts w:hint="eastAsia" w:ascii="宋体" w:hAnsi="宋体" w:eastAsia="宋体" w:cs="Times New Roman"/>
                <w:color w:val="auto"/>
                <w:kern w:val="0"/>
                <w:szCs w:val="24"/>
              </w:rPr>
              <w:t>不得酒后驾车、上岗，避免恶劣天气室外高处作业；</w:t>
            </w:r>
          </w:p>
          <w:p>
            <w:pPr>
              <w:widowControl w:val="0"/>
              <w:spacing w:beforeLines="20" w:after="0" w:line="280" w:lineRule="exact"/>
              <w:ind w:left="0" w:firstLine="0"/>
              <w:jc w:val="both"/>
              <w:rPr>
                <w:rFonts w:ascii="宋体" w:hAnsi="宋体" w:eastAsia="宋体" w:cs="Times New Roman"/>
                <w:color w:val="auto"/>
                <w:kern w:val="0"/>
                <w:szCs w:val="24"/>
              </w:rPr>
            </w:pPr>
            <w:r>
              <w:rPr>
                <w:rFonts w:hint="eastAsia" w:ascii="宋体" w:hAnsi="宋体" w:eastAsia="宋体" w:cs="Times New Roman"/>
                <w:color w:val="auto"/>
                <w:kern w:val="0"/>
                <w:szCs w:val="24"/>
              </w:rPr>
              <w:t>2</w:t>
            </w:r>
            <w:r>
              <w:rPr>
                <w:rFonts w:ascii="宋体" w:hAnsi="宋体" w:eastAsia="宋体" w:cs="Times New Roman"/>
                <w:color w:val="auto"/>
                <w:kern w:val="0"/>
                <w:szCs w:val="24"/>
              </w:rPr>
              <w:t>.车道作业</w:t>
            </w:r>
            <w:r>
              <w:rPr>
                <w:rFonts w:hint="eastAsia" w:ascii="宋体" w:hAnsi="宋体" w:eastAsia="宋体" w:cs="Times New Roman"/>
                <w:color w:val="auto"/>
                <w:kern w:val="0"/>
                <w:szCs w:val="24"/>
              </w:rPr>
              <w:t>注意观察周边环境和来往车辆；</w:t>
            </w:r>
          </w:p>
          <w:p>
            <w:pPr>
              <w:widowControl w:val="0"/>
              <w:spacing w:beforeLines="20" w:after="0" w:line="280" w:lineRule="exact"/>
              <w:ind w:left="0" w:firstLine="0"/>
              <w:jc w:val="both"/>
              <w:rPr>
                <w:rFonts w:ascii="宋体" w:hAnsi="宋体" w:eastAsia="宋体" w:cs="Times New Roman"/>
                <w:color w:val="auto"/>
                <w:kern w:val="0"/>
                <w:szCs w:val="24"/>
              </w:rPr>
            </w:pPr>
            <w:r>
              <w:rPr>
                <w:rFonts w:hint="eastAsia" w:ascii="宋体" w:hAnsi="宋体" w:eastAsia="宋体" w:cs="Times New Roman"/>
                <w:color w:val="auto"/>
                <w:kern w:val="0"/>
                <w:szCs w:val="24"/>
              </w:rPr>
              <w:t>3.学习风险清单，不得违章指挥、冒险作业。</w:t>
            </w:r>
          </w:p>
        </w:tc>
        <w:tc>
          <w:tcPr>
            <w:tcW w:w="1875" w:type="pct"/>
            <w:tcBorders>
              <w:bottom w:val="single" w:color="auto" w:sz="4" w:space="0"/>
            </w:tcBorders>
            <w:shd w:val="clear" w:color="auto" w:fill="auto"/>
            <w:vAlign w:val="center"/>
          </w:tcPr>
          <w:p>
            <w:pPr>
              <w:widowControl w:val="0"/>
              <w:spacing w:beforeLines="20" w:after="0" w:line="280" w:lineRule="exact"/>
              <w:ind w:left="0" w:firstLine="0"/>
              <w:jc w:val="both"/>
              <w:rPr>
                <w:rFonts w:ascii="宋体" w:hAnsi="宋体" w:eastAsia="宋体" w:cs="Times New Roman"/>
                <w:color w:val="auto"/>
                <w:kern w:val="0"/>
                <w:szCs w:val="24"/>
              </w:rPr>
            </w:pPr>
            <w:r>
              <w:rPr>
                <w:rFonts w:hint="eastAsia" w:ascii="宋体" w:hAnsi="宋体" w:eastAsia="宋体" w:cs="Times New Roman"/>
                <w:color w:val="auto"/>
                <w:kern w:val="0"/>
                <w:szCs w:val="24"/>
              </w:rPr>
              <w:t>1.组织现场救援和交通组织；2.有人员伤亡时及时进行救护；</w:t>
            </w:r>
          </w:p>
          <w:p>
            <w:pPr>
              <w:widowControl w:val="0"/>
              <w:spacing w:beforeLines="20" w:after="0" w:line="280" w:lineRule="exact"/>
              <w:ind w:left="0" w:firstLine="0"/>
              <w:jc w:val="both"/>
              <w:rPr>
                <w:rFonts w:ascii="宋体" w:hAnsi="宋体" w:eastAsia="宋体" w:cs="Times New Roman"/>
                <w:color w:val="auto"/>
                <w:kern w:val="0"/>
                <w:szCs w:val="24"/>
              </w:rPr>
            </w:pPr>
            <w:r>
              <w:rPr>
                <w:rFonts w:hint="eastAsia" w:ascii="宋体" w:hAnsi="宋体" w:eastAsia="宋体" w:cs="Times New Roman"/>
                <w:color w:val="auto"/>
                <w:kern w:val="0"/>
                <w:szCs w:val="24"/>
              </w:rPr>
              <w:t>3.视情况上报并拨打救援电话。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440" w:type="pct"/>
            <w:gridSpan w:val="3"/>
            <w:tcBorders>
              <w:bottom w:val="single" w:color="auto" w:sz="4" w:space="0"/>
            </w:tcBorders>
            <w:shd w:val="clear" w:color="auto" w:fill="F1F1F1" w:themeFill="background1" w:themeFillShade="F2"/>
            <w:vAlign w:val="center"/>
          </w:tcPr>
          <w:p>
            <w:pPr>
              <w:widowControl w:val="0"/>
              <w:spacing w:beforeLines="20" w:after="0" w:line="240" w:lineRule="auto"/>
              <w:ind w:left="0" w:firstLine="0"/>
              <w:jc w:val="left"/>
              <w:rPr>
                <w:rFonts w:ascii="宋体" w:hAnsi="宋体" w:eastAsia="宋体" w:cs="Times New Roman"/>
                <w:b/>
                <w:color w:val="auto"/>
                <w:kern w:val="0"/>
                <w:szCs w:val="24"/>
              </w:rPr>
            </w:pPr>
            <w:r>
              <w:rPr>
                <w:rFonts w:hint="eastAsia" w:ascii="宋体" w:hAnsi="宋体" w:eastAsia="宋体" w:cs="Times New Roman"/>
                <w:b/>
                <w:color w:val="auto"/>
                <w:kern w:val="0"/>
                <w:szCs w:val="24"/>
              </w:rPr>
              <w:t>值班</w:t>
            </w:r>
            <w:r>
              <w:rPr>
                <w:rFonts w:ascii="宋体" w:hAnsi="宋体" w:eastAsia="宋体" w:cs="Times New Roman"/>
                <w:b/>
                <w:color w:val="auto"/>
                <w:kern w:val="0"/>
                <w:szCs w:val="24"/>
              </w:rPr>
              <w:t>电话</w:t>
            </w:r>
            <w:r>
              <w:rPr>
                <w:rFonts w:hint="eastAsia" w:ascii="宋体" w:hAnsi="宋体" w:eastAsia="宋体" w:cs="Times New Roman"/>
                <w:b/>
                <w:color w:val="auto"/>
                <w:kern w:val="0"/>
                <w:szCs w:val="24"/>
              </w:rPr>
              <w:t>：</w:t>
            </w:r>
          </w:p>
        </w:tc>
        <w:tc>
          <w:tcPr>
            <w:tcW w:w="3560" w:type="pct"/>
            <w:gridSpan w:val="2"/>
            <w:tcBorders>
              <w:bottom w:val="single" w:color="auto" w:sz="4" w:space="0"/>
            </w:tcBorders>
            <w:shd w:val="clear" w:color="auto" w:fill="F1F1F1" w:themeFill="background1" w:themeFillShade="F2"/>
            <w:vAlign w:val="center"/>
          </w:tcPr>
          <w:p>
            <w:pPr>
              <w:widowControl w:val="0"/>
              <w:spacing w:beforeLines="20" w:after="0" w:line="240" w:lineRule="auto"/>
              <w:ind w:left="0" w:firstLine="0"/>
              <w:jc w:val="center"/>
              <w:rPr>
                <w:rFonts w:ascii="宋体" w:hAnsi="宋体" w:eastAsia="宋体" w:cs="Times New Roman"/>
                <w:b/>
                <w:color w:val="auto"/>
                <w:kern w:val="0"/>
                <w:szCs w:val="24"/>
              </w:rPr>
            </w:pPr>
            <w:r>
              <w:rPr>
                <w:rFonts w:ascii="宋体" w:hAnsi="宋体" w:eastAsia="宋体" w:cs="Times New Roman"/>
                <w:b/>
                <w:color w:val="auto"/>
                <w:kern w:val="0"/>
                <w:szCs w:val="24"/>
              </w:rPr>
              <w:t>救援电话</w:t>
            </w:r>
            <w:r>
              <w:rPr>
                <w:rFonts w:hint="eastAsia" w:ascii="宋体" w:hAnsi="宋体" w:eastAsia="宋体" w:cs="Times New Roman"/>
                <w:b/>
                <w:color w:val="auto"/>
                <w:kern w:val="0"/>
                <w:szCs w:val="24"/>
              </w:rPr>
              <w:t xml:space="preserve">： </w:t>
            </w:r>
            <w:r>
              <w:rPr>
                <w:rFonts w:ascii="宋体" w:hAnsi="宋体" w:eastAsia="宋体" w:cs="Times New Roman"/>
                <w:b/>
                <w:color w:val="auto"/>
                <w:kern w:val="0"/>
                <w:szCs w:val="24"/>
              </w:rPr>
              <w:t xml:space="preserve">        </w:t>
            </w:r>
            <w:r>
              <w:rPr>
                <w:rFonts w:hint="eastAsia" w:ascii="宋体" w:hAnsi="宋体" w:eastAsia="宋体" w:cs="Times New Roman"/>
                <w:b/>
                <w:color w:val="auto"/>
                <w:kern w:val="0"/>
                <w:szCs w:val="24"/>
              </w:rPr>
              <w:t xml:space="preserve">  </w:t>
            </w:r>
            <w:r>
              <w:rPr>
                <w:rFonts w:ascii="宋体" w:hAnsi="宋体" w:eastAsia="宋体" w:cs="Times New Roman"/>
                <w:b/>
                <w:color w:val="auto"/>
                <w:kern w:val="0"/>
                <w:szCs w:val="24"/>
              </w:rPr>
              <w:t>消防</w:t>
            </w:r>
            <w:r>
              <w:rPr>
                <w:rFonts w:hint="eastAsia" w:ascii="宋体" w:hAnsi="宋体" w:eastAsia="宋体" w:cs="Times New Roman"/>
                <w:b/>
                <w:color w:val="auto"/>
                <w:kern w:val="0"/>
                <w:szCs w:val="24"/>
              </w:rPr>
              <w:t>：119    急救：120    公安：110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000" w:type="pct"/>
            <w:gridSpan w:val="5"/>
            <w:shd w:val="clear" w:color="auto" w:fill="FFFFFF" w:themeFill="background1"/>
            <w:vAlign w:val="center"/>
          </w:tcPr>
          <w:p>
            <w:pPr>
              <w:widowControl w:val="0"/>
              <w:spacing w:beforeLines="20" w:after="0" w:line="240" w:lineRule="auto"/>
              <w:ind w:left="0" w:firstLine="0"/>
              <w:jc w:val="left"/>
              <w:rPr>
                <w:rFonts w:ascii="宋体" w:hAnsi="宋体" w:eastAsia="宋体" w:cs="Times New Roman"/>
                <w:b/>
                <w:color w:val="auto"/>
                <w:kern w:val="0"/>
                <w:szCs w:val="24"/>
              </w:rPr>
            </w:pPr>
            <w:r>
              <w:rPr>
                <w:rFonts w:ascii="宋体" w:hAnsi="宋体" w:eastAsia="宋体" w:cs="Times New Roman"/>
                <w:b/>
                <w:color w:val="auto"/>
                <w:kern w:val="0"/>
                <w:szCs w:val="24"/>
              </w:rPr>
              <w:t>作业小组成员</w:t>
            </w:r>
            <w:r>
              <w:rPr>
                <w:rFonts w:hint="eastAsia" w:ascii="宋体" w:hAnsi="宋体" w:eastAsia="宋体" w:cs="Times New Roman"/>
                <w:b/>
                <w:color w:val="auto"/>
                <w:kern w:val="0"/>
                <w:szCs w:val="24"/>
              </w:rPr>
              <w:t>：</w:t>
            </w:r>
          </w:p>
        </w:tc>
      </w:tr>
    </w:tbl>
    <w:p>
      <w:pPr>
        <w:widowControl w:val="0"/>
        <w:spacing w:after="0" w:line="560" w:lineRule="exact"/>
        <w:ind w:left="0" w:firstLine="640" w:firstLineChars="200"/>
        <w:rPr>
          <w:rFonts w:ascii="华文隶书" w:hAnsi="华文中宋" w:eastAsia="华文隶书"/>
          <w:b/>
          <w:color w:val="auto"/>
          <w:sz w:val="32"/>
          <w:szCs w:val="32"/>
        </w:rPr>
      </w:pPr>
      <w:r>
        <w:rPr>
          <w:rFonts w:hint="eastAsia" w:ascii="华文隶书" w:hAnsi="华文中宋" w:eastAsia="华文隶书"/>
          <w:b/>
          <w:color w:val="auto"/>
          <w:sz w:val="32"/>
          <w:szCs w:val="32"/>
        </w:rPr>
        <w:t>安全第一      预防为主                           防风险     除隐患     遏事故</w:t>
      </w:r>
    </w:p>
    <w:p>
      <w:pPr>
        <w:spacing w:after="0" w:line="240" w:lineRule="auto"/>
        <w:ind w:left="0" w:firstLine="0"/>
        <w:rPr>
          <w:rFonts w:ascii="华文中宋" w:hAnsi="华文中宋" w:eastAsia="华文中宋" w:cs="Times New Roman"/>
          <w:color w:val="auto"/>
          <w:sz w:val="28"/>
        </w:rPr>
      </w:pPr>
      <w:r>
        <w:rPr>
          <w:rFonts w:ascii="华文中宋" w:hAnsi="华文中宋" w:eastAsia="华文中宋" w:cs="Times New Roman"/>
          <w:color w:val="auto"/>
          <w:sz w:val="28"/>
        </w:rPr>
        <w:br w:type="page"/>
      </w:r>
    </w:p>
    <w:p>
      <w:pPr>
        <w:widowControl w:val="0"/>
        <w:spacing w:after="0" w:line="240" w:lineRule="auto"/>
        <w:ind w:left="0" w:firstLine="0"/>
        <w:jc w:val="center"/>
        <w:rPr>
          <w:rFonts w:ascii="华文中宋" w:hAnsi="华文中宋" w:eastAsia="华文中宋" w:cs="Times New Roman"/>
          <w:color w:val="auto"/>
          <w:sz w:val="28"/>
        </w:rPr>
      </w:pPr>
      <w:r>
        <w:rPr>
          <w:rFonts w:hint="eastAsia" w:ascii="华文中宋" w:hAnsi="华文中宋" w:eastAsia="华文中宋" w:cs="Times New Roman"/>
          <w:color w:val="auto"/>
          <w:sz w:val="28"/>
        </w:rPr>
        <w:t>收费站岗位风险告知卡</w:t>
      </w:r>
    </w:p>
    <w:tbl>
      <w:tblPr>
        <w:tblStyle w:val="29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3"/>
        <w:gridCol w:w="1136"/>
        <w:gridCol w:w="1417"/>
        <w:gridCol w:w="5100"/>
        <w:gridCol w:w="5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91" w:type="pct"/>
            <w:shd w:val="clear" w:color="auto" w:fill="F1F1F1" w:themeFill="background1" w:themeFillShade="F2"/>
            <w:vAlign w:val="center"/>
          </w:tcPr>
          <w:p>
            <w:pPr>
              <w:widowControl w:val="0"/>
              <w:spacing w:after="0" w:line="240" w:lineRule="auto"/>
              <w:ind w:left="0" w:firstLine="0"/>
              <w:jc w:val="center"/>
              <w:rPr>
                <w:rFonts w:ascii="宋体" w:hAnsi="宋体" w:eastAsia="宋体" w:cs="Times New Roman"/>
                <w:b/>
                <w:color w:val="auto"/>
                <w:kern w:val="0"/>
                <w:szCs w:val="21"/>
              </w:rPr>
            </w:pPr>
            <w:r>
              <w:rPr>
                <w:rFonts w:ascii="宋体" w:hAnsi="宋体" w:eastAsia="宋体" w:cs="Times New Roman"/>
                <w:b/>
                <w:color w:val="auto"/>
                <w:kern w:val="0"/>
                <w:szCs w:val="21"/>
              </w:rPr>
              <w:t>岗位</w:t>
            </w:r>
            <w:r>
              <w:rPr>
                <w:rFonts w:hint="eastAsia" w:ascii="宋体" w:hAnsi="宋体" w:eastAsia="宋体" w:cs="Times New Roman"/>
                <w:b/>
                <w:color w:val="auto"/>
                <w:kern w:val="0"/>
                <w:szCs w:val="21"/>
              </w:rPr>
              <w:t>：机电维护员</w:t>
            </w:r>
          </w:p>
        </w:tc>
        <w:tc>
          <w:tcPr>
            <w:tcW w:w="375" w:type="pct"/>
            <w:tcBorders>
              <w:bottom w:val="single" w:color="auto" w:sz="4" w:space="0"/>
            </w:tcBorders>
            <w:shd w:val="clear" w:color="auto" w:fill="F1F1F1" w:themeFill="background1" w:themeFillShade="F2"/>
            <w:vAlign w:val="center"/>
          </w:tcPr>
          <w:p>
            <w:pPr>
              <w:widowControl w:val="0"/>
              <w:spacing w:after="0" w:line="240" w:lineRule="auto"/>
              <w:ind w:left="0" w:firstLine="0"/>
              <w:jc w:val="center"/>
              <w:rPr>
                <w:rFonts w:ascii="宋体" w:hAnsi="宋体" w:eastAsia="宋体" w:cs="Times New Roman"/>
                <w:b/>
                <w:color w:val="auto"/>
                <w:kern w:val="0"/>
                <w:szCs w:val="21"/>
              </w:rPr>
            </w:pPr>
            <w:r>
              <w:rPr>
                <w:rFonts w:hint="eastAsia" w:ascii="宋体" w:hAnsi="宋体" w:eastAsia="宋体" w:cs="Times New Roman"/>
                <w:b/>
                <w:color w:val="auto"/>
                <w:kern w:val="0"/>
                <w:szCs w:val="21"/>
              </w:rPr>
              <w:t>风险点</w:t>
            </w:r>
          </w:p>
        </w:tc>
        <w:tc>
          <w:tcPr>
            <w:tcW w:w="468" w:type="pct"/>
            <w:tcBorders>
              <w:bottom w:val="single" w:color="auto" w:sz="4" w:space="0"/>
            </w:tcBorders>
            <w:shd w:val="clear" w:color="auto" w:fill="F1F1F1" w:themeFill="background1" w:themeFillShade="F2"/>
            <w:vAlign w:val="center"/>
          </w:tcPr>
          <w:p>
            <w:pPr>
              <w:widowControl w:val="0"/>
              <w:spacing w:after="0" w:line="240" w:lineRule="auto"/>
              <w:ind w:left="0" w:firstLine="0"/>
              <w:jc w:val="center"/>
              <w:rPr>
                <w:rFonts w:ascii="宋体" w:hAnsi="宋体" w:eastAsia="宋体" w:cs="Times New Roman"/>
                <w:b/>
                <w:color w:val="auto"/>
                <w:kern w:val="0"/>
                <w:szCs w:val="21"/>
              </w:rPr>
            </w:pPr>
            <w:r>
              <w:rPr>
                <w:rFonts w:hint="eastAsia" w:ascii="宋体" w:hAnsi="宋体" w:eastAsia="宋体" w:cs="Times New Roman"/>
                <w:b/>
                <w:color w:val="auto"/>
                <w:kern w:val="0"/>
                <w:szCs w:val="21"/>
              </w:rPr>
              <w:t>风险事件</w:t>
            </w:r>
          </w:p>
        </w:tc>
        <w:tc>
          <w:tcPr>
            <w:tcW w:w="1684" w:type="pct"/>
            <w:tcBorders>
              <w:bottom w:val="single" w:color="auto" w:sz="4" w:space="0"/>
            </w:tcBorders>
            <w:shd w:val="clear" w:color="auto" w:fill="F1F1F1" w:themeFill="background1" w:themeFillShade="F2"/>
            <w:vAlign w:val="center"/>
          </w:tcPr>
          <w:p>
            <w:pPr>
              <w:widowControl w:val="0"/>
              <w:spacing w:after="0" w:line="240" w:lineRule="auto"/>
              <w:ind w:left="0" w:firstLine="0"/>
              <w:jc w:val="center"/>
              <w:rPr>
                <w:rFonts w:ascii="宋体" w:hAnsi="宋体" w:eastAsia="宋体" w:cs="Times New Roman"/>
                <w:b/>
                <w:color w:val="auto"/>
                <w:kern w:val="0"/>
                <w:szCs w:val="21"/>
              </w:rPr>
            </w:pPr>
            <w:r>
              <w:rPr>
                <w:rFonts w:ascii="宋体" w:hAnsi="宋体" w:eastAsia="宋体" w:cs="Times New Roman"/>
                <w:b/>
                <w:color w:val="auto"/>
                <w:kern w:val="0"/>
                <w:szCs w:val="21"/>
              </w:rPr>
              <w:t>风险管控措施</w:t>
            </w:r>
          </w:p>
        </w:tc>
        <w:tc>
          <w:tcPr>
            <w:tcW w:w="1782" w:type="pct"/>
            <w:tcBorders>
              <w:bottom w:val="single" w:color="auto" w:sz="4" w:space="0"/>
            </w:tcBorders>
            <w:shd w:val="clear" w:color="auto" w:fill="F1F1F1" w:themeFill="background1" w:themeFillShade="F2"/>
            <w:vAlign w:val="center"/>
          </w:tcPr>
          <w:p>
            <w:pPr>
              <w:widowControl w:val="0"/>
              <w:spacing w:after="0" w:line="240" w:lineRule="auto"/>
              <w:ind w:left="0" w:firstLine="0"/>
              <w:jc w:val="center"/>
              <w:rPr>
                <w:rFonts w:ascii="宋体" w:hAnsi="宋体" w:eastAsia="宋体" w:cs="Times New Roman"/>
                <w:b/>
                <w:color w:val="auto"/>
                <w:kern w:val="0"/>
                <w:szCs w:val="21"/>
              </w:rPr>
            </w:pPr>
            <w:r>
              <w:rPr>
                <w:rFonts w:ascii="宋体" w:hAnsi="宋体" w:eastAsia="宋体" w:cs="Times New Roman"/>
                <w:b/>
                <w:color w:val="auto"/>
                <w:kern w:val="0"/>
                <w:szCs w:val="21"/>
              </w:rPr>
              <w:t>应急处置措施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91" w:type="pct"/>
            <w:vMerge w:val="restart"/>
          </w:tcPr>
          <w:p>
            <w:pPr>
              <w:widowControl w:val="0"/>
              <w:spacing w:beforeLines="100" w:afterLines="50" w:line="360" w:lineRule="auto"/>
              <w:ind w:left="0" w:firstLine="0"/>
              <w:jc w:val="left"/>
              <w:rPr>
                <w:rFonts w:ascii="宋体" w:hAnsi="宋体" w:eastAsia="宋体" w:cs="Times New Roman"/>
                <w:b/>
                <w:color w:val="auto"/>
                <w:kern w:val="0"/>
                <w:szCs w:val="32"/>
              </w:rPr>
            </w:pPr>
            <w:r>
              <w:rPr>
                <w:rFonts w:hint="eastAsia" w:ascii="宋体" w:hAnsi="宋体" w:eastAsia="宋体" w:cs="Times New Roman"/>
                <w:b/>
                <w:color w:val="auto"/>
                <w:kern w:val="0"/>
                <w:szCs w:val="32"/>
              </w:rPr>
              <w:t>作业步骤/</w:t>
            </w:r>
            <w:r>
              <w:rPr>
                <w:rFonts w:ascii="宋体" w:hAnsi="宋体" w:eastAsia="宋体" w:cs="Times New Roman"/>
                <w:b/>
                <w:color w:val="auto"/>
                <w:kern w:val="0"/>
                <w:szCs w:val="32"/>
              </w:rPr>
              <w:t>内容</w:t>
            </w:r>
            <w:r>
              <w:rPr>
                <w:rFonts w:hint="eastAsia" w:ascii="宋体" w:hAnsi="宋体" w:eastAsia="宋体" w:cs="Times New Roman"/>
                <w:b/>
                <w:color w:val="auto"/>
                <w:kern w:val="0"/>
                <w:szCs w:val="32"/>
              </w:rPr>
              <w:t>：</w:t>
            </w:r>
          </w:p>
          <w:p>
            <w:pPr>
              <w:widowControl w:val="0"/>
              <w:spacing w:beforeLines="100" w:afterLines="50" w:line="240" w:lineRule="auto"/>
              <w:ind w:left="0" w:firstLine="0"/>
              <w:jc w:val="both"/>
              <w:rPr>
                <w:rFonts w:cs="宋体"/>
                <w:color w:val="auto"/>
                <w:kern w:val="0"/>
                <w:szCs w:val="24"/>
              </w:rPr>
            </w:pPr>
            <w:r>
              <w:rPr>
                <w:rFonts w:hint="eastAsia" w:ascii="Calibri" w:hAnsi="Calibri" w:eastAsia="宋体" w:cs="Times New Roman"/>
                <w:color w:val="auto"/>
              </w:rPr>
              <w:t>岗前准备</w:t>
            </w:r>
            <w:r>
              <w:rPr>
                <w:rFonts w:hint="eastAsia" w:ascii="宋体" w:hAnsi="宋体" w:eastAsia="宋体" w:cs="Times New Roman"/>
                <w:color w:val="auto"/>
              </w:rPr>
              <w:t>→岗前检查→机电作业→岗后总结</w:t>
            </w:r>
          </w:p>
        </w:tc>
        <w:tc>
          <w:tcPr>
            <w:tcW w:w="375" w:type="pct"/>
            <w:vMerge w:val="restart"/>
            <w:shd w:val="clear" w:color="auto" w:fill="FFFFFF" w:themeFill="background1"/>
            <w:vAlign w:val="center"/>
          </w:tcPr>
          <w:p>
            <w:pPr>
              <w:widowControl w:val="0"/>
              <w:spacing w:beforeLines="20" w:after="0" w:line="240" w:lineRule="auto"/>
              <w:ind w:left="0" w:firstLine="0"/>
              <w:jc w:val="center"/>
              <w:rPr>
                <w:rFonts w:ascii="宋体" w:hAnsi="宋体" w:eastAsia="宋体" w:cs="Times New Roman"/>
                <w:color w:val="auto"/>
                <w:kern w:val="0"/>
                <w:szCs w:val="32"/>
              </w:rPr>
            </w:pPr>
            <w:r>
              <w:rPr>
                <w:rFonts w:hint="eastAsia" w:ascii="宋体" w:hAnsi="宋体" w:eastAsia="宋体" w:cs="Times New Roman"/>
                <w:color w:val="auto"/>
                <w:kern w:val="0"/>
                <w:szCs w:val="32"/>
              </w:rPr>
              <w:t>收费广场。</w:t>
            </w:r>
          </w:p>
        </w:tc>
        <w:tc>
          <w:tcPr>
            <w:tcW w:w="468" w:type="pct"/>
            <w:tcBorders>
              <w:bottom w:val="single" w:color="auto" w:sz="4" w:space="0"/>
            </w:tcBorders>
            <w:shd w:val="clear" w:color="auto" w:fill="FAE600"/>
            <w:vAlign w:val="center"/>
          </w:tcPr>
          <w:p>
            <w:pPr>
              <w:widowControl w:val="0"/>
              <w:spacing w:beforeLines="30" w:after="0" w:line="320" w:lineRule="exact"/>
              <w:ind w:left="0" w:firstLine="0"/>
              <w:jc w:val="center"/>
              <w:rPr>
                <w:rFonts w:ascii="Calibri" w:hAnsi="Calibri" w:eastAsia="宋体" w:cs="Times New Roman"/>
                <w:b/>
                <w:color w:val="auto"/>
                <w:sz w:val="28"/>
              </w:rPr>
            </w:pPr>
            <w:r>
              <w:rPr>
                <w:rFonts w:hint="eastAsia" w:ascii="Calibri" w:hAnsi="Calibri" w:eastAsia="宋体" w:cs="Times New Roman"/>
                <w:b/>
                <w:color w:val="auto"/>
                <w:sz w:val="28"/>
              </w:rPr>
              <w:t>车辆伤害</w:t>
            </w:r>
          </w:p>
        </w:tc>
        <w:tc>
          <w:tcPr>
            <w:tcW w:w="1684" w:type="pct"/>
            <w:shd w:val="clear" w:color="auto" w:fill="FFFFFF" w:themeFill="background1"/>
            <w:vAlign w:val="center"/>
          </w:tcPr>
          <w:p>
            <w:pPr>
              <w:widowControl w:val="0"/>
              <w:spacing w:beforeLines="30" w:after="0" w:line="320" w:lineRule="exact"/>
              <w:ind w:left="0" w:firstLine="0"/>
              <w:jc w:val="both"/>
              <w:rPr>
                <w:rFonts w:ascii="Calibri" w:hAnsi="Calibri" w:eastAsia="宋体" w:cs="Times New Roman"/>
                <w:color w:val="auto"/>
              </w:rPr>
            </w:pPr>
            <w:r>
              <w:rPr>
                <w:rFonts w:hint="eastAsia" w:ascii="Calibri" w:hAnsi="Calibri" w:eastAsia="宋体" w:cs="Times New Roman"/>
                <w:color w:val="auto"/>
              </w:rPr>
              <w:t xml:space="preserve">1.上路时穿戴反光警示标志服，遵守安全作业规程； </w:t>
            </w:r>
          </w:p>
          <w:p>
            <w:pPr>
              <w:widowControl w:val="0"/>
              <w:spacing w:beforeLines="30" w:after="0" w:line="320" w:lineRule="exact"/>
              <w:ind w:left="0" w:firstLine="0"/>
              <w:jc w:val="both"/>
              <w:rPr>
                <w:rFonts w:ascii="Calibri" w:hAnsi="Calibri" w:eastAsia="宋体" w:cs="Times New Roman"/>
                <w:color w:val="auto"/>
              </w:rPr>
            </w:pPr>
            <w:r>
              <w:rPr>
                <w:rFonts w:hint="eastAsia" w:ascii="Calibri" w:hAnsi="Calibri" w:eastAsia="宋体" w:cs="Times New Roman"/>
                <w:color w:val="auto"/>
              </w:rPr>
              <w:t>2.车辆按规定停放，设备、物资材料及设备不得侵入车道，摆放警示标识；</w:t>
            </w:r>
          </w:p>
          <w:p>
            <w:pPr>
              <w:widowControl w:val="0"/>
              <w:spacing w:beforeLines="30" w:after="0" w:line="320" w:lineRule="exact"/>
              <w:ind w:left="0" w:firstLine="0"/>
              <w:jc w:val="both"/>
              <w:rPr>
                <w:rFonts w:ascii="Calibri" w:hAnsi="Calibri" w:eastAsia="宋体" w:cs="Times New Roman"/>
                <w:color w:val="auto"/>
              </w:rPr>
            </w:pPr>
            <w:r>
              <w:rPr>
                <w:rFonts w:hint="eastAsia" w:ascii="Calibri" w:hAnsi="Calibri" w:eastAsia="宋体" w:cs="Times New Roman"/>
                <w:color w:val="auto"/>
              </w:rPr>
              <w:t>3.穿越车道时，注意观察来往车辆。</w:t>
            </w:r>
            <w:r>
              <w:rPr>
                <w:rFonts w:hint="eastAsia" w:ascii="Calibri" w:hAnsi="Calibri" w:eastAsia="宋体" w:cs="Times New Roman"/>
                <w:color w:val="auto"/>
              </w:rPr>
              <w:tab/>
            </w:r>
            <w:r>
              <w:rPr>
                <w:rFonts w:hint="eastAsia" w:ascii="Calibri" w:hAnsi="Calibri" w:eastAsia="宋体" w:cs="Times New Roman"/>
                <w:color w:val="auto"/>
              </w:rPr>
              <w:tab/>
            </w:r>
          </w:p>
        </w:tc>
        <w:tc>
          <w:tcPr>
            <w:tcW w:w="1782" w:type="pct"/>
            <w:shd w:val="clear" w:color="auto" w:fill="FFFFFF" w:themeFill="background1"/>
            <w:vAlign w:val="center"/>
          </w:tcPr>
          <w:p>
            <w:pPr>
              <w:widowControl w:val="0"/>
              <w:spacing w:beforeLines="30" w:after="0" w:line="320" w:lineRule="exact"/>
              <w:ind w:left="0" w:firstLine="0"/>
              <w:jc w:val="both"/>
              <w:rPr>
                <w:rFonts w:ascii="Calibri" w:hAnsi="Calibri" w:eastAsia="宋体" w:cs="Times New Roman"/>
                <w:color w:val="auto"/>
              </w:rPr>
            </w:pPr>
            <w:r>
              <w:rPr>
                <w:rFonts w:hint="eastAsia" w:ascii="Calibri" w:hAnsi="Calibri" w:eastAsia="宋体" w:cs="Times New Roman"/>
                <w:color w:val="auto"/>
              </w:rPr>
              <w:t>1.视情况转移伤员或设置警戒区；2.积极抢救伤员：如受伤人员出现骨折、休克或昏迷状况，应采取临时包扎止血措施；若受伤者呼吸、脉搏停止，应实施人工呼吸或胸外心脏挤压法抢救；3.组织或参与现场救援、交通组织；4.及时上报并拨打救援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91" w:type="pct"/>
            <w:vMerge w:val="continue"/>
          </w:tcPr>
          <w:p>
            <w:pPr>
              <w:widowControl w:val="0"/>
              <w:spacing w:beforeLines="100" w:afterLines="50" w:line="360" w:lineRule="auto"/>
              <w:ind w:left="0" w:firstLine="0"/>
              <w:jc w:val="both"/>
              <w:rPr>
                <w:rFonts w:ascii="宋体" w:hAnsi="宋体" w:eastAsia="宋体" w:cs="Times New Roman"/>
                <w:b/>
                <w:color w:val="auto"/>
                <w:kern w:val="0"/>
                <w:szCs w:val="32"/>
              </w:rPr>
            </w:pPr>
          </w:p>
        </w:tc>
        <w:tc>
          <w:tcPr>
            <w:tcW w:w="375" w:type="pct"/>
            <w:vMerge w:val="continue"/>
            <w:shd w:val="clear" w:color="auto" w:fill="FFFFFF" w:themeFill="background1"/>
            <w:vAlign w:val="center"/>
          </w:tcPr>
          <w:p>
            <w:pPr>
              <w:widowControl w:val="0"/>
              <w:spacing w:beforeLines="20" w:after="0" w:line="240" w:lineRule="auto"/>
              <w:ind w:left="0" w:firstLine="0"/>
              <w:jc w:val="center"/>
              <w:rPr>
                <w:rFonts w:ascii="宋体" w:hAnsi="宋体" w:eastAsia="宋体" w:cs="Times New Roman"/>
                <w:color w:val="auto"/>
                <w:kern w:val="0"/>
                <w:szCs w:val="32"/>
              </w:rPr>
            </w:pPr>
          </w:p>
        </w:tc>
        <w:tc>
          <w:tcPr>
            <w:tcW w:w="468" w:type="pct"/>
            <w:shd w:val="clear" w:color="auto" w:fill="3764FF"/>
            <w:vAlign w:val="center"/>
          </w:tcPr>
          <w:p>
            <w:pPr>
              <w:widowControl w:val="0"/>
              <w:spacing w:beforeLines="30" w:after="0" w:line="320" w:lineRule="exact"/>
              <w:ind w:left="0" w:firstLine="0"/>
              <w:jc w:val="center"/>
              <w:rPr>
                <w:rFonts w:ascii="Calibri" w:hAnsi="Calibri" w:eastAsia="宋体" w:cs="Times New Roman"/>
                <w:b/>
                <w:color w:val="auto"/>
                <w:sz w:val="28"/>
              </w:rPr>
            </w:pPr>
            <w:r>
              <w:rPr>
                <w:rFonts w:hint="eastAsia" w:ascii="Calibri" w:hAnsi="Calibri" w:eastAsia="宋体" w:cs="Times New Roman"/>
                <w:b/>
                <w:color w:val="auto"/>
                <w:sz w:val="28"/>
              </w:rPr>
              <w:t>触电</w:t>
            </w:r>
          </w:p>
        </w:tc>
        <w:tc>
          <w:tcPr>
            <w:tcW w:w="1684" w:type="pct"/>
            <w:shd w:val="clear" w:color="auto" w:fill="FFFFFF" w:themeFill="background1"/>
            <w:vAlign w:val="center"/>
          </w:tcPr>
          <w:p>
            <w:pPr>
              <w:widowControl w:val="0"/>
              <w:spacing w:beforeLines="30" w:after="0" w:line="320" w:lineRule="exact"/>
              <w:ind w:left="0" w:firstLine="0"/>
              <w:jc w:val="both"/>
              <w:rPr>
                <w:rFonts w:ascii="Calibri" w:hAnsi="Calibri" w:eastAsia="宋体" w:cs="Times New Roman"/>
                <w:color w:val="auto"/>
              </w:rPr>
            </w:pPr>
            <w:r>
              <w:rPr>
                <w:rFonts w:hint="eastAsia" w:ascii="Calibri" w:hAnsi="Calibri" w:eastAsia="宋体" w:cs="Times New Roman"/>
                <w:color w:val="auto"/>
              </w:rPr>
              <w:t>1.检修带电设备前应断电，必要时挂牌、监护；</w:t>
            </w:r>
          </w:p>
          <w:p>
            <w:pPr>
              <w:widowControl w:val="0"/>
              <w:spacing w:beforeLines="30" w:after="0" w:line="320" w:lineRule="exact"/>
              <w:ind w:left="0" w:firstLine="0"/>
              <w:jc w:val="both"/>
              <w:rPr>
                <w:rFonts w:ascii="Calibri" w:hAnsi="Calibri" w:eastAsia="宋体" w:cs="Times New Roman"/>
                <w:color w:val="auto"/>
              </w:rPr>
            </w:pPr>
            <w:r>
              <w:rPr>
                <w:rFonts w:hint="eastAsia" w:ascii="Calibri" w:hAnsi="Calibri" w:eastAsia="宋体" w:cs="Times New Roman"/>
                <w:color w:val="auto"/>
              </w:rPr>
              <w:t>2.使用合格工具及劳保用品，遵守安全规程；</w:t>
            </w:r>
          </w:p>
          <w:p>
            <w:pPr>
              <w:widowControl w:val="0"/>
              <w:spacing w:beforeLines="30" w:after="0" w:line="320" w:lineRule="exact"/>
              <w:ind w:left="0" w:firstLine="0"/>
              <w:jc w:val="both"/>
              <w:rPr>
                <w:rFonts w:ascii="Calibri" w:hAnsi="Calibri" w:eastAsia="宋体" w:cs="Times New Roman"/>
                <w:color w:val="auto"/>
              </w:rPr>
            </w:pPr>
            <w:r>
              <w:rPr>
                <w:rFonts w:hint="eastAsia" w:ascii="Calibri" w:hAnsi="Calibri" w:eastAsia="宋体" w:cs="Times New Roman"/>
                <w:color w:val="auto"/>
              </w:rPr>
              <w:t>3.作业后关闭电气设备柜门，不得有线头、带电设备裸露。</w:t>
            </w:r>
          </w:p>
        </w:tc>
        <w:tc>
          <w:tcPr>
            <w:tcW w:w="1782" w:type="pct"/>
            <w:shd w:val="clear" w:color="auto" w:fill="FFFFFF" w:themeFill="background1"/>
            <w:vAlign w:val="center"/>
          </w:tcPr>
          <w:p>
            <w:pPr>
              <w:widowControl w:val="0"/>
              <w:spacing w:beforeLines="30" w:after="0" w:line="320" w:lineRule="exact"/>
              <w:ind w:left="0" w:firstLine="0"/>
              <w:jc w:val="both"/>
              <w:rPr>
                <w:rFonts w:ascii="Calibri" w:hAnsi="Calibri" w:eastAsia="宋体" w:cs="Times New Roman"/>
                <w:color w:val="auto"/>
              </w:rPr>
            </w:pPr>
            <w:r>
              <w:rPr>
                <w:rFonts w:hint="eastAsia" w:ascii="Calibri" w:hAnsi="Calibri" w:eastAsia="宋体" w:cs="Times New Roman"/>
                <w:color w:val="auto"/>
              </w:rPr>
              <w:t>1.迅速切断电源，或者用绝缘物体挑开电线或带电物体；2.若触电者失去知觉，应使其平卧，以利呼吸；若触电者呼吸、脉搏停止，必须实施人工呼吸或胸外心脏挤压法抢救；3.积极抢救伤员，及时上报并拨打120等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91" w:type="pct"/>
            <w:vMerge w:val="continue"/>
            <w:tcBorders>
              <w:bottom w:val="single" w:color="auto" w:sz="4" w:space="0"/>
            </w:tcBorders>
          </w:tcPr>
          <w:p>
            <w:pPr>
              <w:widowControl w:val="0"/>
              <w:spacing w:beforeLines="100" w:afterLines="50" w:line="360" w:lineRule="auto"/>
              <w:ind w:left="0" w:firstLine="0"/>
              <w:jc w:val="both"/>
              <w:rPr>
                <w:rFonts w:ascii="宋体" w:hAnsi="宋体" w:eastAsia="宋体" w:cs="Times New Roman"/>
                <w:b/>
                <w:color w:val="auto"/>
                <w:kern w:val="0"/>
                <w:szCs w:val="32"/>
              </w:rPr>
            </w:pPr>
          </w:p>
        </w:tc>
        <w:tc>
          <w:tcPr>
            <w:tcW w:w="375" w:type="pct"/>
            <w:vMerge w:val="continue"/>
            <w:tcBorders>
              <w:bottom w:val="single" w:color="auto" w:sz="4" w:space="0"/>
            </w:tcBorders>
            <w:shd w:val="clear" w:color="auto" w:fill="FFFFFF" w:themeFill="background1"/>
            <w:vAlign w:val="center"/>
          </w:tcPr>
          <w:p>
            <w:pPr>
              <w:widowControl w:val="0"/>
              <w:spacing w:beforeLines="20" w:after="0" w:line="240" w:lineRule="auto"/>
              <w:ind w:left="0" w:firstLine="0"/>
              <w:jc w:val="center"/>
              <w:rPr>
                <w:rFonts w:ascii="宋体" w:hAnsi="宋体" w:eastAsia="宋体" w:cs="Times New Roman"/>
                <w:color w:val="auto"/>
                <w:kern w:val="0"/>
                <w:szCs w:val="32"/>
              </w:rPr>
            </w:pPr>
          </w:p>
        </w:tc>
        <w:tc>
          <w:tcPr>
            <w:tcW w:w="468" w:type="pct"/>
            <w:tcBorders>
              <w:bottom w:val="single" w:color="auto" w:sz="4" w:space="0"/>
            </w:tcBorders>
            <w:shd w:val="clear" w:color="auto" w:fill="3764FF"/>
            <w:vAlign w:val="center"/>
          </w:tcPr>
          <w:p>
            <w:pPr>
              <w:widowControl w:val="0"/>
              <w:spacing w:beforeLines="30" w:after="0" w:line="320" w:lineRule="exact"/>
              <w:ind w:left="0" w:firstLine="0"/>
              <w:jc w:val="center"/>
              <w:rPr>
                <w:rFonts w:ascii="Calibri" w:hAnsi="Calibri" w:eastAsia="宋体" w:cs="Times New Roman"/>
                <w:b/>
                <w:color w:val="auto"/>
                <w:sz w:val="28"/>
              </w:rPr>
            </w:pPr>
            <w:r>
              <w:rPr>
                <w:rFonts w:hint="eastAsia" w:ascii="Calibri" w:hAnsi="Calibri" w:eastAsia="宋体" w:cs="Times New Roman"/>
                <w:b/>
                <w:color w:val="auto"/>
                <w:sz w:val="28"/>
              </w:rPr>
              <w:t>高处坠落</w:t>
            </w:r>
          </w:p>
          <w:p>
            <w:pPr>
              <w:widowControl w:val="0"/>
              <w:spacing w:beforeLines="30" w:after="0" w:line="320" w:lineRule="exact"/>
              <w:ind w:left="0" w:firstLine="0"/>
              <w:jc w:val="center"/>
              <w:rPr>
                <w:rFonts w:ascii="Calibri" w:hAnsi="Calibri" w:eastAsia="宋体" w:cs="Times New Roman"/>
                <w:b/>
                <w:color w:val="auto"/>
                <w:sz w:val="28"/>
              </w:rPr>
            </w:pPr>
            <w:r>
              <w:rPr>
                <w:rFonts w:hint="eastAsia" w:ascii="Calibri" w:hAnsi="Calibri" w:eastAsia="宋体" w:cs="Times New Roman"/>
                <w:b/>
                <w:color w:val="auto"/>
                <w:sz w:val="28"/>
              </w:rPr>
              <w:t>物体打击</w:t>
            </w:r>
          </w:p>
          <w:p>
            <w:pPr>
              <w:widowControl w:val="0"/>
              <w:spacing w:beforeLines="30" w:after="0" w:line="320" w:lineRule="exact"/>
              <w:ind w:left="0" w:firstLine="0"/>
              <w:jc w:val="center"/>
              <w:rPr>
                <w:rFonts w:ascii="Calibri" w:hAnsi="Calibri" w:eastAsia="宋体" w:cs="Times New Roman"/>
                <w:b/>
                <w:color w:val="auto"/>
                <w:sz w:val="28"/>
              </w:rPr>
            </w:pPr>
            <w:r>
              <w:rPr>
                <w:rFonts w:hint="eastAsia" w:ascii="Calibri" w:hAnsi="Calibri" w:eastAsia="宋体" w:cs="Times New Roman"/>
                <w:b/>
                <w:color w:val="auto"/>
                <w:sz w:val="28"/>
              </w:rPr>
              <w:t>其他</w:t>
            </w:r>
          </w:p>
        </w:tc>
        <w:tc>
          <w:tcPr>
            <w:tcW w:w="1684" w:type="pct"/>
            <w:tcBorders>
              <w:bottom w:val="single" w:color="auto" w:sz="4" w:space="0"/>
            </w:tcBorders>
            <w:shd w:val="clear" w:color="auto" w:fill="FFFFFF" w:themeFill="background1"/>
            <w:vAlign w:val="center"/>
          </w:tcPr>
          <w:p>
            <w:pPr>
              <w:widowControl w:val="0"/>
              <w:spacing w:beforeLines="30" w:after="0" w:line="320" w:lineRule="exact"/>
              <w:ind w:left="0" w:firstLine="0"/>
              <w:jc w:val="both"/>
              <w:rPr>
                <w:rFonts w:ascii="Calibri" w:hAnsi="Calibri" w:eastAsia="宋体" w:cs="Times New Roman"/>
                <w:color w:val="auto"/>
              </w:rPr>
            </w:pPr>
            <w:r>
              <w:rPr>
                <w:rFonts w:hint="eastAsia" w:ascii="Calibri" w:hAnsi="Calibri" w:eastAsia="宋体" w:cs="Times New Roman"/>
                <w:color w:val="auto"/>
              </w:rPr>
              <w:t>1.高处作业应穿戴防滑鞋、安全带，不得酒后、违章冒险作业；</w:t>
            </w:r>
          </w:p>
          <w:p>
            <w:pPr>
              <w:widowControl w:val="0"/>
              <w:spacing w:beforeLines="30" w:after="0" w:line="320" w:lineRule="exact"/>
              <w:ind w:left="0" w:firstLine="0"/>
              <w:jc w:val="both"/>
              <w:rPr>
                <w:rFonts w:ascii="Calibri" w:hAnsi="Calibri" w:eastAsia="宋体" w:cs="Times New Roman"/>
                <w:color w:val="auto"/>
              </w:rPr>
            </w:pPr>
            <w:r>
              <w:rPr>
                <w:rFonts w:hint="eastAsia" w:ascii="Calibri" w:hAnsi="Calibri" w:eastAsia="宋体" w:cs="Times New Roman"/>
                <w:color w:val="auto"/>
              </w:rPr>
              <w:t>2.使用合格的攀爬设备，必要时设专人监护；</w:t>
            </w:r>
          </w:p>
          <w:p>
            <w:pPr>
              <w:widowControl w:val="0"/>
              <w:spacing w:beforeLines="30" w:after="0" w:line="320" w:lineRule="exact"/>
              <w:ind w:left="0" w:firstLine="0"/>
              <w:jc w:val="both"/>
              <w:rPr>
                <w:rFonts w:ascii="Calibri" w:hAnsi="Calibri" w:eastAsia="宋体" w:cs="Times New Roman"/>
                <w:color w:val="auto"/>
              </w:rPr>
            </w:pPr>
            <w:r>
              <w:rPr>
                <w:rFonts w:hint="eastAsia" w:ascii="Calibri" w:hAnsi="Calibri" w:eastAsia="宋体" w:cs="Times New Roman"/>
                <w:color w:val="auto"/>
              </w:rPr>
              <w:t>3.作业时选择合理站位，注意观察过往车辆；</w:t>
            </w:r>
          </w:p>
          <w:p>
            <w:pPr>
              <w:widowControl w:val="0"/>
              <w:spacing w:beforeLines="30" w:after="0" w:line="320" w:lineRule="exact"/>
              <w:ind w:left="0" w:firstLine="0"/>
              <w:jc w:val="both"/>
              <w:rPr>
                <w:rFonts w:ascii="Calibri" w:hAnsi="Calibri" w:eastAsia="宋体" w:cs="Times New Roman"/>
                <w:color w:val="auto"/>
              </w:rPr>
            </w:pPr>
            <w:r>
              <w:rPr>
                <w:rFonts w:hint="eastAsia" w:ascii="Calibri" w:hAnsi="Calibri" w:eastAsia="宋体" w:cs="Times New Roman"/>
                <w:color w:val="auto"/>
              </w:rPr>
              <w:t>4.高处材料、设备及工具应放置稳妥。</w:t>
            </w:r>
            <w:r>
              <w:rPr>
                <w:rFonts w:hint="eastAsia" w:ascii="Calibri" w:hAnsi="Calibri" w:eastAsia="宋体" w:cs="Times New Roman"/>
                <w:color w:val="auto"/>
              </w:rPr>
              <w:tab/>
            </w:r>
          </w:p>
        </w:tc>
        <w:tc>
          <w:tcPr>
            <w:tcW w:w="1782" w:type="pct"/>
            <w:tcBorders>
              <w:bottom w:val="single" w:color="auto" w:sz="4" w:space="0"/>
            </w:tcBorders>
            <w:shd w:val="clear" w:color="auto" w:fill="FFFFFF" w:themeFill="background1"/>
            <w:vAlign w:val="center"/>
          </w:tcPr>
          <w:p>
            <w:pPr>
              <w:widowControl w:val="0"/>
              <w:spacing w:beforeLines="30" w:after="0" w:line="320" w:lineRule="exact"/>
              <w:ind w:left="0" w:firstLine="0"/>
              <w:jc w:val="both"/>
              <w:rPr>
                <w:rFonts w:ascii="Calibri" w:hAnsi="Calibri" w:eastAsia="宋体" w:cs="Times New Roman"/>
                <w:color w:val="auto"/>
              </w:rPr>
            </w:pPr>
            <w:r>
              <w:rPr>
                <w:rFonts w:hint="eastAsia" w:ascii="Calibri" w:hAnsi="Calibri" w:eastAsia="宋体" w:cs="Times New Roman"/>
                <w:color w:val="auto"/>
              </w:rPr>
              <w:t>1.视情况转移伤员或设置警戒区；2.积极抢救伤员：如受伤人员出现骨折、休克或昏迷状况，应采取临时包扎止血措施；若受伤者呼吸、脉搏停止，应实施人工呼吸或胸外心脏挤压法抢救；3.组织或参与现场救援、交通组织；4.及时上报并拨打救援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534" w:type="pct"/>
            <w:gridSpan w:val="3"/>
            <w:tcBorders>
              <w:bottom w:val="single" w:color="auto" w:sz="4" w:space="0"/>
            </w:tcBorders>
            <w:shd w:val="clear" w:color="auto" w:fill="F1F1F1" w:themeFill="background1" w:themeFillShade="F2"/>
            <w:vAlign w:val="center"/>
          </w:tcPr>
          <w:p>
            <w:pPr>
              <w:widowControl w:val="0"/>
              <w:spacing w:beforeLines="20" w:after="0" w:line="240" w:lineRule="auto"/>
              <w:ind w:left="0" w:firstLine="0"/>
              <w:jc w:val="left"/>
              <w:rPr>
                <w:rFonts w:ascii="宋体" w:hAnsi="宋体" w:eastAsia="宋体" w:cs="Times New Roman"/>
                <w:b/>
                <w:color w:val="auto"/>
                <w:kern w:val="0"/>
                <w:szCs w:val="24"/>
              </w:rPr>
            </w:pPr>
            <w:r>
              <w:rPr>
                <w:rFonts w:hint="eastAsia" w:ascii="宋体" w:hAnsi="宋体" w:eastAsia="宋体" w:cs="Times New Roman"/>
                <w:b/>
                <w:color w:val="auto"/>
                <w:kern w:val="0"/>
                <w:szCs w:val="24"/>
              </w:rPr>
              <w:t>值班</w:t>
            </w:r>
            <w:r>
              <w:rPr>
                <w:rFonts w:ascii="宋体" w:hAnsi="宋体" w:eastAsia="宋体" w:cs="Times New Roman"/>
                <w:b/>
                <w:color w:val="auto"/>
                <w:kern w:val="0"/>
                <w:szCs w:val="24"/>
              </w:rPr>
              <w:t>电话</w:t>
            </w:r>
            <w:r>
              <w:rPr>
                <w:rFonts w:hint="eastAsia" w:ascii="宋体" w:hAnsi="宋体" w:eastAsia="宋体" w:cs="Times New Roman"/>
                <w:b/>
                <w:color w:val="auto"/>
                <w:kern w:val="0"/>
                <w:szCs w:val="24"/>
              </w:rPr>
              <w:t>：</w:t>
            </w:r>
          </w:p>
        </w:tc>
        <w:tc>
          <w:tcPr>
            <w:tcW w:w="3466" w:type="pct"/>
            <w:gridSpan w:val="2"/>
            <w:tcBorders>
              <w:bottom w:val="single" w:color="auto" w:sz="4" w:space="0"/>
            </w:tcBorders>
            <w:shd w:val="clear" w:color="auto" w:fill="F1F1F1" w:themeFill="background1" w:themeFillShade="F2"/>
            <w:vAlign w:val="center"/>
          </w:tcPr>
          <w:p>
            <w:pPr>
              <w:widowControl w:val="0"/>
              <w:spacing w:beforeLines="20" w:after="0" w:line="240" w:lineRule="auto"/>
              <w:ind w:left="0" w:firstLine="0"/>
              <w:jc w:val="center"/>
              <w:rPr>
                <w:rFonts w:ascii="宋体" w:hAnsi="宋体" w:eastAsia="宋体" w:cs="Times New Roman"/>
                <w:b/>
                <w:color w:val="auto"/>
                <w:kern w:val="0"/>
                <w:szCs w:val="24"/>
              </w:rPr>
            </w:pPr>
            <w:r>
              <w:rPr>
                <w:rFonts w:ascii="宋体" w:hAnsi="宋体" w:eastAsia="宋体" w:cs="Times New Roman"/>
                <w:b/>
                <w:color w:val="auto"/>
                <w:kern w:val="0"/>
                <w:szCs w:val="24"/>
              </w:rPr>
              <w:t>救援电话</w:t>
            </w:r>
            <w:r>
              <w:rPr>
                <w:rFonts w:hint="eastAsia" w:ascii="宋体" w:hAnsi="宋体" w:eastAsia="宋体" w:cs="Times New Roman"/>
                <w:b/>
                <w:color w:val="auto"/>
                <w:kern w:val="0"/>
                <w:szCs w:val="24"/>
              </w:rPr>
              <w:t xml:space="preserve">： </w:t>
            </w:r>
            <w:r>
              <w:rPr>
                <w:rFonts w:ascii="宋体" w:hAnsi="宋体" w:eastAsia="宋体" w:cs="Times New Roman"/>
                <w:b/>
                <w:color w:val="auto"/>
                <w:kern w:val="0"/>
                <w:szCs w:val="24"/>
              </w:rPr>
              <w:t xml:space="preserve">        </w:t>
            </w:r>
            <w:r>
              <w:rPr>
                <w:rFonts w:hint="eastAsia" w:ascii="宋体" w:hAnsi="宋体" w:eastAsia="宋体" w:cs="Times New Roman"/>
                <w:b/>
                <w:color w:val="auto"/>
                <w:kern w:val="0"/>
                <w:szCs w:val="24"/>
              </w:rPr>
              <w:t xml:space="preserve">  </w:t>
            </w:r>
            <w:r>
              <w:rPr>
                <w:rFonts w:ascii="宋体" w:hAnsi="宋体" w:eastAsia="宋体" w:cs="Times New Roman"/>
                <w:b/>
                <w:color w:val="auto"/>
                <w:kern w:val="0"/>
                <w:szCs w:val="24"/>
              </w:rPr>
              <w:t>消防</w:t>
            </w:r>
            <w:r>
              <w:rPr>
                <w:rFonts w:hint="eastAsia" w:ascii="宋体" w:hAnsi="宋体" w:eastAsia="宋体" w:cs="Times New Roman"/>
                <w:b/>
                <w:color w:val="auto"/>
                <w:kern w:val="0"/>
                <w:szCs w:val="24"/>
              </w:rPr>
              <w:t>：119    急救：120    公安：110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000" w:type="pct"/>
            <w:gridSpan w:val="5"/>
            <w:shd w:val="clear" w:color="auto" w:fill="FFFFFF" w:themeFill="background1"/>
            <w:vAlign w:val="center"/>
          </w:tcPr>
          <w:p>
            <w:pPr>
              <w:widowControl w:val="0"/>
              <w:spacing w:beforeLines="20" w:after="0" w:line="240" w:lineRule="auto"/>
              <w:ind w:left="0" w:firstLine="0"/>
              <w:jc w:val="left"/>
              <w:rPr>
                <w:rFonts w:ascii="宋体" w:hAnsi="宋体" w:eastAsia="宋体" w:cs="Times New Roman"/>
                <w:b/>
                <w:color w:val="auto"/>
                <w:kern w:val="0"/>
                <w:szCs w:val="32"/>
              </w:rPr>
            </w:pPr>
            <w:r>
              <w:rPr>
                <w:rFonts w:ascii="宋体" w:hAnsi="宋体" w:eastAsia="宋体" w:cs="Times New Roman"/>
                <w:b/>
                <w:color w:val="auto"/>
                <w:kern w:val="0"/>
                <w:szCs w:val="21"/>
              </w:rPr>
              <w:t>作业小组成员</w:t>
            </w:r>
            <w:r>
              <w:rPr>
                <w:rFonts w:hint="eastAsia" w:ascii="宋体" w:hAnsi="宋体" w:eastAsia="宋体" w:cs="Times New Roman"/>
                <w:b/>
                <w:color w:val="auto"/>
                <w:kern w:val="0"/>
                <w:szCs w:val="21"/>
              </w:rPr>
              <w:t>：</w:t>
            </w:r>
          </w:p>
        </w:tc>
      </w:tr>
    </w:tbl>
    <w:p>
      <w:pPr>
        <w:widowControl w:val="0"/>
        <w:spacing w:after="0" w:line="560" w:lineRule="exact"/>
        <w:ind w:left="0" w:firstLine="640" w:firstLineChars="200"/>
        <w:rPr>
          <w:rFonts w:ascii="华文隶书" w:hAnsi="华文中宋" w:eastAsia="华文隶书"/>
          <w:b/>
          <w:color w:val="auto"/>
          <w:sz w:val="32"/>
          <w:szCs w:val="32"/>
        </w:rPr>
      </w:pPr>
      <w:r>
        <w:rPr>
          <w:rFonts w:hint="eastAsia" w:ascii="华文隶书" w:hAnsi="华文中宋" w:eastAsia="华文隶书"/>
          <w:b/>
          <w:color w:val="auto"/>
          <w:sz w:val="32"/>
          <w:szCs w:val="32"/>
        </w:rPr>
        <w:t>安全第一      预防为主                           防风险     除隐患     遏事故</w:t>
      </w:r>
    </w:p>
    <w:p>
      <w:pPr>
        <w:spacing w:after="0" w:line="240" w:lineRule="auto"/>
        <w:ind w:left="0" w:firstLine="0"/>
        <w:rPr>
          <w:rFonts w:ascii="华文中宋" w:hAnsi="华文中宋" w:eastAsia="华文中宋" w:cs="Times New Roman"/>
          <w:color w:val="auto"/>
          <w:sz w:val="28"/>
        </w:rPr>
      </w:pPr>
      <w:r>
        <w:rPr>
          <w:rFonts w:ascii="华文中宋" w:hAnsi="华文中宋" w:eastAsia="华文中宋" w:cs="Times New Roman"/>
          <w:color w:val="auto"/>
          <w:sz w:val="28"/>
        </w:rPr>
        <w:br w:type="page"/>
      </w:r>
    </w:p>
    <w:p>
      <w:pPr>
        <w:widowControl w:val="0"/>
        <w:spacing w:after="0" w:line="240" w:lineRule="auto"/>
        <w:ind w:left="0" w:firstLine="0"/>
        <w:jc w:val="center"/>
        <w:rPr>
          <w:rFonts w:ascii="华文中宋" w:hAnsi="华文中宋" w:eastAsia="华文中宋" w:cs="Times New Roman"/>
          <w:color w:val="auto"/>
          <w:sz w:val="28"/>
        </w:rPr>
      </w:pPr>
      <w:r>
        <w:rPr>
          <w:rFonts w:hint="eastAsia" w:ascii="华文中宋" w:hAnsi="华文中宋" w:eastAsia="华文中宋" w:cs="Times New Roman"/>
          <w:color w:val="auto"/>
          <w:sz w:val="28"/>
        </w:rPr>
        <w:t>收费站岗位风险告知卡</w:t>
      </w:r>
    </w:p>
    <w:tbl>
      <w:tblPr>
        <w:tblStyle w:val="29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5"/>
        <w:gridCol w:w="993"/>
        <w:gridCol w:w="1417"/>
        <w:gridCol w:w="5385"/>
        <w:gridCol w:w="51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38" w:type="pct"/>
            <w:shd w:val="clear" w:color="auto" w:fill="F1F1F1" w:themeFill="background1" w:themeFillShade="F2"/>
            <w:vAlign w:val="center"/>
          </w:tcPr>
          <w:p>
            <w:pPr>
              <w:widowControl w:val="0"/>
              <w:spacing w:after="0" w:line="240" w:lineRule="auto"/>
              <w:ind w:left="0" w:firstLine="0"/>
              <w:jc w:val="center"/>
              <w:rPr>
                <w:rFonts w:ascii="宋体" w:hAnsi="宋体" w:eastAsia="宋体" w:cs="Times New Roman"/>
                <w:b/>
                <w:color w:val="auto"/>
                <w:kern w:val="0"/>
                <w:szCs w:val="24"/>
              </w:rPr>
            </w:pPr>
            <w:r>
              <w:rPr>
                <w:rFonts w:ascii="宋体" w:hAnsi="宋体" w:eastAsia="宋体" w:cs="Times New Roman"/>
                <w:b/>
                <w:color w:val="auto"/>
                <w:kern w:val="0"/>
                <w:szCs w:val="24"/>
              </w:rPr>
              <w:t>岗位</w:t>
            </w:r>
            <w:r>
              <w:rPr>
                <w:rFonts w:hint="eastAsia" w:ascii="宋体" w:hAnsi="宋体" w:eastAsia="宋体" w:cs="Times New Roman"/>
                <w:b/>
                <w:color w:val="auto"/>
                <w:kern w:val="0"/>
                <w:szCs w:val="24"/>
              </w:rPr>
              <w:t>：票证员</w:t>
            </w:r>
          </w:p>
        </w:tc>
        <w:tc>
          <w:tcPr>
            <w:tcW w:w="328" w:type="pct"/>
            <w:tcBorders>
              <w:bottom w:val="single" w:color="auto" w:sz="4" w:space="0"/>
            </w:tcBorders>
            <w:shd w:val="clear" w:color="auto" w:fill="F1F1F1" w:themeFill="background1" w:themeFillShade="F2"/>
            <w:vAlign w:val="center"/>
          </w:tcPr>
          <w:p>
            <w:pPr>
              <w:widowControl w:val="0"/>
              <w:spacing w:after="0" w:line="240" w:lineRule="auto"/>
              <w:ind w:left="0" w:firstLine="0"/>
              <w:jc w:val="center"/>
              <w:rPr>
                <w:rFonts w:ascii="宋体" w:hAnsi="宋体" w:eastAsia="宋体" w:cs="Times New Roman"/>
                <w:b/>
                <w:color w:val="auto"/>
                <w:kern w:val="0"/>
                <w:szCs w:val="24"/>
              </w:rPr>
            </w:pPr>
            <w:r>
              <w:rPr>
                <w:rFonts w:hint="eastAsia" w:ascii="宋体" w:hAnsi="宋体" w:eastAsia="宋体" w:cs="Times New Roman"/>
                <w:b/>
                <w:color w:val="auto"/>
                <w:kern w:val="0"/>
                <w:szCs w:val="24"/>
              </w:rPr>
              <w:t>风险点</w:t>
            </w:r>
          </w:p>
        </w:tc>
        <w:tc>
          <w:tcPr>
            <w:tcW w:w="468" w:type="pct"/>
            <w:tcBorders>
              <w:bottom w:val="single" w:color="auto" w:sz="4" w:space="0"/>
            </w:tcBorders>
            <w:shd w:val="clear" w:color="auto" w:fill="F1F1F1" w:themeFill="background1" w:themeFillShade="F2"/>
            <w:vAlign w:val="center"/>
          </w:tcPr>
          <w:p>
            <w:pPr>
              <w:widowControl w:val="0"/>
              <w:spacing w:after="0" w:line="240" w:lineRule="auto"/>
              <w:ind w:left="0" w:firstLine="0"/>
              <w:jc w:val="center"/>
              <w:rPr>
                <w:rFonts w:ascii="宋体" w:hAnsi="宋体" w:eastAsia="宋体" w:cs="Times New Roman"/>
                <w:b/>
                <w:color w:val="auto"/>
                <w:kern w:val="0"/>
                <w:szCs w:val="24"/>
              </w:rPr>
            </w:pPr>
            <w:r>
              <w:rPr>
                <w:rFonts w:hint="eastAsia" w:ascii="宋体" w:hAnsi="宋体" w:eastAsia="宋体" w:cs="Times New Roman"/>
                <w:b/>
                <w:color w:val="auto"/>
                <w:kern w:val="0"/>
                <w:szCs w:val="24"/>
              </w:rPr>
              <w:t>风险事件</w:t>
            </w:r>
          </w:p>
        </w:tc>
        <w:tc>
          <w:tcPr>
            <w:tcW w:w="1778" w:type="pct"/>
            <w:tcBorders>
              <w:bottom w:val="single" w:color="auto" w:sz="4" w:space="0"/>
            </w:tcBorders>
            <w:shd w:val="clear" w:color="auto" w:fill="F1F1F1" w:themeFill="background1" w:themeFillShade="F2"/>
            <w:vAlign w:val="center"/>
          </w:tcPr>
          <w:p>
            <w:pPr>
              <w:widowControl w:val="0"/>
              <w:spacing w:after="0" w:line="240" w:lineRule="auto"/>
              <w:ind w:left="0" w:firstLine="0"/>
              <w:jc w:val="center"/>
              <w:rPr>
                <w:rFonts w:ascii="宋体" w:hAnsi="宋体" w:eastAsia="宋体" w:cs="Times New Roman"/>
                <w:b/>
                <w:color w:val="auto"/>
                <w:kern w:val="0"/>
                <w:szCs w:val="24"/>
              </w:rPr>
            </w:pPr>
            <w:r>
              <w:rPr>
                <w:rFonts w:ascii="宋体" w:hAnsi="宋体" w:eastAsia="宋体" w:cs="Times New Roman"/>
                <w:b/>
                <w:color w:val="auto"/>
                <w:kern w:val="0"/>
                <w:szCs w:val="24"/>
              </w:rPr>
              <w:t>风险管控措施</w:t>
            </w:r>
          </w:p>
        </w:tc>
        <w:tc>
          <w:tcPr>
            <w:tcW w:w="1688" w:type="pct"/>
            <w:tcBorders>
              <w:bottom w:val="single" w:color="auto" w:sz="4" w:space="0"/>
            </w:tcBorders>
            <w:shd w:val="clear" w:color="auto" w:fill="F1F1F1" w:themeFill="background1" w:themeFillShade="F2"/>
            <w:vAlign w:val="center"/>
          </w:tcPr>
          <w:p>
            <w:pPr>
              <w:widowControl w:val="0"/>
              <w:spacing w:after="0" w:line="240" w:lineRule="auto"/>
              <w:ind w:left="0" w:firstLine="0"/>
              <w:jc w:val="center"/>
              <w:rPr>
                <w:rFonts w:ascii="宋体" w:hAnsi="宋体" w:eastAsia="宋体" w:cs="Times New Roman"/>
                <w:b/>
                <w:color w:val="auto"/>
                <w:kern w:val="0"/>
                <w:szCs w:val="24"/>
              </w:rPr>
            </w:pPr>
            <w:r>
              <w:rPr>
                <w:rFonts w:ascii="宋体" w:hAnsi="宋体" w:eastAsia="宋体" w:cs="Times New Roman"/>
                <w:b/>
                <w:color w:val="auto"/>
                <w:kern w:val="0"/>
                <w:szCs w:val="24"/>
              </w:rPr>
              <w:t>应急处置措施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38" w:type="pct"/>
            <w:vMerge w:val="restart"/>
          </w:tcPr>
          <w:p>
            <w:pPr>
              <w:widowControl w:val="0"/>
              <w:spacing w:beforeLines="100" w:afterLines="50" w:line="360" w:lineRule="auto"/>
              <w:ind w:left="0" w:firstLine="0"/>
              <w:jc w:val="left"/>
              <w:rPr>
                <w:rFonts w:ascii="宋体" w:hAnsi="宋体" w:eastAsia="宋体" w:cs="Times New Roman"/>
                <w:b/>
                <w:color w:val="auto"/>
                <w:kern w:val="0"/>
                <w:szCs w:val="24"/>
              </w:rPr>
            </w:pPr>
            <w:r>
              <w:rPr>
                <w:rFonts w:hint="eastAsia" w:ascii="宋体" w:hAnsi="宋体" w:eastAsia="宋体" w:cs="Times New Roman"/>
                <w:b/>
                <w:color w:val="auto"/>
                <w:kern w:val="0"/>
                <w:szCs w:val="24"/>
              </w:rPr>
              <w:t>作业步骤/</w:t>
            </w:r>
            <w:r>
              <w:rPr>
                <w:rFonts w:ascii="宋体" w:hAnsi="宋体" w:eastAsia="宋体" w:cs="Times New Roman"/>
                <w:b/>
                <w:color w:val="auto"/>
                <w:kern w:val="0"/>
                <w:szCs w:val="24"/>
              </w:rPr>
              <w:t>内容</w:t>
            </w:r>
            <w:r>
              <w:rPr>
                <w:rFonts w:hint="eastAsia" w:ascii="宋体" w:hAnsi="宋体" w:eastAsia="宋体" w:cs="Times New Roman"/>
                <w:b/>
                <w:color w:val="auto"/>
                <w:kern w:val="0"/>
                <w:szCs w:val="24"/>
              </w:rPr>
              <w:t>：</w:t>
            </w:r>
          </w:p>
          <w:p>
            <w:pPr>
              <w:widowControl w:val="0"/>
              <w:spacing w:beforeLines="100" w:afterLines="50" w:line="240" w:lineRule="auto"/>
              <w:ind w:left="0" w:firstLine="0"/>
              <w:jc w:val="both"/>
              <w:rPr>
                <w:rFonts w:cs="宋体"/>
                <w:color w:val="auto"/>
                <w:kern w:val="0"/>
                <w:szCs w:val="24"/>
              </w:rPr>
            </w:pPr>
            <w:r>
              <w:rPr>
                <w:rFonts w:hint="eastAsia" w:ascii="Calibri" w:hAnsi="Calibri" w:eastAsia="宋体" w:cs="Times New Roman"/>
                <w:color w:val="auto"/>
                <w:szCs w:val="24"/>
              </w:rPr>
              <w:t>作业前检查</w:t>
            </w:r>
            <w:r>
              <w:rPr>
                <w:rFonts w:hint="eastAsia" w:ascii="宋体" w:hAnsi="宋体" w:eastAsia="宋体" w:cs="Times New Roman"/>
                <w:color w:val="auto"/>
                <w:szCs w:val="24"/>
              </w:rPr>
              <w:t>→</w:t>
            </w:r>
            <w:r>
              <w:rPr>
                <w:rFonts w:hint="eastAsia" w:ascii="Calibri" w:hAnsi="Calibri" w:eastAsia="宋体" w:cs="Times New Roman"/>
                <w:color w:val="auto"/>
                <w:szCs w:val="24"/>
              </w:rPr>
              <w:t>票证作业</w:t>
            </w:r>
            <w:r>
              <w:rPr>
                <w:rFonts w:hint="eastAsia" w:ascii="宋体" w:hAnsi="宋体" w:eastAsia="宋体" w:cs="Times New Roman"/>
                <w:color w:val="auto"/>
                <w:szCs w:val="24"/>
              </w:rPr>
              <w:t>→</w:t>
            </w:r>
            <w:r>
              <w:rPr>
                <w:rFonts w:hint="eastAsia" w:ascii="Calibri" w:hAnsi="Calibri" w:eastAsia="宋体" w:cs="Times New Roman"/>
                <w:color w:val="auto"/>
                <w:szCs w:val="24"/>
              </w:rPr>
              <w:t>作业后恢复</w:t>
            </w:r>
          </w:p>
        </w:tc>
        <w:tc>
          <w:tcPr>
            <w:tcW w:w="328" w:type="pct"/>
            <w:vMerge w:val="restart"/>
            <w:shd w:val="clear" w:color="auto" w:fill="FFFFFF" w:themeFill="background1"/>
            <w:vAlign w:val="center"/>
          </w:tcPr>
          <w:p>
            <w:pPr>
              <w:widowControl w:val="0"/>
              <w:spacing w:beforeLines="20" w:after="0" w:line="240" w:lineRule="auto"/>
              <w:ind w:left="0" w:firstLine="0"/>
              <w:jc w:val="center"/>
              <w:rPr>
                <w:rFonts w:ascii="宋体" w:hAnsi="宋体" w:eastAsia="宋体" w:cs="Times New Roman"/>
                <w:color w:val="auto"/>
                <w:kern w:val="0"/>
                <w:szCs w:val="24"/>
              </w:rPr>
            </w:pPr>
            <w:r>
              <w:rPr>
                <w:rFonts w:hint="eastAsia" w:ascii="宋体" w:hAnsi="宋体" w:eastAsia="宋体" w:cs="Times New Roman"/>
                <w:color w:val="auto"/>
                <w:kern w:val="0"/>
                <w:szCs w:val="24"/>
              </w:rPr>
              <w:t>票证室。</w:t>
            </w:r>
          </w:p>
        </w:tc>
        <w:tc>
          <w:tcPr>
            <w:tcW w:w="468" w:type="pct"/>
            <w:shd w:val="clear" w:color="auto" w:fill="3764FF"/>
            <w:vAlign w:val="center"/>
          </w:tcPr>
          <w:p>
            <w:pPr>
              <w:widowControl w:val="0"/>
              <w:spacing w:beforeLines="20" w:after="0" w:line="240" w:lineRule="auto"/>
              <w:ind w:left="0" w:firstLine="0"/>
              <w:jc w:val="center"/>
              <w:rPr>
                <w:rFonts w:ascii="宋体" w:hAnsi="宋体" w:eastAsia="宋体" w:cs="Times New Roman"/>
                <w:b/>
                <w:color w:val="auto"/>
                <w:kern w:val="0"/>
                <w:sz w:val="28"/>
                <w:szCs w:val="24"/>
              </w:rPr>
            </w:pPr>
            <w:r>
              <w:rPr>
                <w:rFonts w:hint="eastAsia" w:ascii="宋体" w:hAnsi="宋体" w:eastAsia="宋体" w:cs="Times New Roman"/>
                <w:b/>
                <w:color w:val="auto"/>
                <w:kern w:val="0"/>
                <w:sz w:val="28"/>
                <w:szCs w:val="24"/>
              </w:rPr>
              <w:t>财物损失</w:t>
            </w:r>
          </w:p>
        </w:tc>
        <w:tc>
          <w:tcPr>
            <w:tcW w:w="1778" w:type="pct"/>
            <w:shd w:val="clear" w:color="auto" w:fill="FFFFFF" w:themeFill="background1"/>
            <w:vAlign w:val="center"/>
          </w:tcPr>
          <w:p>
            <w:pPr>
              <w:widowControl w:val="0"/>
              <w:spacing w:beforeLines="20" w:after="0" w:line="240" w:lineRule="auto"/>
              <w:ind w:left="0" w:firstLine="0"/>
              <w:jc w:val="both"/>
              <w:rPr>
                <w:rFonts w:ascii="宋体" w:hAnsi="宋体" w:eastAsia="宋体" w:cs="Times New Roman"/>
                <w:color w:val="auto"/>
                <w:kern w:val="0"/>
                <w:szCs w:val="24"/>
              </w:rPr>
            </w:pPr>
            <w:r>
              <w:rPr>
                <w:rFonts w:hint="eastAsia" w:ascii="宋体" w:hAnsi="宋体" w:eastAsia="宋体" w:cs="Times New Roman"/>
                <w:color w:val="auto"/>
                <w:kern w:val="0"/>
                <w:szCs w:val="24"/>
              </w:rPr>
              <w:t>1.门窗关闭严密，钥匙随身携带；闭门作业，严禁闲杂人员入内；</w:t>
            </w:r>
          </w:p>
          <w:p>
            <w:pPr>
              <w:widowControl w:val="0"/>
              <w:spacing w:beforeLines="20" w:after="0" w:line="240" w:lineRule="auto"/>
              <w:ind w:left="0" w:firstLine="0"/>
              <w:jc w:val="both"/>
              <w:rPr>
                <w:rFonts w:ascii="宋体" w:hAnsi="宋体" w:eastAsia="宋体" w:cs="Times New Roman"/>
                <w:color w:val="auto"/>
                <w:kern w:val="0"/>
                <w:szCs w:val="24"/>
              </w:rPr>
            </w:pPr>
            <w:r>
              <w:rPr>
                <w:rFonts w:hint="eastAsia" w:ascii="宋体" w:hAnsi="宋体" w:eastAsia="宋体" w:cs="Times New Roman"/>
                <w:color w:val="auto"/>
                <w:kern w:val="0"/>
                <w:szCs w:val="24"/>
              </w:rPr>
              <w:t>2.备用金存放安全，保管妥当；</w:t>
            </w:r>
          </w:p>
          <w:p>
            <w:pPr>
              <w:widowControl w:val="0"/>
              <w:spacing w:beforeLines="20" w:after="0" w:line="240" w:lineRule="auto"/>
              <w:ind w:left="0" w:firstLine="0"/>
              <w:jc w:val="both"/>
              <w:rPr>
                <w:rFonts w:ascii="宋体" w:hAnsi="宋体" w:eastAsia="宋体" w:cs="Times New Roman"/>
                <w:color w:val="auto"/>
                <w:kern w:val="0"/>
                <w:szCs w:val="24"/>
              </w:rPr>
            </w:pPr>
            <w:r>
              <w:rPr>
                <w:rFonts w:hint="eastAsia" w:ascii="宋体" w:hAnsi="宋体" w:eastAsia="宋体" w:cs="Times New Roman"/>
                <w:color w:val="auto"/>
                <w:kern w:val="0"/>
                <w:szCs w:val="24"/>
              </w:rPr>
              <w:t>3.做到“三专六防”， “三铁一器”齐全有效；钥匙、密码分别存放；</w:t>
            </w:r>
          </w:p>
          <w:p>
            <w:pPr>
              <w:widowControl w:val="0"/>
              <w:spacing w:beforeLines="20" w:after="0" w:line="240" w:lineRule="auto"/>
              <w:ind w:left="0" w:firstLine="0"/>
              <w:jc w:val="both"/>
              <w:rPr>
                <w:rFonts w:ascii="宋体" w:hAnsi="宋体" w:eastAsia="宋体" w:cs="Times New Roman"/>
                <w:color w:val="auto"/>
                <w:kern w:val="0"/>
                <w:szCs w:val="24"/>
              </w:rPr>
            </w:pPr>
            <w:r>
              <w:rPr>
                <w:rFonts w:hint="eastAsia" w:ascii="宋体" w:hAnsi="宋体" w:eastAsia="宋体" w:cs="Times New Roman"/>
                <w:color w:val="auto"/>
                <w:kern w:val="0"/>
                <w:szCs w:val="24"/>
              </w:rPr>
              <w:t>5.按规定程序进行押运人员识别。</w:t>
            </w:r>
            <w:r>
              <w:rPr>
                <w:rFonts w:hint="eastAsia" w:ascii="宋体" w:hAnsi="宋体" w:eastAsia="宋体" w:cs="Times New Roman"/>
                <w:color w:val="auto"/>
                <w:kern w:val="0"/>
                <w:szCs w:val="24"/>
              </w:rPr>
              <w:tab/>
            </w:r>
          </w:p>
        </w:tc>
        <w:tc>
          <w:tcPr>
            <w:tcW w:w="1688" w:type="pct"/>
            <w:shd w:val="clear" w:color="auto" w:fill="FFFFFF" w:themeFill="background1"/>
            <w:vAlign w:val="center"/>
          </w:tcPr>
          <w:p>
            <w:pPr>
              <w:widowControl w:val="0"/>
              <w:spacing w:beforeLines="20" w:after="0" w:line="240" w:lineRule="auto"/>
              <w:ind w:left="0" w:firstLine="0"/>
              <w:jc w:val="both"/>
              <w:rPr>
                <w:rFonts w:ascii="宋体" w:hAnsi="宋体" w:eastAsia="宋体" w:cs="Times New Roman"/>
                <w:color w:val="auto"/>
                <w:kern w:val="0"/>
                <w:szCs w:val="24"/>
              </w:rPr>
            </w:pPr>
            <w:r>
              <w:rPr>
                <w:rFonts w:hint="eastAsia" w:ascii="宋体" w:hAnsi="宋体" w:eastAsia="宋体" w:cs="Times New Roman"/>
                <w:color w:val="auto"/>
                <w:kern w:val="0"/>
                <w:szCs w:val="24"/>
              </w:rPr>
              <w:t>1.发生盗抢事件、财物损失时及时上报并拨打报警电话；</w:t>
            </w:r>
          </w:p>
          <w:p>
            <w:pPr>
              <w:widowControl w:val="0"/>
              <w:spacing w:beforeLines="20" w:after="0" w:line="240" w:lineRule="auto"/>
              <w:ind w:left="0" w:firstLine="0"/>
              <w:jc w:val="both"/>
              <w:rPr>
                <w:rFonts w:ascii="宋体" w:hAnsi="宋体" w:eastAsia="宋体" w:cs="Times New Roman"/>
                <w:color w:val="auto"/>
                <w:kern w:val="0"/>
                <w:szCs w:val="24"/>
              </w:rPr>
            </w:pPr>
            <w:r>
              <w:rPr>
                <w:rFonts w:hint="eastAsia" w:ascii="宋体" w:hAnsi="宋体" w:eastAsia="宋体" w:cs="Times New Roman"/>
                <w:color w:val="auto"/>
                <w:kern w:val="0"/>
                <w:szCs w:val="24"/>
              </w:rPr>
              <w:t>2.封存事故现场及视频。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38" w:type="pct"/>
            <w:vMerge w:val="continue"/>
          </w:tcPr>
          <w:p>
            <w:pPr>
              <w:widowControl w:val="0"/>
              <w:spacing w:beforeLines="100" w:afterLines="50" w:line="360" w:lineRule="auto"/>
              <w:ind w:left="0" w:firstLine="0"/>
              <w:jc w:val="both"/>
              <w:rPr>
                <w:rFonts w:ascii="宋体" w:hAnsi="宋体" w:eastAsia="宋体" w:cs="Times New Roman"/>
                <w:b/>
                <w:color w:val="auto"/>
                <w:kern w:val="0"/>
                <w:szCs w:val="24"/>
              </w:rPr>
            </w:pPr>
          </w:p>
        </w:tc>
        <w:tc>
          <w:tcPr>
            <w:tcW w:w="328" w:type="pct"/>
            <w:vMerge w:val="continue"/>
            <w:shd w:val="clear" w:color="auto" w:fill="FFFFFF" w:themeFill="background1"/>
            <w:vAlign w:val="center"/>
          </w:tcPr>
          <w:p>
            <w:pPr>
              <w:widowControl w:val="0"/>
              <w:spacing w:beforeLines="20" w:after="0" w:line="240" w:lineRule="auto"/>
              <w:ind w:left="0" w:firstLine="0"/>
              <w:jc w:val="center"/>
              <w:rPr>
                <w:rFonts w:ascii="宋体" w:hAnsi="宋体" w:eastAsia="宋体" w:cs="Times New Roman"/>
                <w:color w:val="auto"/>
                <w:kern w:val="0"/>
                <w:szCs w:val="24"/>
              </w:rPr>
            </w:pPr>
          </w:p>
        </w:tc>
        <w:tc>
          <w:tcPr>
            <w:tcW w:w="468" w:type="pct"/>
            <w:shd w:val="clear" w:color="auto" w:fill="3764FF"/>
            <w:vAlign w:val="center"/>
          </w:tcPr>
          <w:p>
            <w:pPr>
              <w:widowControl w:val="0"/>
              <w:spacing w:beforeLines="20" w:after="0" w:line="240" w:lineRule="auto"/>
              <w:ind w:left="0" w:firstLine="0"/>
              <w:jc w:val="center"/>
              <w:rPr>
                <w:rFonts w:ascii="宋体" w:hAnsi="宋体" w:eastAsia="宋体" w:cs="Times New Roman"/>
                <w:b/>
                <w:color w:val="auto"/>
                <w:kern w:val="0"/>
                <w:sz w:val="28"/>
                <w:szCs w:val="24"/>
              </w:rPr>
            </w:pPr>
            <w:r>
              <w:rPr>
                <w:rFonts w:hint="eastAsia" w:ascii="宋体" w:hAnsi="宋体" w:eastAsia="宋体" w:cs="Times New Roman"/>
                <w:b/>
                <w:color w:val="auto"/>
                <w:kern w:val="0"/>
                <w:sz w:val="28"/>
                <w:szCs w:val="24"/>
              </w:rPr>
              <w:t>火灾爆炸</w:t>
            </w:r>
          </w:p>
        </w:tc>
        <w:tc>
          <w:tcPr>
            <w:tcW w:w="1778" w:type="pct"/>
            <w:shd w:val="clear" w:color="auto" w:fill="FFFFFF" w:themeFill="background1"/>
            <w:vAlign w:val="center"/>
          </w:tcPr>
          <w:p>
            <w:pPr>
              <w:widowControl w:val="0"/>
              <w:spacing w:beforeLines="20" w:after="0" w:line="240" w:lineRule="auto"/>
              <w:ind w:left="0" w:firstLine="0"/>
              <w:jc w:val="both"/>
              <w:rPr>
                <w:rFonts w:ascii="宋体" w:hAnsi="宋体" w:eastAsia="宋体" w:cs="Times New Roman"/>
                <w:color w:val="auto"/>
                <w:kern w:val="0"/>
                <w:szCs w:val="24"/>
              </w:rPr>
            </w:pPr>
            <w:r>
              <w:rPr>
                <w:rFonts w:hint="eastAsia" w:ascii="宋体" w:hAnsi="宋体" w:eastAsia="宋体" w:cs="Times New Roman"/>
                <w:color w:val="auto"/>
                <w:kern w:val="0"/>
                <w:szCs w:val="24"/>
              </w:rPr>
              <w:t>1.室内严禁吸烟、动火作业；</w:t>
            </w:r>
          </w:p>
          <w:p>
            <w:pPr>
              <w:widowControl w:val="0"/>
              <w:spacing w:beforeLines="20" w:after="0" w:line="240" w:lineRule="auto"/>
              <w:ind w:left="0" w:firstLine="0"/>
              <w:jc w:val="both"/>
              <w:rPr>
                <w:rFonts w:ascii="宋体" w:hAnsi="宋体" w:eastAsia="宋体" w:cs="Times New Roman"/>
                <w:color w:val="auto"/>
                <w:kern w:val="0"/>
                <w:szCs w:val="24"/>
              </w:rPr>
            </w:pPr>
            <w:r>
              <w:rPr>
                <w:rFonts w:hint="eastAsia" w:ascii="宋体" w:hAnsi="宋体" w:eastAsia="宋体" w:cs="Times New Roman"/>
                <w:color w:val="auto"/>
                <w:kern w:val="0"/>
                <w:szCs w:val="24"/>
              </w:rPr>
              <w:t>2.不得私自存放易燃易爆物品；</w:t>
            </w:r>
          </w:p>
          <w:p>
            <w:pPr>
              <w:widowControl w:val="0"/>
              <w:spacing w:beforeLines="20" w:after="0" w:line="240" w:lineRule="auto"/>
              <w:ind w:left="0" w:firstLine="0"/>
              <w:jc w:val="both"/>
              <w:rPr>
                <w:rFonts w:ascii="宋体" w:hAnsi="宋体" w:eastAsia="宋体" w:cs="Times New Roman"/>
                <w:color w:val="auto"/>
                <w:kern w:val="0"/>
                <w:szCs w:val="24"/>
              </w:rPr>
            </w:pPr>
            <w:r>
              <w:rPr>
                <w:rFonts w:hint="eastAsia" w:ascii="宋体" w:hAnsi="宋体" w:eastAsia="宋体" w:cs="Times New Roman"/>
                <w:color w:val="auto"/>
                <w:kern w:val="0"/>
                <w:szCs w:val="24"/>
              </w:rPr>
              <w:t>3.不得违规使用大功率电气、私拉乱接、使用不合格电气产品。</w:t>
            </w:r>
          </w:p>
        </w:tc>
        <w:tc>
          <w:tcPr>
            <w:tcW w:w="1688" w:type="pct"/>
            <w:shd w:val="clear" w:color="auto" w:fill="FFFFFF" w:themeFill="background1"/>
            <w:vAlign w:val="center"/>
          </w:tcPr>
          <w:p>
            <w:pPr>
              <w:widowControl w:val="0"/>
              <w:spacing w:beforeLines="20" w:after="0" w:line="240" w:lineRule="auto"/>
              <w:ind w:left="0" w:firstLine="0"/>
              <w:jc w:val="both"/>
              <w:rPr>
                <w:rFonts w:ascii="宋体" w:hAnsi="宋体" w:eastAsia="宋体" w:cs="Times New Roman"/>
                <w:color w:val="auto"/>
                <w:kern w:val="0"/>
                <w:szCs w:val="24"/>
              </w:rPr>
            </w:pPr>
            <w:r>
              <w:rPr>
                <w:rFonts w:hint="eastAsia" w:ascii="宋体" w:hAnsi="宋体" w:eastAsia="宋体" w:cs="Times New Roman"/>
                <w:color w:val="auto"/>
                <w:kern w:val="0"/>
                <w:szCs w:val="24"/>
              </w:rPr>
              <w:t>1.火情较小时使用灭火器灭火；</w:t>
            </w:r>
          </w:p>
          <w:p>
            <w:pPr>
              <w:widowControl w:val="0"/>
              <w:spacing w:beforeLines="20" w:after="0" w:line="240" w:lineRule="auto"/>
              <w:ind w:left="0" w:firstLine="0"/>
              <w:jc w:val="both"/>
              <w:rPr>
                <w:rFonts w:ascii="宋体" w:hAnsi="宋体" w:eastAsia="宋体" w:cs="Times New Roman"/>
                <w:color w:val="auto"/>
                <w:kern w:val="0"/>
                <w:szCs w:val="24"/>
              </w:rPr>
            </w:pPr>
            <w:r>
              <w:rPr>
                <w:rFonts w:hint="eastAsia" w:ascii="宋体" w:hAnsi="宋体" w:eastAsia="宋体" w:cs="Times New Roman"/>
                <w:color w:val="auto"/>
                <w:kern w:val="0"/>
                <w:szCs w:val="24"/>
              </w:rPr>
              <w:t xml:space="preserve">2.火情较大远离事故现场，疏散周边人员； </w:t>
            </w:r>
          </w:p>
          <w:p>
            <w:pPr>
              <w:widowControl w:val="0"/>
              <w:spacing w:beforeLines="20" w:after="0" w:line="240" w:lineRule="auto"/>
              <w:ind w:left="0" w:firstLine="0"/>
              <w:jc w:val="both"/>
              <w:rPr>
                <w:rFonts w:ascii="宋体" w:hAnsi="宋体" w:eastAsia="宋体" w:cs="Times New Roman"/>
                <w:color w:val="auto"/>
                <w:kern w:val="0"/>
                <w:szCs w:val="24"/>
              </w:rPr>
            </w:pPr>
            <w:r>
              <w:rPr>
                <w:rFonts w:hint="eastAsia" w:ascii="宋体" w:hAnsi="宋体" w:eastAsia="宋体" w:cs="Times New Roman"/>
                <w:color w:val="auto"/>
                <w:kern w:val="0"/>
                <w:szCs w:val="24"/>
              </w:rPr>
              <w:t>3.及时上报并拨打救援电话。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38" w:type="pct"/>
            <w:vMerge w:val="continue"/>
            <w:tcBorders>
              <w:bottom w:val="single" w:color="auto" w:sz="4" w:space="0"/>
            </w:tcBorders>
          </w:tcPr>
          <w:p>
            <w:pPr>
              <w:widowControl w:val="0"/>
              <w:spacing w:beforeLines="100" w:afterLines="50" w:line="360" w:lineRule="auto"/>
              <w:ind w:left="0" w:firstLine="0"/>
              <w:jc w:val="both"/>
              <w:rPr>
                <w:rFonts w:ascii="宋体" w:hAnsi="宋体" w:eastAsia="宋体" w:cs="Times New Roman"/>
                <w:b/>
                <w:color w:val="auto"/>
                <w:kern w:val="0"/>
                <w:szCs w:val="24"/>
              </w:rPr>
            </w:pPr>
          </w:p>
        </w:tc>
        <w:tc>
          <w:tcPr>
            <w:tcW w:w="328" w:type="pct"/>
            <w:vMerge w:val="continue"/>
            <w:tcBorders>
              <w:bottom w:val="single" w:color="auto" w:sz="4" w:space="0"/>
            </w:tcBorders>
            <w:shd w:val="clear" w:color="auto" w:fill="FFFFFF" w:themeFill="background1"/>
            <w:vAlign w:val="center"/>
          </w:tcPr>
          <w:p>
            <w:pPr>
              <w:widowControl w:val="0"/>
              <w:spacing w:beforeLines="20" w:after="0" w:line="240" w:lineRule="auto"/>
              <w:ind w:left="0" w:firstLine="0"/>
              <w:jc w:val="center"/>
              <w:rPr>
                <w:rFonts w:ascii="宋体" w:hAnsi="宋体" w:eastAsia="宋体" w:cs="Times New Roman"/>
                <w:color w:val="auto"/>
                <w:kern w:val="0"/>
                <w:szCs w:val="24"/>
              </w:rPr>
            </w:pPr>
          </w:p>
        </w:tc>
        <w:tc>
          <w:tcPr>
            <w:tcW w:w="468" w:type="pct"/>
            <w:tcBorders>
              <w:bottom w:val="single" w:color="auto" w:sz="4" w:space="0"/>
            </w:tcBorders>
            <w:shd w:val="clear" w:color="auto" w:fill="3764FF"/>
            <w:vAlign w:val="center"/>
          </w:tcPr>
          <w:p>
            <w:pPr>
              <w:widowControl w:val="0"/>
              <w:spacing w:beforeLines="20" w:after="0" w:line="240" w:lineRule="auto"/>
              <w:ind w:left="0" w:firstLine="0"/>
              <w:jc w:val="center"/>
              <w:rPr>
                <w:rFonts w:ascii="宋体" w:hAnsi="宋体" w:eastAsia="宋体" w:cs="Times New Roman"/>
                <w:b/>
                <w:color w:val="auto"/>
                <w:kern w:val="0"/>
                <w:sz w:val="28"/>
                <w:szCs w:val="24"/>
              </w:rPr>
            </w:pPr>
            <w:r>
              <w:rPr>
                <w:rFonts w:hint="eastAsia" w:ascii="宋体" w:hAnsi="宋体" w:eastAsia="宋体" w:cs="Times New Roman"/>
                <w:b/>
                <w:color w:val="auto"/>
                <w:kern w:val="0"/>
                <w:sz w:val="28"/>
                <w:szCs w:val="24"/>
              </w:rPr>
              <w:t>触电</w:t>
            </w:r>
          </w:p>
        </w:tc>
        <w:tc>
          <w:tcPr>
            <w:tcW w:w="1778" w:type="pct"/>
            <w:tcBorders>
              <w:bottom w:val="single" w:color="auto" w:sz="4" w:space="0"/>
            </w:tcBorders>
            <w:shd w:val="clear" w:color="auto" w:fill="FFFFFF" w:themeFill="background1"/>
            <w:vAlign w:val="center"/>
          </w:tcPr>
          <w:p>
            <w:pPr>
              <w:widowControl w:val="0"/>
              <w:spacing w:beforeLines="20" w:after="0" w:line="240" w:lineRule="auto"/>
              <w:ind w:left="0" w:firstLine="0"/>
              <w:jc w:val="both"/>
              <w:rPr>
                <w:rFonts w:ascii="宋体" w:hAnsi="宋体" w:eastAsia="宋体" w:cs="Times New Roman"/>
                <w:color w:val="auto"/>
                <w:kern w:val="0"/>
                <w:szCs w:val="24"/>
              </w:rPr>
            </w:pPr>
            <w:r>
              <w:rPr>
                <w:rFonts w:hint="eastAsia" w:ascii="宋体" w:hAnsi="宋体" w:eastAsia="宋体" w:cs="Times New Roman"/>
                <w:color w:val="auto"/>
                <w:kern w:val="0"/>
                <w:szCs w:val="24"/>
              </w:rPr>
              <w:t>1.不得违规使用大功率电器，私拉乱接，严禁使用违规电气产品；</w:t>
            </w:r>
          </w:p>
          <w:p>
            <w:pPr>
              <w:widowControl w:val="0"/>
              <w:spacing w:beforeLines="20" w:after="0" w:line="240" w:lineRule="auto"/>
              <w:ind w:left="0" w:firstLine="0"/>
              <w:jc w:val="both"/>
              <w:rPr>
                <w:rFonts w:ascii="宋体" w:hAnsi="宋体" w:eastAsia="宋体" w:cs="Times New Roman"/>
                <w:color w:val="auto"/>
                <w:kern w:val="0"/>
                <w:szCs w:val="24"/>
              </w:rPr>
            </w:pPr>
            <w:r>
              <w:rPr>
                <w:rFonts w:hint="eastAsia" w:ascii="宋体" w:hAnsi="宋体" w:eastAsia="宋体" w:cs="Times New Roman"/>
                <w:color w:val="auto"/>
                <w:kern w:val="0"/>
                <w:szCs w:val="24"/>
              </w:rPr>
              <w:t>2.按规定开展岗位隐患排查，发现隐患及时上报。</w:t>
            </w:r>
            <w:r>
              <w:rPr>
                <w:rFonts w:hint="eastAsia" w:ascii="宋体" w:hAnsi="宋体" w:eastAsia="宋体" w:cs="Times New Roman"/>
                <w:color w:val="auto"/>
                <w:kern w:val="0"/>
                <w:szCs w:val="24"/>
              </w:rPr>
              <w:tab/>
            </w:r>
          </w:p>
        </w:tc>
        <w:tc>
          <w:tcPr>
            <w:tcW w:w="1688" w:type="pct"/>
            <w:tcBorders>
              <w:bottom w:val="single" w:color="auto" w:sz="4" w:space="0"/>
            </w:tcBorders>
            <w:shd w:val="clear" w:color="auto" w:fill="FFFFFF" w:themeFill="background1"/>
            <w:vAlign w:val="center"/>
          </w:tcPr>
          <w:p>
            <w:pPr>
              <w:widowControl w:val="0"/>
              <w:spacing w:beforeLines="20" w:after="0" w:line="240" w:lineRule="auto"/>
              <w:ind w:left="0" w:firstLine="0"/>
              <w:jc w:val="both"/>
              <w:rPr>
                <w:rFonts w:ascii="宋体" w:hAnsi="宋体" w:eastAsia="宋体" w:cs="Times New Roman"/>
                <w:color w:val="auto"/>
                <w:kern w:val="0"/>
                <w:szCs w:val="24"/>
              </w:rPr>
            </w:pPr>
            <w:r>
              <w:rPr>
                <w:rFonts w:hint="eastAsia" w:ascii="宋体" w:hAnsi="宋体" w:eastAsia="宋体" w:cs="Times New Roman"/>
                <w:color w:val="auto"/>
                <w:kern w:val="0"/>
                <w:szCs w:val="24"/>
              </w:rPr>
              <w:t>1.迅速切断电源，或者用绝缘物体挑开电线或带电物体；</w:t>
            </w:r>
          </w:p>
          <w:p>
            <w:pPr>
              <w:widowControl w:val="0"/>
              <w:spacing w:beforeLines="20" w:after="0" w:line="240" w:lineRule="auto"/>
              <w:ind w:left="0" w:firstLine="0"/>
              <w:jc w:val="both"/>
              <w:rPr>
                <w:rFonts w:ascii="宋体" w:hAnsi="宋体" w:eastAsia="宋体" w:cs="Times New Roman"/>
                <w:color w:val="auto"/>
                <w:kern w:val="0"/>
                <w:szCs w:val="24"/>
              </w:rPr>
            </w:pPr>
            <w:r>
              <w:rPr>
                <w:rFonts w:hint="eastAsia" w:ascii="宋体" w:hAnsi="宋体" w:eastAsia="宋体" w:cs="Times New Roman"/>
                <w:color w:val="auto"/>
                <w:kern w:val="0"/>
                <w:szCs w:val="24"/>
              </w:rPr>
              <w:t>2.若触电者失去知觉，应使其平卧，以利呼吸；若触电者呼吸、脉搏停止，必须实施人工呼吸或胸外心脏挤压法抢救；</w:t>
            </w:r>
          </w:p>
          <w:p>
            <w:pPr>
              <w:widowControl w:val="0"/>
              <w:spacing w:beforeLines="20" w:after="0" w:line="240" w:lineRule="auto"/>
              <w:ind w:left="0" w:firstLine="0"/>
              <w:jc w:val="both"/>
              <w:rPr>
                <w:rFonts w:ascii="宋体" w:hAnsi="宋体" w:eastAsia="宋体" w:cs="Times New Roman"/>
                <w:color w:val="auto"/>
                <w:kern w:val="0"/>
                <w:szCs w:val="24"/>
              </w:rPr>
            </w:pPr>
            <w:r>
              <w:rPr>
                <w:rFonts w:hint="eastAsia" w:ascii="宋体" w:hAnsi="宋体" w:eastAsia="宋体" w:cs="Times New Roman"/>
                <w:color w:val="auto"/>
                <w:kern w:val="0"/>
                <w:szCs w:val="24"/>
              </w:rPr>
              <w:t>3.积极抢救伤员，及时上报并拨打120等电话。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34" w:type="pct"/>
            <w:gridSpan w:val="3"/>
            <w:tcBorders>
              <w:bottom w:val="single" w:color="auto" w:sz="4" w:space="0"/>
            </w:tcBorders>
            <w:shd w:val="clear" w:color="auto" w:fill="F1F1F1" w:themeFill="background1" w:themeFillShade="F2"/>
            <w:vAlign w:val="center"/>
          </w:tcPr>
          <w:p>
            <w:pPr>
              <w:widowControl w:val="0"/>
              <w:spacing w:beforeLines="20" w:after="0" w:line="240" w:lineRule="auto"/>
              <w:ind w:left="0" w:firstLine="0"/>
              <w:jc w:val="left"/>
              <w:rPr>
                <w:rFonts w:ascii="宋体" w:hAnsi="宋体" w:eastAsia="宋体" w:cs="Times New Roman"/>
                <w:b/>
                <w:color w:val="auto"/>
                <w:kern w:val="0"/>
                <w:szCs w:val="24"/>
              </w:rPr>
            </w:pPr>
            <w:r>
              <w:rPr>
                <w:rFonts w:hint="eastAsia" w:ascii="宋体" w:hAnsi="宋体" w:eastAsia="宋体" w:cs="Times New Roman"/>
                <w:b/>
                <w:color w:val="auto"/>
                <w:kern w:val="0"/>
                <w:szCs w:val="24"/>
              </w:rPr>
              <w:t>值班</w:t>
            </w:r>
            <w:r>
              <w:rPr>
                <w:rFonts w:ascii="宋体" w:hAnsi="宋体" w:eastAsia="宋体" w:cs="Times New Roman"/>
                <w:b/>
                <w:color w:val="auto"/>
                <w:kern w:val="0"/>
                <w:szCs w:val="24"/>
              </w:rPr>
              <w:t>电话</w:t>
            </w:r>
            <w:r>
              <w:rPr>
                <w:rFonts w:hint="eastAsia" w:ascii="宋体" w:hAnsi="宋体" w:eastAsia="宋体" w:cs="Times New Roman"/>
                <w:b/>
                <w:color w:val="auto"/>
                <w:kern w:val="0"/>
                <w:szCs w:val="24"/>
              </w:rPr>
              <w:t>：</w:t>
            </w:r>
          </w:p>
        </w:tc>
        <w:tc>
          <w:tcPr>
            <w:tcW w:w="3466" w:type="pct"/>
            <w:gridSpan w:val="2"/>
            <w:tcBorders>
              <w:bottom w:val="single" w:color="auto" w:sz="4" w:space="0"/>
            </w:tcBorders>
            <w:shd w:val="clear" w:color="auto" w:fill="F1F1F1" w:themeFill="background1" w:themeFillShade="F2"/>
            <w:vAlign w:val="center"/>
          </w:tcPr>
          <w:p>
            <w:pPr>
              <w:widowControl w:val="0"/>
              <w:spacing w:beforeLines="20" w:after="0" w:line="240" w:lineRule="auto"/>
              <w:ind w:left="0" w:firstLine="0"/>
              <w:jc w:val="center"/>
              <w:rPr>
                <w:rFonts w:ascii="宋体" w:hAnsi="宋体" w:eastAsia="宋体" w:cs="Times New Roman"/>
                <w:b/>
                <w:color w:val="auto"/>
                <w:kern w:val="0"/>
                <w:szCs w:val="24"/>
              </w:rPr>
            </w:pPr>
            <w:r>
              <w:rPr>
                <w:rFonts w:ascii="宋体" w:hAnsi="宋体" w:eastAsia="宋体" w:cs="Times New Roman"/>
                <w:b/>
                <w:color w:val="auto"/>
                <w:kern w:val="0"/>
                <w:szCs w:val="24"/>
              </w:rPr>
              <w:t>救援电话</w:t>
            </w:r>
            <w:r>
              <w:rPr>
                <w:rFonts w:hint="eastAsia" w:ascii="宋体" w:hAnsi="宋体" w:eastAsia="宋体" w:cs="Times New Roman"/>
                <w:b/>
                <w:color w:val="auto"/>
                <w:kern w:val="0"/>
                <w:szCs w:val="24"/>
              </w:rPr>
              <w:t xml:space="preserve">： </w:t>
            </w:r>
            <w:r>
              <w:rPr>
                <w:rFonts w:ascii="宋体" w:hAnsi="宋体" w:eastAsia="宋体" w:cs="Times New Roman"/>
                <w:b/>
                <w:color w:val="auto"/>
                <w:kern w:val="0"/>
                <w:szCs w:val="24"/>
              </w:rPr>
              <w:t xml:space="preserve">        </w:t>
            </w:r>
            <w:r>
              <w:rPr>
                <w:rFonts w:hint="eastAsia" w:ascii="宋体" w:hAnsi="宋体" w:eastAsia="宋体" w:cs="Times New Roman"/>
                <w:b/>
                <w:color w:val="auto"/>
                <w:kern w:val="0"/>
                <w:szCs w:val="24"/>
              </w:rPr>
              <w:t xml:space="preserve">  </w:t>
            </w:r>
            <w:r>
              <w:rPr>
                <w:rFonts w:ascii="宋体" w:hAnsi="宋体" w:eastAsia="宋体" w:cs="Times New Roman"/>
                <w:b/>
                <w:color w:val="auto"/>
                <w:kern w:val="0"/>
                <w:szCs w:val="24"/>
              </w:rPr>
              <w:t>消防</w:t>
            </w:r>
            <w:r>
              <w:rPr>
                <w:rFonts w:hint="eastAsia" w:ascii="宋体" w:hAnsi="宋体" w:eastAsia="宋体" w:cs="Times New Roman"/>
                <w:b/>
                <w:color w:val="auto"/>
                <w:kern w:val="0"/>
                <w:szCs w:val="24"/>
              </w:rPr>
              <w:t>：119    急救：120    公安：110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00" w:type="pct"/>
            <w:gridSpan w:val="5"/>
            <w:shd w:val="clear" w:color="auto" w:fill="FFFFFF" w:themeFill="background1"/>
            <w:vAlign w:val="center"/>
          </w:tcPr>
          <w:p>
            <w:pPr>
              <w:widowControl w:val="0"/>
              <w:spacing w:beforeLines="20" w:after="0" w:line="240" w:lineRule="auto"/>
              <w:ind w:left="0" w:firstLine="0"/>
              <w:jc w:val="left"/>
              <w:rPr>
                <w:rFonts w:ascii="宋体" w:hAnsi="宋体" w:eastAsia="宋体" w:cs="Times New Roman"/>
                <w:b/>
                <w:color w:val="auto"/>
                <w:kern w:val="0"/>
                <w:szCs w:val="24"/>
              </w:rPr>
            </w:pPr>
            <w:r>
              <w:rPr>
                <w:rFonts w:ascii="宋体" w:hAnsi="宋体" w:eastAsia="宋体" w:cs="Times New Roman"/>
                <w:b/>
                <w:color w:val="auto"/>
                <w:kern w:val="0"/>
                <w:szCs w:val="24"/>
              </w:rPr>
              <w:t>作业小组成员</w:t>
            </w:r>
            <w:r>
              <w:rPr>
                <w:rFonts w:hint="eastAsia" w:ascii="宋体" w:hAnsi="宋体" w:eastAsia="宋体" w:cs="Times New Roman"/>
                <w:b/>
                <w:color w:val="auto"/>
                <w:kern w:val="0"/>
                <w:szCs w:val="24"/>
              </w:rPr>
              <w:t>：</w:t>
            </w:r>
          </w:p>
        </w:tc>
      </w:tr>
    </w:tbl>
    <w:p>
      <w:pPr>
        <w:widowControl w:val="0"/>
        <w:spacing w:after="0" w:line="560" w:lineRule="exact"/>
        <w:ind w:left="0" w:firstLine="640" w:firstLineChars="200"/>
        <w:rPr>
          <w:rFonts w:cs="宋体"/>
          <w:color w:val="auto"/>
          <w:sz w:val="22"/>
          <w:szCs w:val="24"/>
        </w:rPr>
      </w:pPr>
      <w:r>
        <w:rPr>
          <w:rFonts w:hint="eastAsia" w:ascii="华文隶书" w:hAnsi="华文中宋" w:eastAsia="华文隶书"/>
          <w:b/>
          <w:color w:val="auto"/>
          <w:sz w:val="32"/>
          <w:szCs w:val="32"/>
        </w:rPr>
        <w:t>安全第一      预防为主                                防风险     除隐患     遏事故</w:t>
      </w:r>
    </w:p>
    <w:p>
      <w:pPr>
        <w:spacing w:after="0" w:line="240" w:lineRule="auto"/>
        <w:ind w:left="0" w:firstLine="0"/>
        <w:rPr>
          <w:rFonts w:ascii="华文中宋" w:hAnsi="华文中宋" w:eastAsia="华文中宋" w:cstheme="minorBidi"/>
          <w:color w:val="auto"/>
          <w:sz w:val="28"/>
        </w:rPr>
      </w:pPr>
      <w:r>
        <w:rPr>
          <w:rFonts w:ascii="华文中宋" w:hAnsi="华文中宋" w:eastAsia="华文中宋" w:cstheme="minorBidi"/>
          <w:color w:val="auto"/>
          <w:sz w:val="28"/>
        </w:rPr>
        <w:br w:type="page"/>
      </w:r>
    </w:p>
    <w:p>
      <w:pPr>
        <w:widowControl w:val="0"/>
        <w:spacing w:after="0" w:line="500" w:lineRule="exact"/>
        <w:ind w:left="0" w:firstLine="0"/>
        <w:jc w:val="center"/>
        <w:rPr>
          <w:rFonts w:ascii="华文中宋" w:hAnsi="华文中宋" w:eastAsia="华文中宋" w:cstheme="minorBidi"/>
          <w:color w:val="auto"/>
          <w:sz w:val="28"/>
        </w:rPr>
      </w:pPr>
      <w:r>
        <w:rPr>
          <w:rFonts w:hint="eastAsia" w:ascii="华文中宋" w:hAnsi="华文中宋" w:eastAsia="华文中宋" w:cstheme="minorBidi"/>
          <w:color w:val="auto"/>
          <w:sz w:val="28"/>
        </w:rPr>
        <w:t>收费站岗位风险告知卡</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0"/>
        <w:gridCol w:w="1278"/>
        <w:gridCol w:w="1417"/>
        <w:gridCol w:w="5388"/>
        <w:gridCol w:w="51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4" w:type="pct"/>
            <w:shd w:val="clear" w:color="auto" w:fill="F1F1F1" w:themeFill="background1" w:themeFillShade="F2"/>
            <w:vAlign w:val="center"/>
          </w:tcPr>
          <w:p>
            <w:pPr>
              <w:widowControl w:val="0"/>
              <w:spacing w:after="0" w:line="240" w:lineRule="auto"/>
              <w:ind w:left="0" w:firstLine="0"/>
              <w:jc w:val="center"/>
              <w:rPr>
                <w:rFonts w:ascii="宋体" w:hAnsi="宋体" w:eastAsia="宋体" w:cs="Times New Roman"/>
                <w:b/>
                <w:color w:val="auto"/>
                <w:szCs w:val="24"/>
              </w:rPr>
            </w:pPr>
            <w:r>
              <w:rPr>
                <w:rFonts w:ascii="宋体" w:hAnsi="宋体" w:eastAsia="宋体" w:cs="Times New Roman"/>
                <w:b/>
                <w:color w:val="auto"/>
                <w:szCs w:val="24"/>
              </w:rPr>
              <w:t>岗位</w:t>
            </w:r>
            <w:r>
              <w:rPr>
                <w:rFonts w:hint="eastAsia" w:ascii="宋体" w:hAnsi="宋体" w:eastAsia="宋体" w:cs="Times New Roman"/>
                <w:b/>
                <w:color w:val="auto"/>
                <w:szCs w:val="24"/>
              </w:rPr>
              <w:t>：电工</w:t>
            </w:r>
          </w:p>
        </w:tc>
        <w:tc>
          <w:tcPr>
            <w:tcW w:w="422" w:type="pct"/>
            <w:tcBorders>
              <w:bottom w:val="single" w:color="auto" w:sz="4" w:space="0"/>
            </w:tcBorders>
            <w:shd w:val="clear" w:color="auto" w:fill="F1F1F1" w:themeFill="background1" w:themeFillShade="F2"/>
            <w:vAlign w:val="center"/>
          </w:tcPr>
          <w:p>
            <w:pPr>
              <w:widowControl w:val="0"/>
              <w:spacing w:after="0" w:line="240" w:lineRule="auto"/>
              <w:ind w:left="0" w:firstLine="0"/>
              <w:jc w:val="center"/>
              <w:rPr>
                <w:rFonts w:ascii="宋体" w:hAnsi="宋体" w:eastAsia="宋体" w:cs="Times New Roman"/>
                <w:b/>
                <w:color w:val="auto"/>
                <w:szCs w:val="24"/>
              </w:rPr>
            </w:pPr>
            <w:r>
              <w:rPr>
                <w:rFonts w:hint="eastAsia" w:ascii="宋体" w:hAnsi="宋体" w:eastAsia="宋体" w:cs="Times New Roman"/>
                <w:b/>
                <w:color w:val="auto"/>
                <w:szCs w:val="24"/>
              </w:rPr>
              <w:t>风险点</w:t>
            </w:r>
          </w:p>
        </w:tc>
        <w:tc>
          <w:tcPr>
            <w:tcW w:w="468" w:type="pct"/>
            <w:tcBorders>
              <w:bottom w:val="single" w:color="auto" w:sz="4" w:space="0"/>
            </w:tcBorders>
            <w:shd w:val="clear" w:color="auto" w:fill="F1F1F1" w:themeFill="background1" w:themeFillShade="F2"/>
            <w:vAlign w:val="center"/>
          </w:tcPr>
          <w:p>
            <w:pPr>
              <w:widowControl w:val="0"/>
              <w:spacing w:after="0" w:line="240" w:lineRule="auto"/>
              <w:ind w:left="0" w:firstLine="0"/>
              <w:jc w:val="center"/>
              <w:rPr>
                <w:rFonts w:ascii="宋体" w:hAnsi="宋体" w:eastAsia="宋体" w:cs="Times New Roman"/>
                <w:b/>
                <w:color w:val="auto"/>
                <w:szCs w:val="24"/>
              </w:rPr>
            </w:pPr>
            <w:r>
              <w:rPr>
                <w:rFonts w:hint="eastAsia" w:ascii="宋体" w:hAnsi="宋体" w:eastAsia="宋体" w:cs="Times New Roman"/>
                <w:b/>
                <w:color w:val="auto"/>
                <w:szCs w:val="24"/>
              </w:rPr>
              <w:t>风险事件</w:t>
            </w:r>
          </w:p>
        </w:tc>
        <w:tc>
          <w:tcPr>
            <w:tcW w:w="1779" w:type="pct"/>
            <w:tcBorders>
              <w:bottom w:val="single" w:color="auto" w:sz="4" w:space="0"/>
            </w:tcBorders>
            <w:shd w:val="clear" w:color="auto" w:fill="F1F1F1" w:themeFill="background1" w:themeFillShade="F2"/>
            <w:vAlign w:val="center"/>
          </w:tcPr>
          <w:p>
            <w:pPr>
              <w:widowControl w:val="0"/>
              <w:spacing w:after="0" w:line="240" w:lineRule="auto"/>
              <w:ind w:left="0" w:firstLine="0"/>
              <w:jc w:val="center"/>
              <w:rPr>
                <w:rFonts w:ascii="宋体" w:hAnsi="宋体" w:eastAsia="宋体" w:cs="Times New Roman"/>
                <w:b/>
                <w:color w:val="auto"/>
                <w:szCs w:val="24"/>
              </w:rPr>
            </w:pPr>
            <w:r>
              <w:rPr>
                <w:rFonts w:ascii="宋体" w:hAnsi="宋体" w:eastAsia="宋体" w:cs="Times New Roman"/>
                <w:b/>
                <w:color w:val="auto"/>
                <w:szCs w:val="24"/>
              </w:rPr>
              <w:t>风险管控措施</w:t>
            </w:r>
          </w:p>
        </w:tc>
        <w:tc>
          <w:tcPr>
            <w:tcW w:w="1687" w:type="pct"/>
            <w:tcBorders>
              <w:bottom w:val="single" w:color="auto" w:sz="4" w:space="0"/>
            </w:tcBorders>
            <w:shd w:val="clear" w:color="auto" w:fill="F1F1F1" w:themeFill="background1" w:themeFillShade="F2"/>
            <w:vAlign w:val="center"/>
          </w:tcPr>
          <w:p>
            <w:pPr>
              <w:widowControl w:val="0"/>
              <w:spacing w:after="0" w:line="240" w:lineRule="auto"/>
              <w:ind w:left="0" w:firstLine="0"/>
              <w:jc w:val="center"/>
              <w:rPr>
                <w:rFonts w:ascii="宋体" w:hAnsi="宋体" w:eastAsia="宋体" w:cs="Times New Roman"/>
                <w:b/>
                <w:color w:val="auto"/>
                <w:szCs w:val="24"/>
              </w:rPr>
            </w:pPr>
            <w:r>
              <w:rPr>
                <w:rFonts w:ascii="宋体" w:hAnsi="宋体" w:eastAsia="宋体" w:cs="Times New Roman"/>
                <w:b/>
                <w:color w:val="auto"/>
                <w:szCs w:val="24"/>
              </w:rPr>
              <w:t>应急处置措施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44" w:type="pct"/>
            <w:vMerge w:val="restart"/>
            <w:vAlign w:val="center"/>
          </w:tcPr>
          <w:p>
            <w:pPr>
              <w:widowControl w:val="0"/>
              <w:spacing w:beforeLines="100" w:afterLines="50" w:line="280" w:lineRule="exact"/>
              <w:ind w:left="0" w:firstLine="0"/>
              <w:jc w:val="left"/>
              <w:rPr>
                <w:rFonts w:ascii="宋体" w:hAnsi="宋体" w:eastAsia="宋体" w:cs="Times New Roman"/>
                <w:b/>
                <w:color w:val="auto"/>
                <w:szCs w:val="24"/>
              </w:rPr>
            </w:pPr>
            <w:r>
              <w:rPr>
                <w:rFonts w:hint="eastAsia" w:ascii="宋体" w:hAnsi="宋体" w:eastAsia="宋体" w:cs="Times New Roman"/>
                <w:b/>
                <w:color w:val="auto"/>
                <w:szCs w:val="24"/>
              </w:rPr>
              <w:t>作业步骤/</w:t>
            </w:r>
            <w:r>
              <w:rPr>
                <w:rFonts w:ascii="宋体" w:hAnsi="宋体" w:eastAsia="宋体" w:cs="Times New Roman"/>
                <w:b/>
                <w:color w:val="auto"/>
                <w:szCs w:val="24"/>
              </w:rPr>
              <w:t>内容</w:t>
            </w:r>
            <w:r>
              <w:rPr>
                <w:rFonts w:hint="eastAsia" w:ascii="宋体" w:hAnsi="宋体" w:eastAsia="宋体" w:cs="Times New Roman"/>
                <w:b/>
                <w:color w:val="auto"/>
                <w:szCs w:val="24"/>
              </w:rPr>
              <w:t>：</w:t>
            </w:r>
          </w:p>
          <w:p>
            <w:pPr>
              <w:widowControl w:val="0"/>
              <w:spacing w:beforeLines="100" w:afterLines="50" w:line="280" w:lineRule="exact"/>
              <w:ind w:left="0" w:firstLine="0"/>
              <w:jc w:val="both"/>
              <w:rPr>
                <w:rFonts w:cs="宋体"/>
                <w:color w:val="auto"/>
                <w:szCs w:val="24"/>
              </w:rPr>
            </w:pPr>
            <w:r>
              <w:rPr>
                <w:rFonts w:hint="eastAsia" w:ascii="宋体" w:hAnsi="宋体" w:eastAsia="宋体" w:cs="Times New Roman"/>
                <w:color w:val="auto"/>
                <w:szCs w:val="24"/>
              </w:rPr>
              <w:t>日常巡查→作业前检查、维护→停送电、检维修作业→作业后恢复</w:t>
            </w:r>
          </w:p>
        </w:tc>
        <w:tc>
          <w:tcPr>
            <w:tcW w:w="422" w:type="pct"/>
            <w:vMerge w:val="restart"/>
            <w:shd w:val="clear" w:color="auto" w:fill="FFFFFF" w:themeFill="background1"/>
            <w:vAlign w:val="center"/>
          </w:tcPr>
          <w:p>
            <w:pPr>
              <w:widowControl w:val="0"/>
              <w:spacing w:beforeLines="20" w:after="0" w:line="280" w:lineRule="exact"/>
              <w:ind w:left="0" w:firstLine="0"/>
              <w:jc w:val="center"/>
              <w:rPr>
                <w:rFonts w:ascii="宋体" w:hAnsi="宋体" w:eastAsia="宋体" w:cs="Times New Roman"/>
                <w:color w:val="auto"/>
                <w:szCs w:val="24"/>
              </w:rPr>
            </w:pPr>
            <w:r>
              <w:rPr>
                <w:rFonts w:hint="eastAsia" w:ascii="宋体" w:hAnsi="宋体" w:eastAsia="宋体" w:cs="Times New Roman"/>
                <w:color w:val="auto"/>
                <w:szCs w:val="24"/>
              </w:rPr>
              <w:t>宿办区、</w:t>
            </w:r>
            <w:r>
              <w:rPr>
                <w:rFonts w:ascii="宋体" w:hAnsi="宋体" w:eastAsia="宋体" w:cs="Times New Roman"/>
                <w:color w:val="auto"/>
                <w:szCs w:val="24"/>
              </w:rPr>
              <w:t>办公室</w:t>
            </w:r>
            <w:r>
              <w:rPr>
                <w:rFonts w:hint="eastAsia" w:ascii="宋体" w:hAnsi="宋体" w:eastAsia="宋体" w:cs="Times New Roman"/>
                <w:color w:val="auto"/>
                <w:szCs w:val="24"/>
              </w:rPr>
              <w:t>、配电室、发电机房等。</w:t>
            </w:r>
          </w:p>
        </w:tc>
        <w:tc>
          <w:tcPr>
            <w:tcW w:w="468" w:type="pct"/>
            <w:shd w:val="clear" w:color="auto" w:fill="FAE600"/>
            <w:vAlign w:val="center"/>
          </w:tcPr>
          <w:p>
            <w:pPr>
              <w:widowControl w:val="0"/>
              <w:spacing w:beforeLines="50" w:after="0" w:line="280" w:lineRule="exact"/>
              <w:ind w:left="0" w:firstLine="0"/>
              <w:jc w:val="center"/>
              <w:rPr>
                <w:rFonts w:ascii="宋体" w:hAnsi="宋体" w:eastAsia="宋体" w:cs="Times New Roman"/>
                <w:b/>
                <w:color w:val="auto"/>
                <w:sz w:val="28"/>
                <w:szCs w:val="24"/>
              </w:rPr>
            </w:pPr>
            <w:r>
              <w:rPr>
                <w:rFonts w:ascii="宋体" w:hAnsi="宋体" w:eastAsia="宋体" w:cs="Times New Roman"/>
                <w:b/>
                <w:color w:val="auto"/>
                <w:sz w:val="28"/>
                <w:szCs w:val="24"/>
              </w:rPr>
              <w:t>触电</w:t>
            </w:r>
          </w:p>
        </w:tc>
        <w:tc>
          <w:tcPr>
            <w:tcW w:w="1779" w:type="pct"/>
            <w:shd w:val="clear" w:color="auto" w:fill="FFFFFF" w:themeFill="background1"/>
            <w:vAlign w:val="center"/>
          </w:tcPr>
          <w:p>
            <w:pPr>
              <w:widowControl w:val="0"/>
              <w:spacing w:beforeLines="30" w:after="0" w:line="280" w:lineRule="exact"/>
              <w:ind w:left="0" w:firstLine="0"/>
              <w:jc w:val="left"/>
              <w:rPr>
                <w:rFonts w:ascii="宋体" w:hAnsi="宋体" w:eastAsia="宋体" w:cs="Times New Roman"/>
                <w:color w:val="auto"/>
                <w:szCs w:val="24"/>
              </w:rPr>
            </w:pPr>
            <w:r>
              <w:rPr>
                <w:rFonts w:ascii="宋体" w:hAnsi="宋体" w:eastAsia="宋体" w:cs="Times New Roman"/>
                <w:color w:val="auto"/>
                <w:szCs w:val="24"/>
              </w:rPr>
              <w:t>1.</w:t>
            </w:r>
            <w:r>
              <w:rPr>
                <w:rFonts w:hint="eastAsia" w:ascii="宋体" w:hAnsi="宋体" w:eastAsia="宋体" w:cs="Times New Roman"/>
                <w:color w:val="auto"/>
                <w:szCs w:val="24"/>
              </w:rPr>
              <w:t>作业前检查接地装置、绝缘胶垫、劳保用品及作业工具；</w:t>
            </w:r>
          </w:p>
          <w:p>
            <w:pPr>
              <w:widowControl w:val="0"/>
              <w:spacing w:beforeLines="30" w:after="0" w:line="280" w:lineRule="exact"/>
              <w:ind w:left="0" w:firstLine="0"/>
              <w:jc w:val="left"/>
              <w:rPr>
                <w:rFonts w:ascii="宋体" w:hAnsi="宋体" w:eastAsia="宋体" w:cs="Times New Roman"/>
                <w:color w:val="auto"/>
                <w:szCs w:val="24"/>
              </w:rPr>
            </w:pPr>
            <w:r>
              <w:rPr>
                <w:rFonts w:ascii="宋体" w:hAnsi="宋体" w:eastAsia="宋体" w:cs="Times New Roman"/>
                <w:color w:val="auto"/>
                <w:szCs w:val="24"/>
              </w:rPr>
              <w:t>2.</w:t>
            </w:r>
            <w:r>
              <w:rPr>
                <w:rFonts w:hint="eastAsia" w:ascii="宋体" w:hAnsi="宋体" w:eastAsia="宋体" w:cs="Times New Roman"/>
                <w:color w:val="auto"/>
                <w:szCs w:val="24"/>
              </w:rPr>
              <w:t>检修用电设备时应切断电源、挂牌，设专人监护；</w:t>
            </w:r>
          </w:p>
          <w:p>
            <w:pPr>
              <w:widowControl w:val="0"/>
              <w:spacing w:beforeLines="30" w:after="0" w:line="280" w:lineRule="exact"/>
              <w:ind w:left="0" w:firstLine="0"/>
              <w:jc w:val="left"/>
              <w:rPr>
                <w:rFonts w:ascii="宋体" w:hAnsi="宋体" w:eastAsia="宋体" w:cs="Times New Roman"/>
                <w:color w:val="auto"/>
                <w:szCs w:val="24"/>
              </w:rPr>
            </w:pPr>
            <w:r>
              <w:rPr>
                <w:rFonts w:ascii="宋体" w:hAnsi="宋体" w:eastAsia="宋体" w:cs="Times New Roman"/>
                <w:color w:val="auto"/>
                <w:szCs w:val="24"/>
              </w:rPr>
              <w:t>3.</w:t>
            </w:r>
            <w:r>
              <w:rPr>
                <w:rFonts w:hint="eastAsia" w:ascii="宋体" w:hAnsi="宋体" w:eastAsia="宋体" w:cs="Times New Roman"/>
                <w:color w:val="auto"/>
                <w:szCs w:val="24"/>
              </w:rPr>
              <w:t>作业时应对用电设备的符合性进行核查，对临时用电设备及线路做好防护，遵守安全操作规程；</w:t>
            </w:r>
          </w:p>
          <w:p>
            <w:pPr>
              <w:widowControl w:val="0"/>
              <w:spacing w:beforeLines="30" w:after="0" w:line="280" w:lineRule="exact"/>
              <w:ind w:left="0" w:firstLine="0"/>
              <w:jc w:val="left"/>
              <w:rPr>
                <w:rFonts w:ascii="宋体" w:hAnsi="宋体" w:eastAsia="宋体" w:cs="Times New Roman"/>
                <w:color w:val="auto"/>
                <w:szCs w:val="24"/>
              </w:rPr>
            </w:pPr>
            <w:r>
              <w:rPr>
                <w:rFonts w:ascii="宋体" w:hAnsi="宋体" w:eastAsia="宋体" w:cs="Times New Roman"/>
                <w:color w:val="auto"/>
                <w:szCs w:val="24"/>
              </w:rPr>
              <w:t>4.</w:t>
            </w:r>
            <w:r>
              <w:rPr>
                <w:rFonts w:hint="eastAsia" w:ascii="宋体" w:hAnsi="宋体" w:eastAsia="宋体" w:cs="Times New Roman"/>
                <w:color w:val="auto"/>
                <w:szCs w:val="24"/>
              </w:rPr>
              <w:t>作业后恢复用电设备，归位电气工具。</w:t>
            </w:r>
          </w:p>
        </w:tc>
        <w:tc>
          <w:tcPr>
            <w:tcW w:w="1687" w:type="pct"/>
            <w:shd w:val="clear" w:color="auto" w:fill="FFFFFF" w:themeFill="background1"/>
            <w:vAlign w:val="center"/>
          </w:tcPr>
          <w:p>
            <w:pPr>
              <w:widowControl w:val="0"/>
              <w:spacing w:beforeLines="30" w:after="0" w:line="280" w:lineRule="exact"/>
              <w:ind w:left="0" w:firstLine="0"/>
              <w:jc w:val="left"/>
              <w:rPr>
                <w:rFonts w:ascii="宋体" w:hAnsi="宋体" w:eastAsia="宋体" w:cs="Times New Roman"/>
                <w:color w:val="auto"/>
                <w:szCs w:val="24"/>
              </w:rPr>
            </w:pPr>
            <w:r>
              <w:rPr>
                <w:rFonts w:ascii="宋体" w:hAnsi="宋体" w:eastAsia="宋体" w:cs="Times New Roman"/>
                <w:color w:val="auto"/>
                <w:szCs w:val="24"/>
              </w:rPr>
              <w:t>1.</w:t>
            </w:r>
            <w:r>
              <w:rPr>
                <w:rFonts w:hint="eastAsia" w:ascii="宋体" w:hAnsi="宋体" w:eastAsia="宋体" w:cs="Times New Roman"/>
                <w:color w:val="auto"/>
                <w:szCs w:val="24"/>
              </w:rPr>
              <w:t>切断电源；</w:t>
            </w:r>
            <w:r>
              <w:rPr>
                <w:rFonts w:ascii="宋体" w:hAnsi="宋体" w:eastAsia="宋体" w:cs="Times New Roman"/>
                <w:color w:val="auto"/>
                <w:szCs w:val="24"/>
              </w:rPr>
              <w:t>2.</w:t>
            </w:r>
            <w:r>
              <w:rPr>
                <w:rFonts w:hint="eastAsia" w:ascii="宋体" w:hAnsi="宋体" w:eastAsia="宋体" w:cs="Times New Roman"/>
                <w:color w:val="auto"/>
                <w:szCs w:val="24"/>
              </w:rPr>
              <w:t>用绝缘物体挑开带电物体；</w:t>
            </w:r>
          </w:p>
          <w:p>
            <w:pPr>
              <w:widowControl w:val="0"/>
              <w:spacing w:beforeLines="30" w:after="0" w:line="280" w:lineRule="exact"/>
              <w:ind w:left="0" w:firstLine="0"/>
              <w:jc w:val="left"/>
              <w:rPr>
                <w:rFonts w:ascii="宋体" w:hAnsi="宋体" w:eastAsia="宋体" w:cs="Times New Roman"/>
                <w:color w:val="auto"/>
                <w:szCs w:val="24"/>
              </w:rPr>
            </w:pPr>
            <w:r>
              <w:rPr>
                <w:rFonts w:ascii="宋体" w:hAnsi="宋体" w:eastAsia="宋体" w:cs="Times New Roman"/>
                <w:color w:val="auto"/>
                <w:szCs w:val="24"/>
              </w:rPr>
              <w:t>3.</w:t>
            </w:r>
            <w:r>
              <w:rPr>
                <w:rFonts w:hint="eastAsia" w:ascii="宋体" w:hAnsi="宋体" w:eastAsia="宋体" w:cs="Times New Roman"/>
                <w:color w:val="auto"/>
                <w:szCs w:val="24"/>
              </w:rPr>
              <w:t>积极抢救伤员：若触电者失去知觉，应使其平卧，以利呼吸；若触电者呼吸、脉搏停止，实施人工呼吸或胸外心脏挤压法抢救；</w:t>
            </w:r>
          </w:p>
          <w:p>
            <w:pPr>
              <w:widowControl w:val="0"/>
              <w:spacing w:beforeLines="30" w:after="0" w:line="280" w:lineRule="exact"/>
              <w:ind w:left="0" w:firstLine="0"/>
              <w:jc w:val="left"/>
              <w:rPr>
                <w:rFonts w:ascii="宋体" w:hAnsi="宋体" w:eastAsia="宋体" w:cs="Times New Roman"/>
                <w:color w:val="auto"/>
                <w:szCs w:val="24"/>
              </w:rPr>
            </w:pPr>
            <w:r>
              <w:rPr>
                <w:rFonts w:ascii="宋体" w:hAnsi="宋体" w:eastAsia="宋体" w:cs="Times New Roman"/>
                <w:color w:val="auto"/>
                <w:szCs w:val="24"/>
              </w:rPr>
              <w:t>4.</w:t>
            </w:r>
            <w:r>
              <w:rPr>
                <w:rFonts w:hint="eastAsia" w:ascii="宋体" w:hAnsi="宋体" w:eastAsia="宋体" w:cs="Times New Roman"/>
                <w:color w:val="auto"/>
                <w:szCs w:val="24"/>
              </w:rPr>
              <w:t>及时上报并拨打救援电话。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44" w:type="pct"/>
            <w:vMerge w:val="continue"/>
            <w:vAlign w:val="center"/>
          </w:tcPr>
          <w:p>
            <w:pPr>
              <w:widowControl w:val="0"/>
              <w:spacing w:beforeLines="100" w:afterLines="50" w:line="280" w:lineRule="exact"/>
              <w:ind w:left="0" w:firstLine="0"/>
              <w:jc w:val="both"/>
              <w:rPr>
                <w:rFonts w:ascii="宋体" w:hAnsi="宋体" w:eastAsia="宋体" w:cs="Times New Roman"/>
                <w:b/>
                <w:color w:val="auto"/>
                <w:szCs w:val="24"/>
              </w:rPr>
            </w:pPr>
          </w:p>
        </w:tc>
        <w:tc>
          <w:tcPr>
            <w:tcW w:w="422" w:type="pct"/>
            <w:vMerge w:val="continue"/>
            <w:shd w:val="clear" w:color="auto" w:fill="FFFFFF" w:themeFill="background1"/>
            <w:vAlign w:val="center"/>
          </w:tcPr>
          <w:p>
            <w:pPr>
              <w:widowControl w:val="0"/>
              <w:spacing w:beforeLines="20" w:after="0" w:line="280" w:lineRule="exact"/>
              <w:ind w:left="0" w:firstLine="0"/>
              <w:jc w:val="center"/>
              <w:rPr>
                <w:rFonts w:ascii="宋体" w:hAnsi="宋体" w:eastAsia="宋体" w:cs="Times New Roman"/>
                <w:color w:val="auto"/>
                <w:szCs w:val="24"/>
              </w:rPr>
            </w:pPr>
          </w:p>
        </w:tc>
        <w:tc>
          <w:tcPr>
            <w:tcW w:w="468" w:type="pct"/>
            <w:shd w:val="clear" w:color="auto" w:fill="FAE600"/>
            <w:vAlign w:val="center"/>
          </w:tcPr>
          <w:p>
            <w:pPr>
              <w:widowControl w:val="0"/>
              <w:spacing w:beforeLines="20" w:after="0" w:line="280" w:lineRule="exact"/>
              <w:ind w:left="0" w:firstLine="0"/>
              <w:jc w:val="center"/>
              <w:rPr>
                <w:rFonts w:ascii="宋体" w:hAnsi="宋体" w:eastAsia="宋体" w:cs="Times New Roman"/>
                <w:b/>
                <w:color w:val="auto"/>
                <w:sz w:val="28"/>
                <w:szCs w:val="24"/>
              </w:rPr>
            </w:pPr>
            <w:r>
              <w:rPr>
                <w:rFonts w:ascii="宋体" w:hAnsi="宋体" w:eastAsia="宋体" w:cs="Times New Roman"/>
                <w:b/>
                <w:color w:val="auto"/>
                <w:sz w:val="28"/>
                <w:szCs w:val="24"/>
              </w:rPr>
              <w:t>火灾</w:t>
            </w:r>
          </w:p>
        </w:tc>
        <w:tc>
          <w:tcPr>
            <w:tcW w:w="1779" w:type="pct"/>
            <w:shd w:val="clear" w:color="auto" w:fill="FFFFFF" w:themeFill="background1"/>
            <w:vAlign w:val="center"/>
          </w:tcPr>
          <w:p>
            <w:pPr>
              <w:widowControl w:val="0"/>
              <w:spacing w:beforeLines="30" w:after="0" w:line="280" w:lineRule="exact"/>
              <w:ind w:left="0" w:firstLine="0"/>
              <w:jc w:val="left"/>
              <w:rPr>
                <w:rFonts w:ascii="宋体" w:hAnsi="宋体" w:eastAsia="宋体" w:cs="Times New Roman"/>
                <w:color w:val="auto"/>
                <w:szCs w:val="24"/>
              </w:rPr>
            </w:pPr>
            <w:r>
              <w:rPr>
                <w:rFonts w:ascii="宋体" w:hAnsi="宋体" w:eastAsia="宋体" w:cs="Times New Roman"/>
                <w:color w:val="auto"/>
                <w:szCs w:val="24"/>
              </w:rPr>
              <w:t>1.</w:t>
            </w:r>
            <w:r>
              <w:rPr>
                <w:rFonts w:hint="eastAsia" w:ascii="宋体" w:hAnsi="宋体" w:eastAsia="宋体" w:cs="Times New Roman"/>
                <w:color w:val="auto"/>
                <w:szCs w:val="24"/>
              </w:rPr>
              <w:t>定期排查室内环境、温湿度、防虫鼠措施等；</w:t>
            </w:r>
          </w:p>
          <w:p>
            <w:pPr>
              <w:widowControl w:val="0"/>
              <w:spacing w:beforeLines="30" w:after="0" w:line="280" w:lineRule="exact"/>
              <w:ind w:left="0" w:firstLine="0"/>
              <w:jc w:val="left"/>
              <w:rPr>
                <w:rFonts w:ascii="宋体" w:hAnsi="宋体" w:eastAsia="宋体" w:cs="Times New Roman"/>
                <w:color w:val="auto"/>
                <w:szCs w:val="24"/>
              </w:rPr>
            </w:pPr>
            <w:r>
              <w:rPr>
                <w:rFonts w:ascii="宋体" w:hAnsi="宋体" w:eastAsia="宋体" w:cs="Times New Roman"/>
                <w:color w:val="auto"/>
                <w:szCs w:val="24"/>
              </w:rPr>
              <w:t>2.</w:t>
            </w:r>
            <w:r>
              <w:rPr>
                <w:rFonts w:hint="eastAsia" w:ascii="宋体" w:hAnsi="宋体" w:eastAsia="宋体" w:cs="Times New Roman"/>
                <w:color w:val="auto"/>
                <w:szCs w:val="24"/>
              </w:rPr>
              <w:t>严禁超负荷用电、私拉乱接等现象；</w:t>
            </w:r>
          </w:p>
          <w:p>
            <w:pPr>
              <w:widowControl w:val="0"/>
              <w:spacing w:beforeLines="30" w:after="0" w:line="280" w:lineRule="exact"/>
              <w:ind w:left="0" w:firstLine="0"/>
              <w:jc w:val="left"/>
              <w:rPr>
                <w:rFonts w:ascii="宋体" w:hAnsi="宋体" w:eastAsia="宋体" w:cs="Times New Roman"/>
                <w:color w:val="auto"/>
                <w:szCs w:val="24"/>
              </w:rPr>
            </w:pPr>
            <w:r>
              <w:rPr>
                <w:rFonts w:ascii="宋体" w:hAnsi="宋体" w:eastAsia="宋体" w:cs="Times New Roman"/>
                <w:color w:val="auto"/>
                <w:szCs w:val="24"/>
              </w:rPr>
              <w:t>3.</w:t>
            </w:r>
            <w:r>
              <w:rPr>
                <w:rFonts w:hint="eastAsia" w:ascii="宋体" w:hAnsi="宋体" w:eastAsia="宋体" w:cs="Times New Roman"/>
                <w:color w:val="auto"/>
                <w:szCs w:val="24"/>
              </w:rPr>
              <w:t>线缆、电气设备的尺寸、容量及型号应符合要求；</w:t>
            </w:r>
          </w:p>
          <w:p>
            <w:pPr>
              <w:widowControl w:val="0"/>
              <w:spacing w:beforeLines="30" w:after="0" w:line="280" w:lineRule="exact"/>
              <w:ind w:left="0" w:firstLine="0"/>
              <w:jc w:val="left"/>
              <w:rPr>
                <w:rFonts w:ascii="宋体" w:hAnsi="宋体" w:eastAsia="宋体" w:cs="Times New Roman"/>
                <w:color w:val="auto"/>
                <w:szCs w:val="24"/>
              </w:rPr>
            </w:pPr>
            <w:r>
              <w:rPr>
                <w:rFonts w:ascii="宋体" w:hAnsi="宋体" w:eastAsia="宋体" w:cs="Times New Roman"/>
                <w:color w:val="auto"/>
                <w:szCs w:val="24"/>
              </w:rPr>
              <w:t>4.</w:t>
            </w:r>
            <w:r>
              <w:rPr>
                <w:rFonts w:hint="eastAsia" w:ascii="宋体" w:hAnsi="宋体" w:eastAsia="宋体" w:cs="Times New Roman"/>
                <w:color w:val="auto"/>
                <w:szCs w:val="24"/>
              </w:rPr>
              <w:t>变配电设备、线路无绝缘破损、老化、虚接等；</w:t>
            </w:r>
          </w:p>
          <w:p>
            <w:pPr>
              <w:widowControl w:val="0"/>
              <w:spacing w:beforeLines="20" w:after="0" w:line="280" w:lineRule="exact"/>
              <w:ind w:left="0" w:firstLine="0"/>
              <w:jc w:val="both"/>
              <w:rPr>
                <w:rFonts w:ascii="宋体" w:hAnsi="宋体" w:eastAsia="宋体" w:cs="Times New Roman"/>
                <w:color w:val="auto"/>
                <w:szCs w:val="24"/>
              </w:rPr>
            </w:pPr>
            <w:r>
              <w:rPr>
                <w:rFonts w:ascii="宋体" w:hAnsi="宋体" w:eastAsia="宋体" w:cs="Times New Roman"/>
                <w:color w:val="auto"/>
                <w:szCs w:val="24"/>
              </w:rPr>
              <w:t>5.</w:t>
            </w:r>
            <w:r>
              <w:rPr>
                <w:rFonts w:hint="eastAsia" w:ascii="宋体" w:hAnsi="宋体" w:eastAsia="宋体" w:cs="Times New Roman"/>
                <w:color w:val="auto"/>
                <w:szCs w:val="24"/>
              </w:rPr>
              <w:t>定期排查室内消防器材齐全有效。</w:t>
            </w:r>
          </w:p>
        </w:tc>
        <w:tc>
          <w:tcPr>
            <w:tcW w:w="1687" w:type="pct"/>
            <w:shd w:val="clear" w:color="auto" w:fill="FFFFFF" w:themeFill="background1"/>
            <w:vAlign w:val="center"/>
          </w:tcPr>
          <w:p>
            <w:pPr>
              <w:widowControl w:val="0"/>
              <w:spacing w:beforeLines="30" w:after="0" w:line="280" w:lineRule="exact"/>
              <w:ind w:left="0" w:firstLine="0"/>
              <w:jc w:val="left"/>
              <w:rPr>
                <w:rFonts w:ascii="宋体" w:hAnsi="宋体" w:eastAsia="宋体" w:cs="Times New Roman"/>
                <w:color w:val="auto"/>
                <w:szCs w:val="24"/>
              </w:rPr>
            </w:pPr>
            <w:r>
              <w:rPr>
                <w:rFonts w:ascii="宋体" w:hAnsi="宋体" w:eastAsia="宋体" w:cs="Times New Roman"/>
                <w:color w:val="auto"/>
                <w:szCs w:val="24"/>
              </w:rPr>
              <w:t>1.</w:t>
            </w:r>
            <w:r>
              <w:rPr>
                <w:rFonts w:hint="eastAsia" w:ascii="宋体" w:hAnsi="宋体" w:eastAsia="宋体" w:cs="Times New Roman"/>
                <w:color w:val="auto"/>
                <w:szCs w:val="24"/>
              </w:rPr>
              <w:t>切断电源；</w:t>
            </w:r>
          </w:p>
          <w:p>
            <w:pPr>
              <w:widowControl w:val="0"/>
              <w:spacing w:beforeLines="30" w:after="0" w:line="280" w:lineRule="exact"/>
              <w:ind w:left="0" w:firstLine="0"/>
              <w:jc w:val="left"/>
              <w:rPr>
                <w:rFonts w:ascii="宋体" w:hAnsi="宋体" w:eastAsia="宋体" w:cs="Times New Roman"/>
                <w:color w:val="auto"/>
                <w:szCs w:val="24"/>
              </w:rPr>
            </w:pPr>
            <w:r>
              <w:rPr>
                <w:rFonts w:ascii="宋体" w:hAnsi="宋体" w:eastAsia="宋体" w:cs="Times New Roman"/>
                <w:color w:val="auto"/>
                <w:szCs w:val="24"/>
              </w:rPr>
              <w:t>2.</w:t>
            </w:r>
            <w:r>
              <w:rPr>
                <w:rFonts w:hint="eastAsia" w:ascii="宋体" w:hAnsi="宋体" w:eastAsia="宋体" w:cs="Times New Roman"/>
                <w:color w:val="auto"/>
                <w:szCs w:val="24"/>
              </w:rPr>
              <w:t>火情较小时使用灭火器灭火；</w:t>
            </w:r>
          </w:p>
          <w:p>
            <w:pPr>
              <w:widowControl w:val="0"/>
              <w:spacing w:beforeLines="30" w:after="0" w:line="280" w:lineRule="exact"/>
              <w:ind w:left="0" w:firstLine="0"/>
              <w:jc w:val="left"/>
              <w:rPr>
                <w:rFonts w:ascii="宋体" w:hAnsi="宋体" w:eastAsia="宋体" w:cs="Times New Roman"/>
                <w:color w:val="auto"/>
                <w:szCs w:val="24"/>
              </w:rPr>
            </w:pPr>
            <w:r>
              <w:rPr>
                <w:rFonts w:ascii="宋体" w:hAnsi="宋体" w:eastAsia="宋体" w:cs="Times New Roman"/>
                <w:color w:val="auto"/>
                <w:szCs w:val="24"/>
              </w:rPr>
              <w:t>3.</w:t>
            </w:r>
            <w:r>
              <w:rPr>
                <w:rFonts w:hint="eastAsia" w:ascii="宋体" w:hAnsi="宋体" w:eastAsia="宋体" w:cs="Times New Roman"/>
                <w:color w:val="auto"/>
                <w:szCs w:val="24"/>
              </w:rPr>
              <w:t>火情较大远离事故现场，疏散周边人员；</w:t>
            </w:r>
            <w:r>
              <w:rPr>
                <w:rFonts w:ascii="宋体" w:hAnsi="宋体" w:eastAsia="宋体" w:cs="Times New Roman"/>
                <w:color w:val="auto"/>
                <w:szCs w:val="24"/>
              </w:rPr>
              <w:t xml:space="preserve"> </w:t>
            </w:r>
          </w:p>
          <w:p>
            <w:pPr>
              <w:widowControl w:val="0"/>
              <w:spacing w:beforeLines="20" w:after="0" w:line="280" w:lineRule="exact"/>
              <w:ind w:left="0" w:firstLine="0"/>
              <w:jc w:val="both"/>
              <w:rPr>
                <w:rFonts w:ascii="宋体" w:hAnsi="宋体" w:eastAsia="宋体" w:cs="Times New Roman"/>
                <w:color w:val="auto"/>
                <w:szCs w:val="24"/>
              </w:rPr>
            </w:pPr>
            <w:r>
              <w:rPr>
                <w:rFonts w:ascii="宋体" w:hAnsi="宋体" w:eastAsia="宋体" w:cs="Times New Roman"/>
                <w:color w:val="auto"/>
                <w:szCs w:val="24"/>
              </w:rPr>
              <w:t>4.</w:t>
            </w:r>
            <w:r>
              <w:rPr>
                <w:rFonts w:hint="eastAsia" w:ascii="宋体" w:hAnsi="宋体" w:eastAsia="宋体" w:cs="Times New Roman"/>
                <w:color w:val="auto"/>
                <w:szCs w:val="24"/>
              </w:rPr>
              <w:t>及时上报并拨打救援电话。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644" w:type="pct"/>
            <w:vMerge w:val="continue"/>
            <w:vAlign w:val="center"/>
          </w:tcPr>
          <w:p>
            <w:pPr>
              <w:widowControl w:val="0"/>
              <w:spacing w:beforeLines="100" w:afterLines="50" w:line="280" w:lineRule="exact"/>
              <w:ind w:left="0" w:firstLine="0"/>
              <w:jc w:val="both"/>
              <w:rPr>
                <w:rFonts w:ascii="宋体" w:hAnsi="宋体" w:eastAsia="宋体" w:cs="Times New Roman"/>
                <w:b/>
                <w:color w:val="auto"/>
                <w:szCs w:val="24"/>
              </w:rPr>
            </w:pPr>
          </w:p>
        </w:tc>
        <w:tc>
          <w:tcPr>
            <w:tcW w:w="422" w:type="pct"/>
            <w:vMerge w:val="continue"/>
            <w:shd w:val="clear" w:color="auto" w:fill="FFFFFF" w:themeFill="background1"/>
            <w:vAlign w:val="center"/>
          </w:tcPr>
          <w:p>
            <w:pPr>
              <w:widowControl w:val="0"/>
              <w:spacing w:beforeLines="20" w:after="0" w:line="280" w:lineRule="exact"/>
              <w:ind w:left="0" w:firstLine="0"/>
              <w:jc w:val="center"/>
              <w:rPr>
                <w:rFonts w:ascii="宋体" w:hAnsi="宋体" w:eastAsia="宋体" w:cs="Times New Roman"/>
                <w:color w:val="auto"/>
                <w:szCs w:val="24"/>
              </w:rPr>
            </w:pPr>
          </w:p>
        </w:tc>
        <w:tc>
          <w:tcPr>
            <w:tcW w:w="468" w:type="pct"/>
            <w:tcBorders>
              <w:bottom w:val="single" w:color="auto" w:sz="4" w:space="0"/>
            </w:tcBorders>
            <w:shd w:val="clear" w:color="auto" w:fill="3764FF"/>
            <w:vAlign w:val="center"/>
          </w:tcPr>
          <w:p>
            <w:pPr>
              <w:widowControl w:val="0"/>
              <w:spacing w:beforeLines="50" w:after="0" w:line="280" w:lineRule="exact"/>
              <w:ind w:left="0" w:firstLine="0"/>
              <w:jc w:val="center"/>
              <w:rPr>
                <w:rFonts w:ascii="宋体" w:hAnsi="宋体" w:eastAsia="宋体" w:cs="Times New Roman"/>
                <w:b/>
                <w:color w:val="auto"/>
                <w:kern w:val="0"/>
                <w:sz w:val="28"/>
                <w:szCs w:val="24"/>
              </w:rPr>
            </w:pPr>
            <w:r>
              <w:rPr>
                <w:rFonts w:hint="eastAsia" w:ascii="宋体" w:hAnsi="宋体" w:eastAsia="宋体" w:cs="Times New Roman"/>
                <w:b/>
                <w:color w:val="auto"/>
                <w:kern w:val="0"/>
                <w:sz w:val="28"/>
                <w:szCs w:val="24"/>
              </w:rPr>
              <w:t>高处坠落</w:t>
            </w:r>
          </w:p>
          <w:p>
            <w:pPr>
              <w:widowControl w:val="0"/>
              <w:spacing w:beforeLines="50" w:after="0" w:line="280" w:lineRule="exact"/>
              <w:ind w:left="0" w:firstLine="0"/>
              <w:jc w:val="center"/>
              <w:rPr>
                <w:rFonts w:ascii="宋体" w:hAnsi="宋体" w:eastAsia="宋体" w:cs="Times New Roman"/>
                <w:b/>
                <w:color w:val="auto"/>
                <w:sz w:val="28"/>
                <w:szCs w:val="24"/>
              </w:rPr>
            </w:pPr>
            <w:r>
              <w:rPr>
                <w:rFonts w:hint="eastAsia" w:ascii="宋体" w:hAnsi="宋体" w:eastAsia="宋体" w:cs="Times New Roman"/>
                <w:b/>
                <w:color w:val="auto"/>
                <w:kern w:val="0"/>
                <w:sz w:val="28"/>
                <w:szCs w:val="24"/>
              </w:rPr>
              <w:t>物体打击</w:t>
            </w:r>
          </w:p>
        </w:tc>
        <w:tc>
          <w:tcPr>
            <w:tcW w:w="1779" w:type="pct"/>
            <w:shd w:val="clear" w:color="auto" w:fill="FFFFFF" w:themeFill="background1"/>
            <w:vAlign w:val="center"/>
          </w:tcPr>
          <w:p>
            <w:pPr>
              <w:widowControl w:val="0"/>
              <w:spacing w:beforeLines="50" w:after="0" w:line="280" w:lineRule="exact"/>
              <w:ind w:left="0" w:firstLine="0"/>
              <w:jc w:val="left"/>
              <w:rPr>
                <w:rFonts w:ascii="宋体" w:hAnsi="宋体" w:eastAsia="宋体" w:cs="Times New Roman"/>
                <w:color w:val="auto"/>
                <w:szCs w:val="24"/>
              </w:rPr>
            </w:pPr>
            <w:r>
              <w:rPr>
                <w:rFonts w:hint="eastAsia" w:ascii="宋体" w:hAnsi="宋体" w:eastAsia="宋体" w:cs="Times New Roman"/>
                <w:color w:val="auto"/>
                <w:kern w:val="0"/>
                <w:szCs w:val="24"/>
              </w:rPr>
              <w:t>1.高处作业时应穿戴合格，做好临边及爬梯防护；2.雨雪、强风等恶劣天气不得进行户外高处作业。</w:t>
            </w:r>
          </w:p>
        </w:tc>
        <w:tc>
          <w:tcPr>
            <w:tcW w:w="1687" w:type="pct"/>
            <w:shd w:val="clear" w:color="auto" w:fill="FFFFFF" w:themeFill="background1"/>
            <w:vAlign w:val="center"/>
          </w:tcPr>
          <w:p>
            <w:pPr>
              <w:widowControl w:val="0"/>
              <w:spacing w:beforeLines="50" w:after="0" w:line="280" w:lineRule="exact"/>
              <w:ind w:left="0" w:firstLine="0"/>
              <w:jc w:val="left"/>
              <w:rPr>
                <w:rFonts w:ascii="宋体" w:hAnsi="宋体" w:eastAsia="宋体" w:cs="Times New Roman"/>
                <w:color w:val="auto"/>
                <w:kern w:val="0"/>
                <w:szCs w:val="24"/>
              </w:rPr>
            </w:pPr>
            <w:r>
              <w:rPr>
                <w:rFonts w:hint="eastAsia" w:ascii="宋体" w:hAnsi="宋体" w:eastAsia="宋体" w:cs="Times New Roman"/>
                <w:color w:val="auto"/>
                <w:kern w:val="0"/>
                <w:szCs w:val="24"/>
              </w:rPr>
              <w:t>1.积极抢救伤员，及时上报并拨打120等电话。</w:t>
            </w:r>
          </w:p>
          <w:p>
            <w:pPr>
              <w:widowControl w:val="0"/>
              <w:spacing w:beforeLines="50" w:after="0" w:line="280" w:lineRule="exact"/>
              <w:ind w:left="0" w:firstLine="0"/>
              <w:jc w:val="left"/>
              <w:rPr>
                <w:rFonts w:ascii="宋体" w:hAnsi="宋体" w:eastAsia="宋体" w:cs="Times New Roman"/>
                <w:color w:val="auto"/>
                <w:szCs w:val="24"/>
              </w:rPr>
            </w:pPr>
            <w:r>
              <w:rPr>
                <w:rFonts w:hint="eastAsia" w:ascii="宋体" w:hAnsi="宋体" w:eastAsia="宋体" w:cs="Times New Roman"/>
                <w:color w:val="auto"/>
                <w:kern w:val="0"/>
                <w:szCs w:val="24"/>
              </w:rPr>
              <w:t>2.及时上报并拨打救援电话。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34" w:type="pct"/>
            <w:gridSpan w:val="3"/>
            <w:tcBorders>
              <w:bottom w:val="single" w:color="auto" w:sz="4" w:space="0"/>
            </w:tcBorders>
            <w:shd w:val="clear" w:color="auto" w:fill="F1F1F1" w:themeFill="background1" w:themeFillShade="F2"/>
            <w:vAlign w:val="center"/>
          </w:tcPr>
          <w:p>
            <w:pPr>
              <w:widowControl w:val="0"/>
              <w:spacing w:beforeLines="20" w:after="0" w:line="240" w:lineRule="auto"/>
              <w:ind w:left="0" w:firstLine="0"/>
              <w:jc w:val="left"/>
              <w:rPr>
                <w:rFonts w:ascii="宋体" w:hAnsi="宋体" w:eastAsia="宋体" w:cs="Times New Roman"/>
                <w:b/>
                <w:color w:val="auto"/>
                <w:kern w:val="0"/>
                <w:szCs w:val="24"/>
              </w:rPr>
            </w:pPr>
            <w:r>
              <w:rPr>
                <w:rFonts w:hint="eastAsia" w:ascii="宋体" w:hAnsi="宋体" w:eastAsia="宋体" w:cs="Times New Roman"/>
                <w:b/>
                <w:color w:val="auto"/>
                <w:kern w:val="0"/>
                <w:szCs w:val="24"/>
              </w:rPr>
              <w:t>值班</w:t>
            </w:r>
            <w:r>
              <w:rPr>
                <w:rFonts w:ascii="宋体" w:hAnsi="宋体" w:eastAsia="宋体" w:cs="Times New Roman"/>
                <w:b/>
                <w:color w:val="auto"/>
                <w:kern w:val="0"/>
                <w:szCs w:val="24"/>
              </w:rPr>
              <w:t>电话</w:t>
            </w:r>
            <w:r>
              <w:rPr>
                <w:rFonts w:hint="eastAsia" w:ascii="宋体" w:hAnsi="宋体" w:eastAsia="宋体" w:cs="Times New Roman"/>
                <w:b/>
                <w:color w:val="auto"/>
                <w:kern w:val="0"/>
                <w:szCs w:val="24"/>
              </w:rPr>
              <w:t>：</w:t>
            </w:r>
          </w:p>
        </w:tc>
        <w:tc>
          <w:tcPr>
            <w:tcW w:w="3466" w:type="pct"/>
            <w:gridSpan w:val="2"/>
            <w:tcBorders>
              <w:bottom w:val="single" w:color="auto" w:sz="4" w:space="0"/>
            </w:tcBorders>
            <w:shd w:val="clear" w:color="auto" w:fill="F1F1F1" w:themeFill="background1" w:themeFillShade="F2"/>
            <w:vAlign w:val="center"/>
          </w:tcPr>
          <w:p>
            <w:pPr>
              <w:widowControl w:val="0"/>
              <w:spacing w:beforeLines="20" w:after="0" w:line="240" w:lineRule="auto"/>
              <w:ind w:left="0" w:firstLine="0"/>
              <w:jc w:val="center"/>
              <w:rPr>
                <w:rFonts w:ascii="宋体" w:hAnsi="宋体" w:eastAsia="宋体" w:cs="Times New Roman"/>
                <w:b/>
                <w:color w:val="auto"/>
                <w:kern w:val="0"/>
                <w:szCs w:val="24"/>
              </w:rPr>
            </w:pPr>
            <w:r>
              <w:rPr>
                <w:rFonts w:ascii="宋体" w:hAnsi="宋体" w:eastAsia="宋体" w:cs="Times New Roman"/>
                <w:b/>
                <w:color w:val="auto"/>
                <w:kern w:val="0"/>
                <w:szCs w:val="24"/>
              </w:rPr>
              <w:t>救援电话</w:t>
            </w:r>
            <w:r>
              <w:rPr>
                <w:rFonts w:hint="eastAsia" w:ascii="宋体" w:hAnsi="宋体" w:eastAsia="宋体" w:cs="Times New Roman"/>
                <w:b/>
                <w:color w:val="auto"/>
                <w:kern w:val="0"/>
                <w:szCs w:val="24"/>
              </w:rPr>
              <w:t xml:space="preserve">： </w:t>
            </w:r>
            <w:r>
              <w:rPr>
                <w:rFonts w:ascii="宋体" w:hAnsi="宋体" w:eastAsia="宋体" w:cs="Times New Roman"/>
                <w:b/>
                <w:color w:val="auto"/>
                <w:kern w:val="0"/>
                <w:szCs w:val="24"/>
              </w:rPr>
              <w:t xml:space="preserve">        </w:t>
            </w:r>
            <w:r>
              <w:rPr>
                <w:rFonts w:hint="eastAsia" w:ascii="宋体" w:hAnsi="宋体" w:eastAsia="宋体" w:cs="Times New Roman"/>
                <w:b/>
                <w:color w:val="auto"/>
                <w:kern w:val="0"/>
                <w:szCs w:val="24"/>
              </w:rPr>
              <w:t xml:space="preserve">  </w:t>
            </w:r>
            <w:r>
              <w:rPr>
                <w:rFonts w:ascii="宋体" w:hAnsi="宋体" w:eastAsia="宋体" w:cs="Times New Roman"/>
                <w:b/>
                <w:color w:val="auto"/>
                <w:kern w:val="0"/>
                <w:szCs w:val="24"/>
              </w:rPr>
              <w:t>消防</w:t>
            </w:r>
            <w:r>
              <w:rPr>
                <w:rFonts w:hint="eastAsia" w:ascii="宋体" w:hAnsi="宋体" w:eastAsia="宋体" w:cs="Times New Roman"/>
                <w:b/>
                <w:color w:val="auto"/>
                <w:kern w:val="0"/>
                <w:szCs w:val="24"/>
              </w:rPr>
              <w:t>：119    急救：120    公安：110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00" w:type="pct"/>
            <w:gridSpan w:val="5"/>
            <w:shd w:val="clear" w:color="auto" w:fill="FFFFFF" w:themeFill="background1"/>
            <w:vAlign w:val="center"/>
          </w:tcPr>
          <w:p>
            <w:pPr>
              <w:widowControl w:val="0"/>
              <w:spacing w:beforeLines="20" w:after="0" w:line="240" w:lineRule="auto"/>
              <w:ind w:left="0" w:firstLine="0"/>
              <w:jc w:val="left"/>
              <w:rPr>
                <w:rFonts w:ascii="宋体" w:hAnsi="宋体" w:eastAsia="宋体" w:cs="Times New Roman"/>
                <w:b/>
                <w:color w:val="auto"/>
                <w:szCs w:val="24"/>
              </w:rPr>
            </w:pPr>
            <w:r>
              <w:rPr>
                <w:rFonts w:ascii="宋体" w:hAnsi="宋体" w:eastAsia="宋体" w:cs="Times New Roman"/>
                <w:b/>
                <w:color w:val="auto"/>
                <w:szCs w:val="24"/>
              </w:rPr>
              <w:t>作业小组成员</w:t>
            </w:r>
            <w:r>
              <w:rPr>
                <w:rFonts w:hint="eastAsia" w:ascii="宋体" w:hAnsi="宋体" w:eastAsia="宋体" w:cs="Times New Roman"/>
                <w:b/>
                <w:color w:val="auto"/>
                <w:szCs w:val="24"/>
              </w:rPr>
              <w:t>：</w:t>
            </w:r>
          </w:p>
        </w:tc>
      </w:tr>
    </w:tbl>
    <w:p>
      <w:pPr>
        <w:widowControl w:val="0"/>
        <w:spacing w:after="0" w:line="560" w:lineRule="exact"/>
        <w:ind w:left="0" w:firstLine="640" w:firstLineChars="200"/>
        <w:rPr>
          <w:rFonts w:cs="宋体"/>
          <w:color w:val="auto"/>
          <w:sz w:val="22"/>
          <w:szCs w:val="24"/>
        </w:rPr>
      </w:pPr>
      <w:r>
        <w:rPr>
          <w:rFonts w:hint="eastAsia" w:ascii="华文隶书" w:hAnsi="华文中宋" w:eastAsia="华文隶书"/>
          <w:b/>
          <w:color w:val="auto"/>
          <w:sz w:val="32"/>
          <w:szCs w:val="32"/>
        </w:rPr>
        <w:t>安全第一      预防为主                             防风险     除隐患     遏事故</w:t>
      </w:r>
    </w:p>
    <w:p>
      <w:pPr>
        <w:spacing w:after="0" w:line="240" w:lineRule="auto"/>
        <w:ind w:left="0" w:firstLine="0"/>
        <w:rPr>
          <w:rFonts w:ascii="华文中宋" w:hAnsi="华文中宋" w:eastAsia="华文中宋" w:cstheme="minorBidi"/>
          <w:color w:val="auto"/>
          <w:sz w:val="28"/>
        </w:rPr>
      </w:pPr>
      <w:r>
        <w:rPr>
          <w:rFonts w:ascii="华文中宋" w:hAnsi="华文中宋" w:eastAsia="华文中宋" w:cstheme="minorBidi"/>
          <w:color w:val="auto"/>
          <w:sz w:val="28"/>
        </w:rPr>
        <w:br w:type="page"/>
      </w:r>
    </w:p>
    <w:p>
      <w:pPr>
        <w:widowControl w:val="0"/>
        <w:spacing w:after="0" w:line="240" w:lineRule="auto"/>
        <w:ind w:left="0" w:firstLine="0"/>
        <w:jc w:val="center"/>
        <w:rPr>
          <w:rFonts w:ascii="华文中宋" w:hAnsi="华文中宋" w:eastAsia="华文中宋" w:cstheme="minorBidi"/>
          <w:color w:val="auto"/>
          <w:sz w:val="28"/>
        </w:rPr>
      </w:pPr>
      <w:r>
        <w:rPr>
          <w:rFonts w:hint="eastAsia" w:ascii="华文中宋" w:hAnsi="华文中宋" w:eastAsia="华文中宋" w:cstheme="minorBidi"/>
          <w:color w:val="auto"/>
          <w:sz w:val="28"/>
        </w:rPr>
        <w:t>收费站岗位风险告知卡</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8"/>
        <w:gridCol w:w="1278"/>
        <w:gridCol w:w="1557"/>
        <w:gridCol w:w="5530"/>
        <w:gridCol w:w="49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97" w:type="pct"/>
            <w:shd w:val="clear" w:color="auto" w:fill="F1F1F1" w:themeFill="background1" w:themeFillShade="F2"/>
            <w:vAlign w:val="center"/>
          </w:tcPr>
          <w:p>
            <w:pPr>
              <w:widowControl w:val="0"/>
              <w:spacing w:after="0" w:line="240" w:lineRule="auto"/>
              <w:ind w:left="0" w:firstLine="0"/>
              <w:jc w:val="center"/>
              <w:rPr>
                <w:rFonts w:ascii="宋体" w:hAnsi="宋体" w:eastAsia="宋体" w:cs="Times New Roman"/>
                <w:b/>
                <w:color w:val="auto"/>
                <w:szCs w:val="24"/>
              </w:rPr>
            </w:pPr>
            <w:r>
              <w:rPr>
                <w:rFonts w:ascii="宋体" w:hAnsi="宋体" w:eastAsia="宋体" w:cs="Times New Roman"/>
                <w:b/>
                <w:color w:val="auto"/>
                <w:szCs w:val="24"/>
              </w:rPr>
              <w:t>岗位</w:t>
            </w:r>
            <w:r>
              <w:rPr>
                <w:rFonts w:hint="eastAsia" w:ascii="宋体" w:hAnsi="宋体" w:eastAsia="宋体" w:cs="Times New Roman"/>
                <w:b/>
                <w:color w:val="auto"/>
                <w:szCs w:val="24"/>
              </w:rPr>
              <w:t>：厨师</w:t>
            </w:r>
          </w:p>
        </w:tc>
        <w:tc>
          <w:tcPr>
            <w:tcW w:w="422" w:type="pct"/>
            <w:tcBorders>
              <w:bottom w:val="single" w:color="auto" w:sz="4" w:space="0"/>
            </w:tcBorders>
            <w:shd w:val="clear" w:color="auto" w:fill="F1F1F1" w:themeFill="background1" w:themeFillShade="F2"/>
            <w:vAlign w:val="center"/>
          </w:tcPr>
          <w:p>
            <w:pPr>
              <w:widowControl w:val="0"/>
              <w:spacing w:after="0" w:line="240" w:lineRule="auto"/>
              <w:ind w:left="0" w:firstLine="0"/>
              <w:jc w:val="center"/>
              <w:rPr>
                <w:rFonts w:ascii="宋体" w:hAnsi="宋体" w:eastAsia="宋体" w:cs="Times New Roman"/>
                <w:b/>
                <w:color w:val="auto"/>
                <w:szCs w:val="24"/>
              </w:rPr>
            </w:pPr>
            <w:r>
              <w:rPr>
                <w:rFonts w:hint="eastAsia" w:ascii="宋体" w:hAnsi="宋体" w:eastAsia="宋体" w:cs="Times New Roman"/>
                <w:b/>
                <w:color w:val="auto"/>
                <w:szCs w:val="24"/>
              </w:rPr>
              <w:t>风险点</w:t>
            </w:r>
          </w:p>
        </w:tc>
        <w:tc>
          <w:tcPr>
            <w:tcW w:w="514" w:type="pct"/>
            <w:tcBorders>
              <w:bottom w:val="single" w:color="auto" w:sz="4" w:space="0"/>
            </w:tcBorders>
            <w:shd w:val="clear" w:color="auto" w:fill="F1F1F1" w:themeFill="background1" w:themeFillShade="F2"/>
            <w:vAlign w:val="center"/>
          </w:tcPr>
          <w:p>
            <w:pPr>
              <w:widowControl w:val="0"/>
              <w:spacing w:after="0" w:line="240" w:lineRule="auto"/>
              <w:ind w:left="0" w:firstLine="0"/>
              <w:jc w:val="center"/>
              <w:rPr>
                <w:rFonts w:ascii="宋体" w:hAnsi="宋体" w:eastAsia="宋体" w:cs="Times New Roman"/>
                <w:b/>
                <w:color w:val="auto"/>
                <w:szCs w:val="24"/>
              </w:rPr>
            </w:pPr>
            <w:r>
              <w:rPr>
                <w:rFonts w:hint="eastAsia" w:ascii="宋体" w:hAnsi="宋体" w:eastAsia="宋体" w:cs="Times New Roman"/>
                <w:b/>
                <w:color w:val="auto"/>
                <w:szCs w:val="24"/>
              </w:rPr>
              <w:t>风险事件</w:t>
            </w:r>
          </w:p>
        </w:tc>
        <w:tc>
          <w:tcPr>
            <w:tcW w:w="1826" w:type="pct"/>
            <w:tcBorders>
              <w:bottom w:val="single" w:color="auto" w:sz="4" w:space="0"/>
            </w:tcBorders>
            <w:shd w:val="clear" w:color="auto" w:fill="F1F1F1" w:themeFill="background1" w:themeFillShade="F2"/>
            <w:vAlign w:val="center"/>
          </w:tcPr>
          <w:p>
            <w:pPr>
              <w:widowControl w:val="0"/>
              <w:spacing w:after="0" w:line="240" w:lineRule="auto"/>
              <w:ind w:left="0" w:firstLine="0"/>
              <w:jc w:val="center"/>
              <w:rPr>
                <w:rFonts w:ascii="宋体" w:hAnsi="宋体" w:eastAsia="宋体" w:cs="Times New Roman"/>
                <w:b/>
                <w:color w:val="auto"/>
                <w:szCs w:val="24"/>
              </w:rPr>
            </w:pPr>
            <w:r>
              <w:rPr>
                <w:rFonts w:ascii="宋体" w:hAnsi="宋体" w:eastAsia="宋体" w:cs="Times New Roman"/>
                <w:b/>
                <w:color w:val="auto"/>
                <w:szCs w:val="24"/>
              </w:rPr>
              <w:t>风险管控措施</w:t>
            </w:r>
          </w:p>
        </w:tc>
        <w:tc>
          <w:tcPr>
            <w:tcW w:w="1641" w:type="pct"/>
            <w:tcBorders>
              <w:bottom w:val="single" w:color="auto" w:sz="4" w:space="0"/>
            </w:tcBorders>
            <w:shd w:val="clear" w:color="auto" w:fill="F1F1F1" w:themeFill="background1" w:themeFillShade="F2"/>
            <w:vAlign w:val="center"/>
          </w:tcPr>
          <w:p>
            <w:pPr>
              <w:widowControl w:val="0"/>
              <w:spacing w:after="0" w:line="240" w:lineRule="auto"/>
              <w:ind w:left="0" w:firstLine="0"/>
              <w:jc w:val="center"/>
              <w:rPr>
                <w:rFonts w:ascii="宋体" w:hAnsi="宋体" w:eastAsia="宋体" w:cs="Times New Roman"/>
                <w:b/>
                <w:color w:val="auto"/>
                <w:szCs w:val="24"/>
              </w:rPr>
            </w:pPr>
            <w:r>
              <w:rPr>
                <w:rFonts w:ascii="宋体" w:hAnsi="宋体" w:eastAsia="宋体" w:cs="Times New Roman"/>
                <w:b/>
                <w:color w:val="auto"/>
                <w:szCs w:val="24"/>
              </w:rPr>
              <w:t>应急处置措施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97" w:type="pct"/>
            <w:vMerge w:val="restart"/>
          </w:tcPr>
          <w:p>
            <w:pPr>
              <w:widowControl w:val="0"/>
              <w:spacing w:beforeLines="100" w:afterLines="50" w:line="360" w:lineRule="auto"/>
              <w:ind w:left="0" w:firstLine="0"/>
              <w:jc w:val="left"/>
              <w:rPr>
                <w:rFonts w:ascii="宋体" w:hAnsi="宋体" w:eastAsia="宋体" w:cs="Times New Roman"/>
                <w:b/>
                <w:color w:val="auto"/>
                <w:szCs w:val="24"/>
              </w:rPr>
            </w:pPr>
            <w:r>
              <w:rPr>
                <w:rFonts w:hint="eastAsia" w:ascii="宋体" w:hAnsi="宋体" w:eastAsia="宋体" w:cs="Times New Roman"/>
                <w:b/>
                <w:color w:val="auto"/>
                <w:szCs w:val="24"/>
              </w:rPr>
              <w:t>作业步骤/</w:t>
            </w:r>
            <w:r>
              <w:rPr>
                <w:rFonts w:ascii="宋体" w:hAnsi="宋体" w:eastAsia="宋体" w:cs="Times New Roman"/>
                <w:b/>
                <w:color w:val="auto"/>
                <w:szCs w:val="24"/>
              </w:rPr>
              <w:t>内容</w:t>
            </w:r>
            <w:r>
              <w:rPr>
                <w:rFonts w:hint="eastAsia" w:ascii="宋体" w:hAnsi="宋体" w:eastAsia="宋体" w:cs="Times New Roman"/>
                <w:b/>
                <w:color w:val="auto"/>
                <w:szCs w:val="24"/>
              </w:rPr>
              <w:t>：</w:t>
            </w:r>
          </w:p>
          <w:p>
            <w:pPr>
              <w:widowControl w:val="0"/>
              <w:spacing w:beforeLines="100" w:afterLines="50" w:line="240" w:lineRule="auto"/>
              <w:ind w:left="0" w:firstLine="0"/>
              <w:jc w:val="both"/>
              <w:rPr>
                <w:rFonts w:cs="宋体"/>
                <w:color w:val="auto"/>
                <w:szCs w:val="24"/>
              </w:rPr>
            </w:pPr>
            <w:r>
              <w:rPr>
                <w:rFonts w:hint="eastAsia" w:ascii="宋体" w:hAnsi="宋体" w:eastAsia="宋体" w:cs="Times New Roman"/>
                <w:color w:val="auto"/>
                <w:szCs w:val="24"/>
              </w:rPr>
              <w:t>食品采购→清理→烹饪→厨用设备清洁→卫生清理</w:t>
            </w:r>
          </w:p>
        </w:tc>
        <w:tc>
          <w:tcPr>
            <w:tcW w:w="422" w:type="pct"/>
            <w:vMerge w:val="restart"/>
            <w:shd w:val="clear" w:color="auto" w:fill="FFFFFF" w:themeFill="background1"/>
            <w:vAlign w:val="center"/>
          </w:tcPr>
          <w:p>
            <w:pPr>
              <w:widowControl w:val="0"/>
              <w:spacing w:beforeLines="20" w:after="0" w:line="240" w:lineRule="auto"/>
              <w:ind w:left="0" w:firstLine="0"/>
              <w:jc w:val="center"/>
              <w:rPr>
                <w:rFonts w:ascii="宋体" w:hAnsi="宋体" w:eastAsia="宋体" w:cs="Times New Roman"/>
                <w:color w:val="auto"/>
                <w:szCs w:val="24"/>
              </w:rPr>
            </w:pPr>
            <w:r>
              <w:rPr>
                <w:rFonts w:hint="eastAsia" w:ascii="宋体" w:hAnsi="宋体" w:eastAsia="宋体" w:cs="Times New Roman"/>
                <w:color w:val="auto"/>
                <w:szCs w:val="24"/>
              </w:rPr>
              <w:t>食堂、燃油间。</w:t>
            </w:r>
          </w:p>
        </w:tc>
        <w:tc>
          <w:tcPr>
            <w:tcW w:w="514" w:type="pct"/>
            <w:shd w:val="clear" w:color="auto" w:fill="FAE600"/>
            <w:vAlign w:val="center"/>
          </w:tcPr>
          <w:p>
            <w:pPr>
              <w:widowControl w:val="0"/>
              <w:spacing w:beforeLines="20" w:after="0" w:line="240" w:lineRule="auto"/>
              <w:ind w:left="0" w:firstLine="0"/>
              <w:jc w:val="center"/>
              <w:rPr>
                <w:rFonts w:ascii="宋体" w:hAnsi="宋体" w:eastAsia="宋体" w:cs="Times New Roman"/>
                <w:b/>
                <w:color w:val="auto"/>
                <w:sz w:val="28"/>
                <w:szCs w:val="24"/>
              </w:rPr>
            </w:pPr>
            <w:r>
              <w:rPr>
                <w:rFonts w:ascii="宋体" w:hAnsi="宋体" w:eastAsia="宋体" w:cs="Times New Roman"/>
                <w:b/>
                <w:color w:val="auto"/>
                <w:sz w:val="28"/>
                <w:szCs w:val="24"/>
              </w:rPr>
              <w:t>火灾爆炸</w:t>
            </w:r>
          </w:p>
        </w:tc>
        <w:tc>
          <w:tcPr>
            <w:tcW w:w="1826" w:type="pct"/>
            <w:shd w:val="clear" w:color="auto" w:fill="FFFFFF" w:themeFill="background1"/>
            <w:vAlign w:val="center"/>
          </w:tcPr>
          <w:p>
            <w:pPr>
              <w:widowControl w:val="0"/>
              <w:spacing w:beforeLines="20" w:after="0" w:line="240" w:lineRule="auto"/>
              <w:ind w:left="0" w:firstLine="0"/>
              <w:jc w:val="both"/>
              <w:rPr>
                <w:rFonts w:ascii="宋体" w:hAnsi="宋体" w:eastAsia="宋体" w:cs="Times New Roman"/>
                <w:color w:val="auto"/>
                <w:szCs w:val="24"/>
              </w:rPr>
            </w:pPr>
            <w:r>
              <w:rPr>
                <w:rFonts w:hint="eastAsia" w:ascii="宋体" w:hAnsi="宋体" w:eastAsia="宋体" w:cs="Times New Roman"/>
                <w:color w:val="auto"/>
                <w:szCs w:val="24"/>
              </w:rPr>
              <w:t>1.加强燃气间及后厨管理：闭门管理、通风良好、罐体分类储存、泄漏报警齐全有效、不得堆放易燃易爆品，消防器材齐全有效；2.燃气瓶及管道质量可靠且无泄漏、破损等现象；3.作业后及时关闭燃气阀门、灶具。</w:t>
            </w:r>
          </w:p>
        </w:tc>
        <w:tc>
          <w:tcPr>
            <w:tcW w:w="1641" w:type="pct"/>
            <w:shd w:val="clear" w:color="auto" w:fill="FFFFFF" w:themeFill="background1"/>
            <w:vAlign w:val="center"/>
          </w:tcPr>
          <w:p>
            <w:pPr>
              <w:widowControl w:val="0"/>
              <w:spacing w:beforeLines="20" w:after="0" w:line="240" w:lineRule="auto"/>
              <w:ind w:left="0" w:firstLine="0"/>
              <w:jc w:val="both"/>
              <w:rPr>
                <w:rFonts w:ascii="宋体" w:hAnsi="宋体" w:eastAsia="宋体" w:cs="Times New Roman"/>
                <w:color w:val="auto"/>
                <w:szCs w:val="24"/>
              </w:rPr>
            </w:pPr>
            <w:r>
              <w:rPr>
                <w:rFonts w:hint="eastAsia" w:ascii="宋体" w:hAnsi="宋体" w:eastAsia="宋体" w:cs="Times New Roman"/>
                <w:color w:val="auto"/>
                <w:szCs w:val="24"/>
              </w:rPr>
              <w:t>1.切断气源、关闭灶具；2.火情较小时使用灭火器、灭火毯灭火；</w:t>
            </w:r>
          </w:p>
          <w:p>
            <w:pPr>
              <w:widowControl w:val="0"/>
              <w:spacing w:beforeLines="20" w:after="0" w:line="240" w:lineRule="auto"/>
              <w:ind w:left="0" w:firstLine="0"/>
              <w:jc w:val="both"/>
              <w:rPr>
                <w:rFonts w:ascii="宋体" w:hAnsi="宋体" w:eastAsia="宋体" w:cs="Times New Roman"/>
                <w:color w:val="auto"/>
                <w:szCs w:val="24"/>
              </w:rPr>
            </w:pPr>
            <w:r>
              <w:rPr>
                <w:rFonts w:hint="eastAsia" w:ascii="宋体" w:hAnsi="宋体" w:eastAsia="宋体" w:cs="Times New Roman"/>
                <w:color w:val="auto"/>
                <w:szCs w:val="24"/>
              </w:rPr>
              <w:t>3.火情较大远离事故现场，疏散周边人员；</w:t>
            </w:r>
          </w:p>
          <w:p>
            <w:pPr>
              <w:widowControl w:val="0"/>
              <w:spacing w:beforeLines="20" w:after="0" w:line="240" w:lineRule="auto"/>
              <w:ind w:left="0" w:firstLine="0"/>
              <w:jc w:val="both"/>
              <w:rPr>
                <w:rFonts w:ascii="宋体" w:hAnsi="宋体" w:eastAsia="宋体" w:cs="Times New Roman"/>
                <w:color w:val="auto"/>
                <w:szCs w:val="24"/>
              </w:rPr>
            </w:pPr>
            <w:r>
              <w:rPr>
                <w:rFonts w:ascii="宋体" w:hAnsi="宋体" w:eastAsia="宋体" w:cs="Times New Roman"/>
                <w:color w:val="auto"/>
                <w:szCs w:val="24"/>
              </w:rPr>
              <w:t>4.</w:t>
            </w:r>
            <w:r>
              <w:rPr>
                <w:rFonts w:hint="eastAsia" w:ascii="宋体" w:hAnsi="宋体" w:eastAsia="宋体" w:cs="Times New Roman"/>
                <w:color w:val="auto"/>
                <w:szCs w:val="24"/>
              </w:rPr>
              <w:t>及时上报并拨打救援电话。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97" w:type="pct"/>
            <w:vMerge w:val="continue"/>
          </w:tcPr>
          <w:p>
            <w:pPr>
              <w:widowControl w:val="0"/>
              <w:spacing w:beforeLines="100" w:afterLines="50" w:line="360" w:lineRule="auto"/>
              <w:ind w:left="0" w:firstLine="0"/>
              <w:jc w:val="both"/>
              <w:rPr>
                <w:rFonts w:ascii="宋体" w:hAnsi="宋体" w:eastAsia="宋体" w:cs="Times New Roman"/>
                <w:b/>
                <w:color w:val="auto"/>
                <w:szCs w:val="24"/>
              </w:rPr>
            </w:pPr>
          </w:p>
        </w:tc>
        <w:tc>
          <w:tcPr>
            <w:tcW w:w="422" w:type="pct"/>
            <w:vMerge w:val="continue"/>
            <w:shd w:val="clear" w:color="auto" w:fill="FFFFFF" w:themeFill="background1"/>
            <w:vAlign w:val="center"/>
          </w:tcPr>
          <w:p>
            <w:pPr>
              <w:widowControl w:val="0"/>
              <w:spacing w:beforeLines="20" w:after="0" w:line="240" w:lineRule="auto"/>
              <w:ind w:left="0" w:firstLine="0"/>
              <w:jc w:val="center"/>
              <w:rPr>
                <w:rFonts w:ascii="宋体" w:hAnsi="宋体" w:eastAsia="宋体" w:cs="Times New Roman"/>
                <w:color w:val="auto"/>
                <w:szCs w:val="24"/>
              </w:rPr>
            </w:pPr>
          </w:p>
        </w:tc>
        <w:tc>
          <w:tcPr>
            <w:tcW w:w="514" w:type="pct"/>
            <w:tcBorders>
              <w:bottom w:val="single" w:color="auto" w:sz="4" w:space="0"/>
            </w:tcBorders>
            <w:shd w:val="clear" w:color="auto" w:fill="FAE600"/>
            <w:vAlign w:val="center"/>
          </w:tcPr>
          <w:p>
            <w:pPr>
              <w:widowControl w:val="0"/>
              <w:spacing w:beforeLines="20" w:after="0" w:line="240" w:lineRule="auto"/>
              <w:ind w:left="0" w:firstLine="0"/>
              <w:jc w:val="center"/>
              <w:rPr>
                <w:rFonts w:ascii="宋体" w:hAnsi="宋体" w:eastAsia="宋体" w:cs="Times New Roman"/>
                <w:b/>
                <w:color w:val="auto"/>
                <w:sz w:val="28"/>
                <w:szCs w:val="24"/>
              </w:rPr>
            </w:pPr>
            <w:r>
              <w:rPr>
                <w:rFonts w:ascii="宋体" w:hAnsi="宋体" w:eastAsia="宋体" w:cs="Times New Roman"/>
                <w:b/>
                <w:color w:val="auto"/>
                <w:sz w:val="28"/>
                <w:szCs w:val="24"/>
              </w:rPr>
              <w:t>食物中毒</w:t>
            </w:r>
          </w:p>
        </w:tc>
        <w:tc>
          <w:tcPr>
            <w:tcW w:w="1826" w:type="pct"/>
            <w:shd w:val="clear" w:color="auto" w:fill="FFFFFF" w:themeFill="background1"/>
            <w:vAlign w:val="center"/>
          </w:tcPr>
          <w:p>
            <w:pPr>
              <w:widowControl w:val="0"/>
              <w:spacing w:beforeLines="20" w:after="0" w:line="240" w:lineRule="auto"/>
              <w:ind w:left="0" w:firstLine="0"/>
              <w:jc w:val="both"/>
              <w:rPr>
                <w:rFonts w:ascii="宋体" w:hAnsi="宋体" w:eastAsia="宋体" w:cs="Times New Roman"/>
                <w:color w:val="auto"/>
                <w:szCs w:val="24"/>
              </w:rPr>
            </w:pPr>
            <w:r>
              <w:rPr>
                <w:rFonts w:hint="eastAsia" w:ascii="宋体" w:hAnsi="宋体" w:eastAsia="宋体" w:cs="Times New Roman"/>
                <w:color w:val="auto"/>
                <w:szCs w:val="24"/>
              </w:rPr>
              <w:t>1.食品及原材料正道采购、分类储存、及时清理；</w:t>
            </w:r>
          </w:p>
          <w:p>
            <w:pPr>
              <w:widowControl w:val="0"/>
              <w:spacing w:beforeLines="20" w:after="0" w:line="240" w:lineRule="auto"/>
              <w:ind w:left="0" w:firstLine="0"/>
              <w:jc w:val="both"/>
              <w:rPr>
                <w:rFonts w:ascii="宋体" w:hAnsi="宋体" w:eastAsia="宋体" w:cs="Times New Roman"/>
                <w:color w:val="auto"/>
                <w:szCs w:val="24"/>
              </w:rPr>
            </w:pPr>
            <w:r>
              <w:rPr>
                <w:rFonts w:hint="eastAsia" w:ascii="宋体" w:hAnsi="宋体" w:eastAsia="宋体" w:cs="Times New Roman"/>
                <w:color w:val="auto"/>
                <w:szCs w:val="24"/>
              </w:rPr>
              <w:t>2.食堂及个人卫生良好，无关人员不得进入后厨；</w:t>
            </w:r>
          </w:p>
          <w:p>
            <w:pPr>
              <w:widowControl w:val="0"/>
              <w:spacing w:beforeLines="20" w:after="0" w:line="240" w:lineRule="auto"/>
              <w:ind w:left="0" w:firstLine="0"/>
              <w:jc w:val="both"/>
              <w:rPr>
                <w:rFonts w:ascii="宋体" w:hAnsi="宋体" w:eastAsia="宋体" w:cs="Times New Roman"/>
                <w:color w:val="auto"/>
                <w:szCs w:val="24"/>
              </w:rPr>
            </w:pPr>
            <w:r>
              <w:rPr>
                <w:rFonts w:hint="eastAsia" w:ascii="宋体" w:hAnsi="宋体" w:eastAsia="宋体" w:cs="Times New Roman"/>
                <w:color w:val="auto"/>
                <w:szCs w:val="24"/>
              </w:rPr>
              <w:t>3.生熟区分、烹饪合规、留样规范。</w:t>
            </w:r>
            <w:r>
              <w:rPr>
                <w:rFonts w:ascii="宋体" w:hAnsi="宋体" w:eastAsia="宋体" w:cs="Times New Roman"/>
                <w:color w:val="auto"/>
                <w:szCs w:val="24"/>
              </w:rPr>
              <w:t xml:space="preserve"> </w:t>
            </w:r>
          </w:p>
        </w:tc>
        <w:tc>
          <w:tcPr>
            <w:tcW w:w="1641" w:type="pct"/>
            <w:shd w:val="clear" w:color="auto" w:fill="FFFFFF" w:themeFill="background1"/>
            <w:vAlign w:val="center"/>
          </w:tcPr>
          <w:p>
            <w:pPr>
              <w:widowControl w:val="0"/>
              <w:spacing w:beforeLines="20" w:after="0" w:line="240" w:lineRule="auto"/>
              <w:ind w:left="0" w:firstLine="0"/>
              <w:jc w:val="both"/>
              <w:rPr>
                <w:rFonts w:ascii="宋体" w:hAnsi="宋体" w:eastAsia="宋体" w:cs="Times New Roman"/>
                <w:color w:val="auto"/>
                <w:szCs w:val="24"/>
              </w:rPr>
            </w:pPr>
            <w:r>
              <w:rPr>
                <w:rFonts w:hint="eastAsia" w:ascii="宋体" w:hAnsi="宋体" w:eastAsia="宋体" w:cs="Times New Roman"/>
                <w:color w:val="auto"/>
                <w:szCs w:val="24"/>
              </w:rPr>
              <w:t>1.立即停止进食，封存食物；</w:t>
            </w:r>
          </w:p>
          <w:p>
            <w:pPr>
              <w:widowControl w:val="0"/>
              <w:spacing w:beforeLines="20" w:after="0" w:line="240" w:lineRule="auto"/>
              <w:ind w:left="0" w:firstLine="0"/>
              <w:jc w:val="both"/>
              <w:rPr>
                <w:rFonts w:ascii="宋体" w:hAnsi="宋体" w:eastAsia="宋体" w:cs="Times New Roman"/>
                <w:color w:val="auto"/>
                <w:szCs w:val="24"/>
              </w:rPr>
            </w:pPr>
            <w:r>
              <w:rPr>
                <w:rFonts w:hint="eastAsia" w:ascii="宋体" w:hAnsi="宋体" w:eastAsia="宋体" w:cs="Times New Roman"/>
                <w:color w:val="auto"/>
                <w:szCs w:val="24"/>
              </w:rPr>
              <w:t>2.积极抢救伤员，及时采取催吐等施救方式；</w:t>
            </w:r>
          </w:p>
          <w:p>
            <w:pPr>
              <w:widowControl w:val="0"/>
              <w:spacing w:beforeLines="20" w:after="0" w:line="240" w:lineRule="auto"/>
              <w:ind w:left="0" w:firstLine="0"/>
              <w:jc w:val="both"/>
              <w:rPr>
                <w:rFonts w:ascii="宋体" w:hAnsi="宋体" w:eastAsia="宋体" w:cs="Times New Roman"/>
                <w:color w:val="auto"/>
                <w:szCs w:val="24"/>
              </w:rPr>
            </w:pPr>
            <w:r>
              <w:rPr>
                <w:rFonts w:hint="eastAsia" w:ascii="宋体" w:hAnsi="宋体" w:eastAsia="宋体" w:cs="Times New Roman"/>
                <w:color w:val="auto"/>
                <w:szCs w:val="24"/>
              </w:rPr>
              <w:t>3.及时上报并拨打救援电话。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97" w:type="pct"/>
            <w:vMerge w:val="continue"/>
          </w:tcPr>
          <w:p>
            <w:pPr>
              <w:widowControl w:val="0"/>
              <w:spacing w:beforeLines="100" w:afterLines="50" w:line="360" w:lineRule="auto"/>
              <w:ind w:left="0" w:firstLine="0"/>
              <w:jc w:val="both"/>
              <w:rPr>
                <w:rFonts w:ascii="宋体" w:hAnsi="宋体" w:eastAsia="宋体" w:cs="Times New Roman"/>
                <w:b/>
                <w:color w:val="auto"/>
                <w:szCs w:val="24"/>
              </w:rPr>
            </w:pPr>
          </w:p>
        </w:tc>
        <w:tc>
          <w:tcPr>
            <w:tcW w:w="422" w:type="pct"/>
            <w:vMerge w:val="continue"/>
            <w:shd w:val="clear" w:color="auto" w:fill="FFFFFF" w:themeFill="background1"/>
            <w:vAlign w:val="center"/>
          </w:tcPr>
          <w:p>
            <w:pPr>
              <w:widowControl w:val="0"/>
              <w:spacing w:beforeLines="20" w:after="0" w:line="240" w:lineRule="auto"/>
              <w:ind w:left="0" w:firstLine="0"/>
              <w:jc w:val="center"/>
              <w:rPr>
                <w:rFonts w:ascii="宋体" w:hAnsi="宋体" w:eastAsia="宋体" w:cs="Times New Roman"/>
                <w:color w:val="auto"/>
                <w:szCs w:val="24"/>
              </w:rPr>
            </w:pPr>
          </w:p>
        </w:tc>
        <w:tc>
          <w:tcPr>
            <w:tcW w:w="514" w:type="pct"/>
            <w:shd w:val="clear" w:color="auto" w:fill="3764FF"/>
            <w:vAlign w:val="center"/>
          </w:tcPr>
          <w:p>
            <w:pPr>
              <w:widowControl w:val="0"/>
              <w:spacing w:beforeLines="20" w:after="0" w:line="240" w:lineRule="auto"/>
              <w:ind w:left="0" w:firstLine="0"/>
              <w:jc w:val="center"/>
              <w:rPr>
                <w:rFonts w:ascii="宋体" w:hAnsi="宋体" w:eastAsia="宋体" w:cs="Times New Roman"/>
                <w:b/>
                <w:color w:val="auto"/>
                <w:sz w:val="28"/>
                <w:szCs w:val="24"/>
              </w:rPr>
            </w:pPr>
            <w:r>
              <w:rPr>
                <w:rFonts w:ascii="宋体" w:hAnsi="宋体" w:eastAsia="宋体" w:cs="Times New Roman"/>
                <w:b/>
                <w:color w:val="auto"/>
                <w:sz w:val="28"/>
                <w:szCs w:val="24"/>
              </w:rPr>
              <w:t>触电</w:t>
            </w:r>
          </w:p>
        </w:tc>
        <w:tc>
          <w:tcPr>
            <w:tcW w:w="1826" w:type="pct"/>
            <w:shd w:val="clear" w:color="auto" w:fill="FFFFFF" w:themeFill="background1"/>
            <w:vAlign w:val="center"/>
          </w:tcPr>
          <w:p>
            <w:pPr>
              <w:widowControl w:val="0"/>
              <w:spacing w:beforeLines="20" w:after="0" w:line="240" w:lineRule="auto"/>
              <w:ind w:left="0" w:firstLine="0"/>
              <w:jc w:val="both"/>
              <w:rPr>
                <w:rFonts w:ascii="宋体" w:hAnsi="宋体" w:eastAsia="宋体" w:cs="Times New Roman"/>
                <w:color w:val="auto"/>
                <w:szCs w:val="24"/>
              </w:rPr>
            </w:pPr>
            <w:r>
              <w:rPr>
                <w:rFonts w:ascii="宋体" w:hAnsi="宋体" w:eastAsia="宋体" w:cs="Times New Roman"/>
                <w:color w:val="auto"/>
                <w:szCs w:val="24"/>
              </w:rPr>
              <w:t>1.</w:t>
            </w:r>
            <w:r>
              <w:rPr>
                <w:rFonts w:hint="eastAsia" w:ascii="宋体" w:hAnsi="宋体" w:eastAsia="宋体" w:cs="Times New Roman"/>
                <w:color w:val="auto"/>
                <w:szCs w:val="24"/>
              </w:rPr>
              <w:t>按规定使用电器产品，不得私拉乱接、使用不合格电气产品；</w:t>
            </w:r>
            <w:r>
              <w:rPr>
                <w:rFonts w:ascii="宋体" w:hAnsi="宋体" w:eastAsia="宋体" w:cs="Times New Roman"/>
                <w:color w:val="auto"/>
                <w:szCs w:val="24"/>
              </w:rPr>
              <w:t xml:space="preserve"> </w:t>
            </w:r>
          </w:p>
          <w:p>
            <w:pPr>
              <w:widowControl w:val="0"/>
              <w:spacing w:beforeLines="20" w:after="0" w:line="240" w:lineRule="auto"/>
              <w:ind w:left="0" w:firstLine="0"/>
              <w:jc w:val="both"/>
              <w:rPr>
                <w:rFonts w:ascii="宋体" w:hAnsi="宋体" w:eastAsia="宋体" w:cs="Times New Roman"/>
                <w:color w:val="auto"/>
                <w:szCs w:val="24"/>
              </w:rPr>
            </w:pPr>
            <w:r>
              <w:rPr>
                <w:rFonts w:ascii="宋体" w:hAnsi="宋体" w:eastAsia="宋体" w:cs="Times New Roman"/>
                <w:color w:val="auto"/>
                <w:szCs w:val="24"/>
              </w:rPr>
              <w:t>2.</w:t>
            </w:r>
            <w:r>
              <w:rPr>
                <w:rFonts w:hint="eastAsia" w:ascii="宋体" w:hAnsi="宋体" w:eastAsia="宋体" w:cs="Times New Roman"/>
                <w:color w:val="auto"/>
                <w:szCs w:val="24"/>
              </w:rPr>
              <w:t>人走电断；3.非电气作业人员不得检修电气设备。</w:t>
            </w:r>
          </w:p>
        </w:tc>
        <w:tc>
          <w:tcPr>
            <w:tcW w:w="1641" w:type="pct"/>
            <w:shd w:val="clear" w:color="auto" w:fill="FFFFFF" w:themeFill="background1"/>
            <w:vAlign w:val="center"/>
          </w:tcPr>
          <w:p>
            <w:pPr>
              <w:widowControl w:val="0"/>
              <w:spacing w:beforeLines="20" w:after="0" w:line="240" w:lineRule="auto"/>
              <w:ind w:left="0" w:firstLine="0"/>
              <w:jc w:val="both"/>
              <w:rPr>
                <w:rFonts w:ascii="宋体" w:hAnsi="宋体" w:eastAsia="宋体" w:cs="Times New Roman"/>
                <w:color w:val="auto"/>
                <w:szCs w:val="24"/>
              </w:rPr>
            </w:pPr>
            <w:r>
              <w:rPr>
                <w:rFonts w:ascii="宋体" w:hAnsi="宋体" w:eastAsia="宋体" w:cs="Times New Roman"/>
                <w:color w:val="auto"/>
                <w:szCs w:val="24"/>
              </w:rPr>
              <w:t>1.</w:t>
            </w:r>
            <w:r>
              <w:rPr>
                <w:rFonts w:hint="eastAsia" w:ascii="宋体" w:hAnsi="宋体" w:eastAsia="宋体" w:cs="Times New Roman"/>
                <w:color w:val="auto"/>
                <w:szCs w:val="24"/>
              </w:rPr>
              <w:t>切断电源；</w:t>
            </w:r>
            <w:r>
              <w:rPr>
                <w:rFonts w:ascii="宋体" w:hAnsi="宋体" w:eastAsia="宋体" w:cs="Times New Roman"/>
                <w:color w:val="auto"/>
                <w:szCs w:val="24"/>
              </w:rPr>
              <w:t>2.</w:t>
            </w:r>
            <w:r>
              <w:rPr>
                <w:rFonts w:hint="eastAsia" w:ascii="宋体" w:hAnsi="宋体" w:eastAsia="宋体" w:cs="Times New Roman"/>
                <w:color w:val="auto"/>
                <w:szCs w:val="24"/>
              </w:rPr>
              <w:t>用绝缘物体挑开带电物体；</w:t>
            </w:r>
            <w:r>
              <w:rPr>
                <w:rFonts w:ascii="宋体" w:hAnsi="宋体" w:eastAsia="宋体" w:cs="Times New Roman"/>
                <w:color w:val="auto"/>
                <w:szCs w:val="24"/>
              </w:rPr>
              <w:t>3.</w:t>
            </w:r>
            <w:r>
              <w:rPr>
                <w:rFonts w:hint="eastAsia" w:ascii="宋体" w:hAnsi="宋体" w:eastAsia="宋体" w:cs="Times New Roman"/>
                <w:color w:val="auto"/>
                <w:szCs w:val="24"/>
              </w:rPr>
              <w:t>积极抢救伤员：若触电者失去知觉，应使其平卧；若触电者呼吸、脉搏停止，实施人工呼吸或胸外心脏挤压；</w:t>
            </w:r>
            <w:r>
              <w:rPr>
                <w:rFonts w:ascii="宋体" w:hAnsi="宋体" w:eastAsia="宋体" w:cs="Times New Roman"/>
                <w:color w:val="auto"/>
                <w:szCs w:val="24"/>
              </w:rPr>
              <w:t>4.</w:t>
            </w:r>
            <w:r>
              <w:rPr>
                <w:rFonts w:hint="eastAsia" w:ascii="宋体" w:hAnsi="宋体" w:eastAsia="宋体" w:cs="Times New Roman"/>
                <w:color w:val="auto"/>
                <w:szCs w:val="24"/>
              </w:rPr>
              <w:t>上报并拨打救援电话。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97" w:type="pct"/>
            <w:vMerge w:val="continue"/>
            <w:tcBorders>
              <w:bottom w:val="single" w:color="auto" w:sz="4" w:space="0"/>
            </w:tcBorders>
          </w:tcPr>
          <w:p>
            <w:pPr>
              <w:widowControl w:val="0"/>
              <w:spacing w:beforeLines="100" w:afterLines="50" w:line="360" w:lineRule="auto"/>
              <w:ind w:left="0" w:firstLine="0"/>
              <w:jc w:val="both"/>
              <w:rPr>
                <w:rFonts w:ascii="宋体" w:hAnsi="宋体" w:eastAsia="宋体" w:cs="Times New Roman"/>
                <w:b/>
                <w:color w:val="auto"/>
                <w:szCs w:val="24"/>
              </w:rPr>
            </w:pPr>
          </w:p>
        </w:tc>
        <w:tc>
          <w:tcPr>
            <w:tcW w:w="422" w:type="pct"/>
            <w:vMerge w:val="continue"/>
            <w:tcBorders>
              <w:bottom w:val="single" w:color="auto" w:sz="4" w:space="0"/>
            </w:tcBorders>
            <w:shd w:val="clear" w:color="auto" w:fill="FFFFFF" w:themeFill="background1"/>
            <w:vAlign w:val="center"/>
          </w:tcPr>
          <w:p>
            <w:pPr>
              <w:widowControl w:val="0"/>
              <w:spacing w:beforeLines="20" w:after="0" w:line="240" w:lineRule="auto"/>
              <w:ind w:left="0" w:firstLine="0"/>
              <w:jc w:val="center"/>
              <w:rPr>
                <w:rFonts w:ascii="宋体" w:hAnsi="宋体" w:eastAsia="宋体" w:cs="Times New Roman"/>
                <w:color w:val="auto"/>
                <w:szCs w:val="24"/>
              </w:rPr>
            </w:pPr>
          </w:p>
        </w:tc>
        <w:tc>
          <w:tcPr>
            <w:tcW w:w="514" w:type="pct"/>
            <w:tcBorders>
              <w:bottom w:val="single" w:color="auto" w:sz="4" w:space="0"/>
            </w:tcBorders>
            <w:shd w:val="clear" w:color="auto" w:fill="3764FF"/>
            <w:vAlign w:val="center"/>
          </w:tcPr>
          <w:p>
            <w:pPr>
              <w:widowControl w:val="0"/>
              <w:spacing w:beforeLines="20" w:after="0" w:line="240" w:lineRule="auto"/>
              <w:ind w:left="0" w:firstLine="0"/>
              <w:jc w:val="center"/>
              <w:rPr>
                <w:rFonts w:ascii="宋体" w:hAnsi="宋体" w:eastAsia="宋体" w:cs="Times New Roman"/>
                <w:b/>
                <w:color w:val="auto"/>
                <w:sz w:val="28"/>
                <w:szCs w:val="24"/>
              </w:rPr>
            </w:pPr>
            <w:r>
              <w:rPr>
                <w:rFonts w:ascii="宋体" w:hAnsi="宋体" w:eastAsia="宋体" w:cs="Times New Roman"/>
                <w:b/>
                <w:color w:val="auto"/>
                <w:sz w:val="28"/>
                <w:szCs w:val="24"/>
              </w:rPr>
              <w:t>灼烫</w:t>
            </w:r>
            <w:r>
              <w:rPr>
                <w:rFonts w:hint="eastAsia" w:ascii="宋体" w:hAnsi="宋体" w:eastAsia="宋体" w:cs="Times New Roman"/>
                <w:b/>
                <w:color w:val="auto"/>
                <w:sz w:val="28"/>
                <w:szCs w:val="24"/>
              </w:rPr>
              <w:t>、</w:t>
            </w:r>
            <w:r>
              <w:rPr>
                <w:rFonts w:ascii="宋体" w:hAnsi="宋体" w:eastAsia="宋体" w:cs="Times New Roman"/>
                <w:b/>
                <w:color w:val="auto"/>
                <w:sz w:val="28"/>
                <w:szCs w:val="24"/>
              </w:rPr>
              <w:t>割伤</w:t>
            </w:r>
            <w:r>
              <w:rPr>
                <w:rFonts w:hint="eastAsia" w:ascii="宋体" w:hAnsi="宋体" w:eastAsia="宋体" w:cs="Times New Roman"/>
                <w:b/>
                <w:color w:val="auto"/>
                <w:sz w:val="28"/>
                <w:szCs w:val="24"/>
              </w:rPr>
              <w:t>、摔伤等</w:t>
            </w:r>
          </w:p>
        </w:tc>
        <w:tc>
          <w:tcPr>
            <w:tcW w:w="1826" w:type="pct"/>
            <w:tcBorders>
              <w:bottom w:val="single" w:color="auto" w:sz="4" w:space="0"/>
            </w:tcBorders>
            <w:shd w:val="clear" w:color="auto" w:fill="FFFFFF" w:themeFill="background1"/>
            <w:vAlign w:val="center"/>
          </w:tcPr>
          <w:p>
            <w:pPr>
              <w:widowControl w:val="0"/>
              <w:spacing w:beforeLines="20" w:after="0" w:line="240" w:lineRule="auto"/>
              <w:ind w:left="0" w:firstLine="0"/>
              <w:jc w:val="both"/>
              <w:rPr>
                <w:rFonts w:ascii="宋体" w:hAnsi="宋体" w:eastAsia="宋体" w:cs="Times New Roman"/>
                <w:color w:val="auto"/>
                <w:szCs w:val="24"/>
              </w:rPr>
            </w:pPr>
            <w:r>
              <w:rPr>
                <w:rFonts w:hint="eastAsia" w:ascii="宋体" w:hAnsi="宋体" w:eastAsia="宋体" w:cs="Times New Roman"/>
                <w:color w:val="auto"/>
                <w:szCs w:val="24"/>
              </w:rPr>
              <w:t>1.作业时穿戴合格的防护用品；2.加强安全教育培训。</w:t>
            </w:r>
          </w:p>
        </w:tc>
        <w:tc>
          <w:tcPr>
            <w:tcW w:w="1641" w:type="pct"/>
            <w:tcBorders>
              <w:bottom w:val="single" w:color="auto" w:sz="4" w:space="0"/>
            </w:tcBorders>
            <w:shd w:val="clear" w:color="auto" w:fill="FFFFFF" w:themeFill="background1"/>
            <w:vAlign w:val="center"/>
          </w:tcPr>
          <w:p>
            <w:pPr>
              <w:widowControl w:val="0"/>
              <w:spacing w:beforeLines="20" w:after="0" w:line="240" w:lineRule="auto"/>
              <w:ind w:left="0" w:firstLine="0"/>
              <w:jc w:val="both"/>
              <w:rPr>
                <w:rFonts w:ascii="宋体" w:hAnsi="宋体" w:eastAsia="宋体" w:cs="Times New Roman"/>
                <w:color w:val="auto"/>
                <w:szCs w:val="24"/>
              </w:rPr>
            </w:pPr>
            <w:r>
              <w:rPr>
                <w:rFonts w:hint="eastAsia" w:ascii="宋体" w:hAnsi="宋体" w:eastAsia="宋体" w:cs="Times New Roman"/>
                <w:color w:val="auto"/>
                <w:szCs w:val="24"/>
              </w:rPr>
              <w:t>1.根据伤害类型及时施救；2.及时上报并拨打救援电话。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533" w:type="pct"/>
            <w:gridSpan w:val="3"/>
            <w:tcBorders>
              <w:bottom w:val="single" w:color="auto" w:sz="4" w:space="0"/>
            </w:tcBorders>
            <w:shd w:val="clear" w:color="auto" w:fill="F1F1F1" w:themeFill="background1" w:themeFillShade="F2"/>
            <w:vAlign w:val="center"/>
          </w:tcPr>
          <w:p>
            <w:pPr>
              <w:widowControl w:val="0"/>
              <w:spacing w:beforeLines="20" w:after="0" w:line="240" w:lineRule="auto"/>
              <w:ind w:left="0" w:firstLine="0"/>
              <w:jc w:val="left"/>
              <w:rPr>
                <w:rFonts w:ascii="宋体" w:hAnsi="宋体" w:eastAsia="宋体" w:cs="Times New Roman"/>
                <w:b/>
                <w:color w:val="auto"/>
                <w:kern w:val="0"/>
                <w:szCs w:val="24"/>
              </w:rPr>
            </w:pPr>
            <w:r>
              <w:rPr>
                <w:rFonts w:hint="eastAsia" w:ascii="宋体" w:hAnsi="宋体" w:eastAsia="宋体" w:cs="Times New Roman"/>
                <w:b/>
                <w:color w:val="auto"/>
                <w:kern w:val="0"/>
                <w:szCs w:val="24"/>
              </w:rPr>
              <w:t>值班</w:t>
            </w:r>
            <w:r>
              <w:rPr>
                <w:rFonts w:ascii="宋体" w:hAnsi="宋体" w:eastAsia="宋体" w:cs="Times New Roman"/>
                <w:b/>
                <w:color w:val="auto"/>
                <w:kern w:val="0"/>
                <w:szCs w:val="24"/>
              </w:rPr>
              <w:t>电话</w:t>
            </w:r>
            <w:r>
              <w:rPr>
                <w:rFonts w:hint="eastAsia" w:ascii="宋体" w:hAnsi="宋体" w:eastAsia="宋体" w:cs="Times New Roman"/>
                <w:b/>
                <w:color w:val="auto"/>
                <w:kern w:val="0"/>
                <w:szCs w:val="24"/>
              </w:rPr>
              <w:t>：</w:t>
            </w:r>
          </w:p>
        </w:tc>
        <w:tc>
          <w:tcPr>
            <w:tcW w:w="3467" w:type="pct"/>
            <w:gridSpan w:val="2"/>
            <w:tcBorders>
              <w:bottom w:val="single" w:color="auto" w:sz="4" w:space="0"/>
            </w:tcBorders>
            <w:shd w:val="clear" w:color="auto" w:fill="F1F1F1" w:themeFill="background1" w:themeFillShade="F2"/>
            <w:vAlign w:val="center"/>
          </w:tcPr>
          <w:p>
            <w:pPr>
              <w:widowControl w:val="0"/>
              <w:spacing w:beforeLines="20" w:after="0" w:line="240" w:lineRule="auto"/>
              <w:ind w:left="0" w:firstLine="0"/>
              <w:jc w:val="center"/>
              <w:rPr>
                <w:rFonts w:ascii="宋体" w:hAnsi="宋体" w:eastAsia="宋体" w:cs="Times New Roman"/>
                <w:b/>
                <w:color w:val="auto"/>
                <w:kern w:val="0"/>
                <w:szCs w:val="24"/>
              </w:rPr>
            </w:pPr>
            <w:r>
              <w:rPr>
                <w:rFonts w:ascii="宋体" w:hAnsi="宋体" w:eastAsia="宋体" w:cs="Times New Roman"/>
                <w:b/>
                <w:color w:val="auto"/>
                <w:kern w:val="0"/>
                <w:szCs w:val="24"/>
              </w:rPr>
              <w:t>救援电话</w:t>
            </w:r>
            <w:r>
              <w:rPr>
                <w:rFonts w:hint="eastAsia" w:ascii="宋体" w:hAnsi="宋体" w:eastAsia="宋体" w:cs="Times New Roman"/>
                <w:b/>
                <w:color w:val="auto"/>
                <w:kern w:val="0"/>
                <w:szCs w:val="24"/>
              </w:rPr>
              <w:t xml:space="preserve">： </w:t>
            </w:r>
            <w:r>
              <w:rPr>
                <w:rFonts w:ascii="宋体" w:hAnsi="宋体" w:eastAsia="宋体" w:cs="Times New Roman"/>
                <w:b/>
                <w:color w:val="auto"/>
                <w:kern w:val="0"/>
                <w:szCs w:val="24"/>
              </w:rPr>
              <w:t xml:space="preserve">        </w:t>
            </w:r>
            <w:r>
              <w:rPr>
                <w:rFonts w:hint="eastAsia" w:ascii="宋体" w:hAnsi="宋体" w:eastAsia="宋体" w:cs="Times New Roman"/>
                <w:b/>
                <w:color w:val="auto"/>
                <w:kern w:val="0"/>
                <w:szCs w:val="24"/>
              </w:rPr>
              <w:t xml:space="preserve">  </w:t>
            </w:r>
            <w:r>
              <w:rPr>
                <w:rFonts w:ascii="宋体" w:hAnsi="宋体" w:eastAsia="宋体" w:cs="Times New Roman"/>
                <w:b/>
                <w:color w:val="auto"/>
                <w:kern w:val="0"/>
                <w:szCs w:val="24"/>
              </w:rPr>
              <w:t>消防</w:t>
            </w:r>
            <w:r>
              <w:rPr>
                <w:rFonts w:hint="eastAsia" w:ascii="宋体" w:hAnsi="宋体" w:eastAsia="宋体" w:cs="Times New Roman"/>
                <w:b/>
                <w:color w:val="auto"/>
                <w:kern w:val="0"/>
                <w:szCs w:val="24"/>
              </w:rPr>
              <w:t>：119    急救：120    公安：110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000" w:type="pct"/>
            <w:gridSpan w:val="5"/>
            <w:shd w:val="clear" w:color="auto" w:fill="FFFFFF" w:themeFill="background1"/>
            <w:vAlign w:val="center"/>
          </w:tcPr>
          <w:p>
            <w:pPr>
              <w:widowControl w:val="0"/>
              <w:spacing w:beforeLines="20" w:after="0" w:line="240" w:lineRule="auto"/>
              <w:ind w:left="0" w:firstLine="0"/>
              <w:jc w:val="left"/>
              <w:rPr>
                <w:rFonts w:ascii="宋体" w:hAnsi="宋体" w:eastAsia="宋体" w:cs="Times New Roman"/>
                <w:b/>
                <w:color w:val="auto"/>
                <w:szCs w:val="24"/>
              </w:rPr>
            </w:pPr>
            <w:r>
              <w:rPr>
                <w:rFonts w:ascii="宋体" w:hAnsi="宋体" w:eastAsia="宋体" w:cs="Times New Roman"/>
                <w:b/>
                <w:color w:val="auto"/>
                <w:szCs w:val="24"/>
              </w:rPr>
              <w:t>作业小组成员</w:t>
            </w:r>
            <w:r>
              <w:rPr>
                <w:rFonts w:hint="eastAsia" w:ascii="宋体" w:hAnsi="宋体" w:eastAsia="宋体" w:cs="Times New Roman"/>
                <w:b/>
                <w:color w:val="auto"/>
                <w:szCs w:val="24"/>
              </w:rPr>
              <w:t>：</w:t>
            </w:r>
          </w:p>
        </w:tc>
      </w:tr>
    </w:tbl>
    <w:p>
      <w:pPr>
        <w:widowControl w:val="0"/>
        <w:spacing w:after="0" w:line="560" w:lineRule="exact"/>
        <w:ind w:left="10" w:hangingChars="3"/>
        <w:jc w:val="center"/>
        <w:rPr>
          <w:rFonts w:cs="宋体"/>
          <w:color w:val="auto"/>
          <w:sz w:val="22"/>
          <w:szCs w:val="24"/>
        </w:rPr>
      </w:pPr>
      <w:r>
        <w:rPr>
          <w:rFonts w:hint="eastAsia" w:ascii="华文隶书" w:hAnsi="华文中宋" w:eastAsia="华文隶书"/>
          <w:b/>
          <w:color w:val="auto"/>
          <w:sz w:val="32"/>
          <w:szCs w:val="32"/>
        </w:rPr>
        <w:t>安全第一      预防为主                               防风险     除隐患     遏事故</w:t>
      </w:r>
    </w:p>
    <w:p>
      <w:pPr>
        <w:spacing w:after="0" w:line="240" w:lineRule="auto"/>
        <w:ind w:left="0" w:firstLine="0"/>
        <w:rPr>
          <w:rFonts w:ascii="华文中宋" w:hAnsi="华文中宋" w:eastAsia="华文中宋" w:cstheme="minorBidi"/>
          <w:color w:val="auto"/>
          <w:sz w:val="28"/>
        </w:rPr>
      </w:pPr>
      <w:r>
        <w:rPr>
          <w:rFonts w:ascii="华文中宋" w:hAnsi="华文中宋" w:eastAsia="华文中宋" w:cstheme="minorBidi"/>
          <w:color w:val="auto"/>
          <w:sz w:val="28"/>
        </w:rPr>
        <w:br w:type="page"/>
      </w:r>
    </w:p>
    <w:p>
      <w:pPr>
        <w:widowControl w:val="0"/>
        <w:spacing w:after="0" w:line="240" w:lineRule="auto"/>
        <w:ind w:left="0" w:firstLine="0"/>
        <w:jc w:val="center"/>
        <w:rPr>
          <w:rFonts w:ascii="华文中宋" w:hAnsi="华文中宋" w:eastAsia="华文中宋" w:cstheme="minorBidi"/>
          <w:color w:val="auto"/>
          <w:sz w:val="28"/>
        </w:rPr>
      </w:pPr>
      <w:r>
        <w:rPr>
          <w:rFonts w:hint="eastAsia" w:cs="Calibri" w:asciiTheme="minorEastAsia" w:hAnsiTheme="minorEastAsia" w:eastAsiaTheme="minorEastAsia"/>
          <w:b/>
          <w:color w:val="auto"/>
          <w:szCs w:val="24"/>
        </w:rPr>
        <w:tab/>
      </w:r>
      <w:r>
        <w:rPr>
          <w:rFonts w:hint="eastAsia" w:ascii="华文中宋" w:hAnsi="华文中宋" w:eastAsia="华文中宋" w:cstheme="minorBidi"/>
          <w:color w:val="auto"/>
          <w:sz w:val="28"/>
        </w:rPr>
        <w:t>收费站岗位风险告知卡</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3"/>
        <w:gridCol w:w="1275"/>
        <w:gridCol w:w="1408"/>
        <w:gridCol w:w="5246"/>
        <w:gridCol w:w="51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91" w:type="pct"/>
            <w:shd w:val="clear" w:color="auto" w:fill="F1F1F1" w:themeFill="background1" w:themeFillShade="F2"/>
            <w:vAlign w:val="center"/>
          </w:tcPr>
          <w:p>
            <w:pPr>
              <w:widowControl w:val="0"/>
              <w:spacing w:after="0" w:line="240" w:lineRule="auto"/>
              <w:ind w:left="0" w:firstLine="0"/>
              <w:jc w:val="center"/>
              <w:rPr>
                <w:rFonts w:ascii="宋体" w:hAnsi="宋体" w:eastAsia="宋体" w:cs="Times New Roman"/>
                <w:b/>
                <w:color w:val="auto"/>
                <w:szCs w:val="24"/>
              </w:rPr>
            </w:pPr>
            <w:r>
              <w:rPr>
                <w:rFonts w:ascii="宋体" w:hAnsi="宋体" w:eastAsia="宋体" w:cs="Times New Roman"/>
                <w:b/>
                <w:color w:val="auto"/>
                <w:szCs w:val="24"/>
              </w:rPr>
              <w:t>岗位</w:t>
            </w:r>
            <w:r>
              <w:rPr>
                <w:rFonts w:hint="eastAsia" w:ascii="宋体" w:hAnsi="宋体" w:eastAsia="宋体" w:cs="Times New Roman"/>
                <w:b/>
                <w:color w:val="auto"/>
                <w:szCs w:val="24"/>
              </w:rPr>
              <w:t>：保洁</w:t>
            </w:r>
          </w:p>
        </w:tc>
        <w:tc>
          <w:tcPr>
            <w:tcW w:w="421" w:type="pct"/>
            <w:tcBorders>
              <w:bottom w:val="single" w:color="auto" w:sz="4" w:space="0"/>
            </w:tcBorders>
            <w:shd w:val="clear" w:color="auto" w:fill="F1F1F1" w:themeFill="background1" w:themeFillShade="F2"/>
            <w:vAlign w:val="center"/>
          </w:tcPr>
          <w:p>
            <w:pPr>
              <w:widowControl w:val="0"/>
              <w:spacing w:after="0" w:line="240" w:lineRule="auto"/>
              <w:ind w:left="0" w:firstLine="0"/>
              <w:jc w:val="center"/>
              <w:rPr>
                <w:rFonts w:ascii="宋体" w:hAnsi="宋体" w:eastAsia="宋体" w:cs="Times New Roman"/>
                <w:b/>
                <w:color w:val="auto"/>
                <w:szCs w:val="24"/>
              </w:rPr>
            </w:pPr>
            <w:r>
              <w:rPr>
                <w:rFonts w:hint="eastAsia" w:ascii="宋体" w:hAnsi="宋体" w:eastAsia="宋体" w:cs="Times New Roman"/>
                <w:b/>
                <w:color w:val="auto"/>
                <w:szCs w:val="24"/>
              </w:rPr>
              <w:t>风险点</w:t>
            </w:r>
          </w:p>
        </w:tc>
        <w:tc>
          <w:tcPr>
            <w:tcW w:w="465" w:type="pct"/>
            <w:tcBorders>
              <w:bottom w:val="single" w:color="auto" w:sz="4" w:space="0"/>
            </w:tcBorders>
            <w:shd w:val="clear" w:color="auto" w:fill="F1F1F1" w:themeFill="background1" w:themeFillShade="F2"/>
            <w:vAlign w:val="center"/>
          </w:tcPr>
          <w:p>
            <w:pPr>
              <w:widowControl w:val="0"/>
              <w:spacing w:after="0" w:line="240" w:lineRule="auto"/>
              <w:ind w:left="0" w:firstLine="0"/>
              <w:jc w:val="center"/>
              <w:rPr>
                <w:rFonts w:ascii="宋体" w:hAnsi="宋体" w:eastAsia="宋体" w:cs="Times New Roman"/>
                <w:b/>
                <w:color w:val="auto"/>
                <w:szCs w:val="24"/>
              </w:rPr>
            </w:pPr>
            <w:r>
              <w:rPr>
                <w:rFonts w:hint="eastAsia" w:ascii="宋体" w:hAnsi="宋体" w:eastAsia="宋体" w:cs="Times New Roman"/>
                <w:b/>
                <w:color w:val="auto"/>
                <w:szCs w:val="24"/>
              </w:rPr>
              <w:t>风险事件</w:t>
            </w:r>
          </w:p>
        </w:tc>
        <w:tc>
          <w:tcPr>
            <w:tcW w:w="1732" w:type="pct"/>
            <w:tcBorders>
              <w:bottom w:val="single" w:color="auto" w:sz="4" w:space="0"/>
            </w:tcBorders>
            <w:shd w:val="clear" w:color="auto" w:fill="F1F1F1" w:themeFill="background1" w:themeFillShade="F2"/>
            <w:vAlign w:val="center"/>
          </w:tcPr>
          <w:p>
            <w:pPr>
              <w:widowControl w:val="0"/>
              <w:spacing w:after="0" w:line="240" w:lineRule="auto"/>
              <w:ind w:left="0" w:firstLine="0"/>
              <w:jc w:val="center"/>
              <w:rPr>
                <w:rFonts w:ascii="宋体" w:hAnsi="宋体" w:eastAsia="宋体" w:cs="Times New Roman"/>
                <w:b/>
                <w:color w:val="auto"/>
                <w:szCs w:val="24"/>
              </w:rPr>
            </w:pPr>
            <w:r>
              <w:rPr>
                <w:rFonts w:ascii="宋体" w:hAnsi="宋体" w:eastAsia="宋体" w:cs="Times New Roman"/>
                <w:b/>
                <w:color w:val="auto"/>
                <w:szCs w:val="24"/>
              </w:rPr>
              <w:t>风险管控措施</w:t>
            </w:r>
          </w:p>
        </w:tc>
        <w:tc>
          <w:tcPr>
            <w:tcW w:w="1691" w:type="pct"/>
            <w:tcBorders>
              <w:bottom w:val="single" w:color="auto" w:sz="4" w:space="0"/>
            </w:tcBorders>
            <w:shd w:val="clear" w:color="auto" w:fill="F1F1F1" w:themeFill="background1" w:themeFillShade="F2"/>
            <w:vAlign w:val="center"/>
          </w:tcPr>
          <w:p>
            <w:pPr>
              <w:widowControl w:val="0"/>
              <w:spacing w:after="0" w:line="240" w:lineRule="auto"/>
              <w:ind w:left="0" w:firstLine="0"/>
              <w:jc w:val="center"/>
              <w:rPr>
                <w:rFonts w:ascii="宋体" w:hAnsi="宋体" w:eastAsia="宋体" w:cs="Times New Roman"/>
                <w:b/>
                <w:color w:val="auto"/>
                <w:szCs w:val="24"/>
              </w:rPr>
            </w:pPr>
            <w:r>
              <w:rPr>
                <w:rFonts w:ascii="宋体" w:hAnsi="宋体" w:eastAsia="宋体" w:cs="Times New Roman"/>
                <w:b/>
                <w:color w:val="auto"/>
                <w:szCs w:val="24"/>
              </w:rPr>
              <w:t>应急处置措施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91" w:type="pct"/>
            <w:vMerge w:val="restart"/>
          </w:tcPr>
          <w:p>
            <w:pPr>
              <w:widowControl w:val="0"/>
              <w:spacing w:beforeLines="100" w:afterLines="50" w:line="360" w:lineRule="auto"/>
              <w:ind w:left="0" w:firstLine="0"/>
              <w:jc w:val="left"/>
              <w:rPr>
                <w:rFonts w:ascii="宋体" w:hAnsi="宋体" w:eastAsia="宋体" w:cs="Times New Roman"/>
                <w:b/>
                <w:color w:val="auto"/>
                <w:szCs w:val="24"/>
              </w:rPr>
            </w:pPr>
            <w:r>
              <w:rPr>
                <w:rFonts w:hint="eastAsia" w:ascii="宋体" w:hAnsi="宋体" w:eastAsia="宋体" w:cs="Times New Roman"/>
                <w:b/>
                <w:color w:val="auto"/>
                <w:szCs w:val="24"/>
              </w:rPr>
              <w:t>作业步骤/</w:t>
            </w:r>
            <w:r>
              <w:rPr>
                <w:rFonts w:ascii="宋体" w:hAnsi="宋体" w:eastAsia="宋体" w:cs="Times New Roman"/>
                <w:b/>
                <w:color w:val="auto"/>
                <w:szCs w:val="24"/>
              </w:rPr>
              <w:t>内容</w:t>
            </w:r>
            <w:r>
              <w:rPr>
                <w:rFonts w:hint="eastAsia" w:ascii="宋体" w:hAnsi="宋体" w:eastAsia="宋体" w:cs="Times New Roman"/>
                <w:b/>
                <w:color w:val="auto"/>
                <w:szCs w:val="24"/>
              </w:rPr>
              <w:t>：</w:t>
            </w:r>
          </w:p>
          <w:p>
            <w:pPr>
              <w:widowControl w:val="0"/>
              <w:spacing w:beforeLines="100" w:afterLines="50" w:line="240" w:lineRule="auto"/>
              <w:ind w:left="0" w:firstLine="0"/>
              <w:jc w:val="both"/>
              <w:rPr>
                <w:rFonts w:eastAsia="宋体" w:cs="宋体"/>
                <w:color w:val="auto"/>
                <w:szCs w:val="24"/>
              </w:rPr>
            </w:pPr>
            <w:r>
              <w:rPr>
                <w:rFonts w:hint="eastAsia" w:ascii="Calibri" w:hAnsi="Calibri" w:eastAsia="宋体" w:cs="Times New Roman"/>
                <w:color w:val="auto"/>
                <w:szCs w:val="24"/>
              </w:rPr>
              <w:t>作业前检查</w:t>
            </w:r>
            <w:r>
              <w:rPr>
                <w:rFonts w:hint="eastAsia" w:ascii="宋体" w:hAnsi="宋体" w:eastAsia="宋体" w:cs="Times New Roman"/>
                <w:color w:val="auto"/>
                <w:szCs w:val="24"/>
              </w:rPr>
              <w:t>→保洁</w:t>
            </w:r>
            <w:r>
              <w:rPr>
                <w:rFonts w:hint="eastAsia" w:ascii="Calibri" w:hAnsi="Calibri" w:eastAsia="宋体" w:cs="Times New Roman"/>
                <w:color w:val="auto"/>
                <w:szCs w:val="24"/>
              </w:rPr>
              <w:t>作业</w:t>
            </w:r>
            <w:r>
              <w:rPr>
                <w:rFonts w:hint="eastAsia" w:ascii="宋体" w:hAnsi="宋体" w:eastAsia="宋体" w:cs="Times New Roman"/>
                <w:color w:val="auto"/>
                <w:szCs w:val="24"/>
              </w:rPr>
              <w:t>→</w:t>
            </w:r>
            <w:r>
              <w:rPr>
                <w:rFonts w:hint="eastAsia" w:ascii="Calibri" w:hAnsi="Calibri" w:eastAsia="宋体" w:cs="Times New Roman"/>
                <w:color w:val="auto"/>
                <w:szCs w:val="24"/>
              </w:rPr>
              <w:t>作业后恢复</w:t>
            </w:r>
          </w:p>
        </w:tc>
        <w:tc>
          <w:tcPr>
            <w:tcW w:w="421" w:type="pct"/>
            <w:vMerge w:val="restart"/>
            <w:shd w:val="clear" w:color="auto" w:fill="auto"/>
            <w:vAlign w:val="center"/>
          </w:tcPr>
          <w:p>
            <w:pPr>
              <w:widowControl w:val="0"/>
              <w:spacing w:beforeLines="20" w:after="0" w:line="240" w:lineRule="auto"/>
              <w:ind w:left="0" w:firstLine="0"/>
              <w:jc w:val="center"/>
              <w:rPr>
                <w:rFonts w:ascii="宋体" w:hAnsi="宋体" w:eastAsia="宋体" w:cs="Times New Roman"/>
                <w:color w:val="auto"/>
                <w:szCs w:val="24"/>
              </w:rPr>
            </w:pPr>
            <w:r>
              <w:rPr>
                <w:rFonts w:hint="eastAsia" w:ascii="宋体" w:hAnsi="宋体" w:eastAsia="宋体" w:cs="Times New Roman"/>
                <w:color w:val="auto"/>
                <w:szCs w:val="24"/>
              </w:rPr>
              <w:t>宿办区、收费广场。</w:t>
            </w:r>
          </w:p>
        </w:tc>
        <w:tc>
          <w:tcPr>
            <w:tcW w:w="465" w:type="pct"/>
            <w:tcBorders>
              <w:bottom w:val="single" w:color="auto" w:sz="4" w:space="0"/>
            </w:tcBorders>
            <w:shd w:val="clear" w:color="auto" w:fill="FAE600"/>
            <w:vAlign w:val="center"/>
          </w:tcPr>
          <w:p>
            <w:pPr>
              <w:widowControl w:val="0"/>
              <w:spacing w:beforeLines="20" w:after="0" w:line="320" w:lineRule="exact"/>
              <w:ind w:left="0" w:firstLine="0"/>
              <w:jc w:val="center"/>
              <w:rPr>
                <w:rFonts w:ascii="Calibri" w:hAnsi="Calibri" w:eastAsia="宋体" w:cs="Times New Roman"/>
                <w:b/>
                <w:color w:val="auto"/>
                <w:sz w:val="28"/>
                <w:szCs w:val="24"/>
              </w:rPr>
            </w:pPr>
            <w:r>
              <w:rPr>
                <w:rFonts w:ascii="Calibri" w:hAnsi="Calibri" w:eastAsia="宋体" w:cs="Times New Roman"/>
                <w:b/>
                <w:color w:val="auto"/>
                <w:sz w:val="28"/>
                <w:szCs w:val="24"/>
              </w:rPr>
              <w:t>车辆伤害</w:t>
            </w:r>
          </w:p>
        </w:tc>
        <w:tc>
          <w:tcPr>
            <w:tcW w:w="1732" w:type="pct"/>
            <w:shd w:val="clear" w:color="auto" w:fill="auto"/>
            <w:vAlign w:val="center"/>
          </w:tcPr>
          <w:p>
            <w:pPr>
              <w:widowControl w:val="0"/>
              <w:spacing w:beforeLines="20" w:after="0" w:line="320" w:lineRule="exact"/>
              <w:ind w:left="0" w:firstLine="0"/>
              <w:jc w:val="both"/>
              <w:rPr>
                <w:rFonts w:ascii="Calibri" w:hAnsi="Calibri" w:eastAsia="宋体" w:cs="Times New Roman"/>
                <w:color w:val="auto"/>
                <w:szCs w:val="24"/>
              </w:rPr>
            </w:pPr>
            <w:r>
              <w:rPr>
                <w:rFonts w:hint="eastAsia" w:ascii="Calibri" w:hAnsi="Calibri" w:eastAsia="宋体" w:cs="Times New Roman"/>
                <w:color w:val="auto"/>
                <w:szCs w:val="24"/>
              </w:rPr>
              <w:t xml:space="preserve">1.上路时穿戴反光警示标志服，遵守安全作业规程； </w:t>
            </w:r>
          </w:p>
          <w:p>
            <w:pPr>
              <w:widowControl w:val="0"/>
              <w:spacing w:beforeLines="20" w:after="0" w:line="320" w:lineRule="exact"/>
              <w:ind w:left="0" w:firstLine="0"/>
              <w:jc w:val="both"/>
              <w:rPr>
                <w:rFonts w:ascii="Calibri" w:hAnsi="Calibri" w:eastAsia="宋体" w:cs="Times New Roman"/>
                <w:color w:val="auto"/>
                <w:szCs w:val="24"/>
              </w:rPr>
            </w:pPr>
            <w:r>
              <w:rPr>
                <w:rFonts w:hint="eastAsia" w:ascii="Calibri" w:hAnsi="Calibri" w:eastAsia="宋体" w:cs="Times New Roman"/>
                <w:color w:val="auto"/>
                <w:szCs w:val="24"/>
              </w:rPr>
              <w:t>2.清扫设备、物资材料及设备不得侵入车道；</w:t>
            </w:r>
          </w:p>
          <w:p>
            <w:pPr>
              <w:widowControl w:val="0"/>
              <w:spacing w:beforeLines="20" w:after="0" w:line="320" w:lineRule="exact"/>
              <w:ind w:left="0" w:firstLine="0"/>
              <w:jc w:val="both"/>
              <w:rPr>
                <w:rFonts w:ascii="Calibri" w:hAnsi="Calibri" w:eastAsia="宋体" w:cs="Times New Roman"/>
                <w:color w:val="auto"/>
                <w:szCs w:val="24"/>
              </w:rPr>
            </w:pPr>
            <w:r>
              <w:rPr>
                <w:rFonts w:hint="eastAsia" w:ascii="Calibri" w:hAnsi="Calibri" w:eastAsia="宋体" w:cs="Times New Roman"/>
                <w:color w:val="auto"/>
                <w:szCs w:val="24"/>
              </w:rPr>
              <w:t>3.恶劣天气及交通拥堵时，避免广场保洁作业。</w:t>
            </w:r>
          </w:p>
          <w:p>
            <w:pPr>
              <w:widowControl w:val="0"/>
              <w:spacing w:beforeLines="20" w:after="0" w:line="320" w:lineRule="exact"/>
              <w:ind w:left="0" w:firstLine="0"/>
              <w:jc w:val="both"/>
              <w:rPr>
                <w:rFonts w:ascii="Calibri" w:hAnsi="Calibri" w:eastAsia="宋体" w:cs="Times New Roman"/>
                <w:color w:val="auto"/>
                <w:szCs w:val="24"/>
              </w:rPr>
            </w:pPr>
            <w:r>
              <w:rPr>
                <w:rFonts w:hint="eastAsia" w:ascii="Calibri" w:hAnsi="Calibri" w:eastAsia="宋体" w:cs="Times New Roman"/>
                <w:color w:val="auto"/>
                <w:szCs w:val="24"/>
              </w:rPr>
              <w:t>3.穿越车道时，注意观察来往车辆。</w:t>
            </w:r>
            <w:r>
              <w:rPr>
                <w:rFonts w:hint="eastAsia" w:ascii="Calibri" w:hAnsi="Calibri" w:eastAsia="宋体" w:cs="Times New Roman"/>
                <w:color w:val="auto"/>
                <w:szCs w:val="24"/>
              </w:rPr>
              <w:tab/>
            </w:r>
            <w:r>
              <w:rPr>
                <w:rFonts w:hint="eastAsia" w:ascii="Calibri" w:hAnsi="Calibri" w:eastAsia="宋体" w:cs="Times New Roman"/>
                <w:color w:val="auto"/>
                <w:szCs w:val="24"/>
              </w:rPr>
              <w:tab/>
            </w:r>
          </w:p>
        </w:tc>
        <w:tc>
          <w:tcPr>
            <w:tcW w:w="1691" w:type="pct"/>
            <w:shd w:val="clear" w:color="auto" w:fill="auto"/>
            <w:vAlign w:val="center"/>
          </w:tcPr>
          <w:p>
            <w:pPr>
              <w:widowControl w:val="0"/>
              <w:spacing w:beforeLines="20" w:after="0" w:line="320" w:lineRule="exact"/>
              <w:ind w:left="0" w:firstLine="0"/>
              <w:jc w:val="both"/>
              <w:rPr>
                <w:rFonts w:ascii="Calibri" w:hAnsi="Calibri" w:eastAsia="宋体" w:cs="Times New Roman"/>
                <w:color w:val="auto"/>
                <w:szCs w:val="24"/>
              </w:rPr>
            </w:pPr>
            <w:r>
              <w:rPr>
                <w:rFonts w:hint="eastAsia" w:ascii="Calibri" w:hAnsi="Calibri" w:eastAsia="宋体" w:cs="Times New Roman"/>
                <w:color w:val="auto"/>
                <w:szCs w:val="24"/>
              </w:rPr>
              <w:t>1.视情况转移伤员或设置警戒区；2.积极抢救伤员：如受伤人员出现骨折、休克或昏迷状况，应采取临时包扎止血措施；若受伤者呼吸、脉搏停止，应实施人工呼吸或胸外心脏挤压法抢救；3.组织或参与现场救援、交通组织；4.及时上报并拨打救援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91" w:type="pct"/>
            <w:vMerge w:val="continue"/>
          </w:tcPr>
          <w:p>
            <w:pPr>
              <w:widowControl w:val="0"/>
              <w:spacing w:beforeLines="100" w:afterLines="50" w:line="360" w:lineRule="auto"/>
              <w:ind w:left="0" w:firstLine="0"/>
              <w:jc w:val="both"/>
              <w:rPr>
                <w:rFonts w:ascii="宋体" w:hAnsi="宋体" w:eastAsia="宋体" w:cs="Times New Roman"/>
                <w:b/>
                <w:color w:val="auto"/>
                <w:szCs w:val="24"/>
              </w:rPr>
            </w:pPr>
          </w:p>
        </w:tc>
        <w:tc>
          <w:tcPr>
            <w:tcW w:w="421" w:type="pct"/>
            <w:vMerge w:val="continue"/>
            <w:shd w:val="clear" w:color="auto" w:fill="auto"/>
            <w:vAlign w:val="center"/>
          </w:tcPr>
          <w:p>
            <w:pPr>
              <w:widowControl w:val="0"/>
              <w:spacing w:beforeLines="20" w:after="0" w:line="240" w:lineRule="auto"/>
              <w:ind w:left="0" w:firstLine="0"/>
              <w:jc w:val="center"/>
              <w:rPr>
                <w:rFonts w:ascii="宋体" w:hAnsi="宋体" w:eastAsia="宋体" w:cs="Times New Roman"/>
                <w:color w:val="auto"/>
                <w:szCs w:val="24"/>
              </w:rPr>
            </w:pPr>
          </w:p>
        </w:tc>
        <w:tc>
          <w:tcPr>
            <w:tcW w:w="465" w:type="pct"/>
            <w:shd w:val="clear" w:color="auto" w:fill="3764FF"/>
            <w:vAlign w:val="center"/>
          </w:tcPr>
          <w:p>
            <w:pPr>
              <w:widowControl w:val="0"/>
              <w:spacing w:beforeLines="20" w:after="0" w:line="320" w:lineRule="exact"/>
              <w:ind w:left="0" w:firstLine="0"/>
              <w:jc w:val="center"/>
              <w:rPr>
                <w:rFonts w:ascii="Calibri" w:hAnsi="Calibri" w:eastAsia="宋体" w:cs="Times New Roman"/>
                <w:b/>
                <w:color w:val="auto"/>
                <w:sz w:val="28"/>
                <w:szCs w:val="24"/>
              </w:rPr>
            </w:pPr>
            <w:r>
              <w:rPr>
                <w:rFonts w:ascii="Calibri" w:hAnsi="Calibri" w:eastAsia="宋体" w:cs="Times New Roman"/>
                <w:b/>
                <w:color w:val="auto"/>
                <w:sz w:val="28"/>
                <w:szCs w:val="24"/>
              </w:rPr>
              <w:t>高处坠落</w:t>
            </w:r>
          </w:p>
          <w:p>
            <w:pPr>
              <w:widowControl w:val="0"/>
              <w:spacing w:beforeLines="20" w:after="0" w:line="320" w:lineRule="exact"/>
              <w:ind w:left="0" w:firstLine="0"/>
              <w:jc w:val="center"/>
              <w:rPr>
                <w:rFonts w:ascii="Calibri" w:hAnsi="Calibri" w:eastAsia="宋体" w:cs="Times New Roman"/>
                <w:b/>
                <w:color w:val="auto"/>
                <w:sz w:val="28"/>
                <w:szCs w:val="24"/>
              </w:rPr>
            </w:pPr>
            <w:r>
              <w:rPr>
                <w:rFonts w:hint="eastAsia" w:ascii="Calibri" w:hAnsi="Calibri" w:eastAsia="宋体" w:cs="Times New Roman"/>
                <w:b/>
                <w:color w:val="auto"/>
                <w:sz w:val="28"/>
                <w:szCs w:val="24"/>
              </w:rPr>
              <w:t>物体打击</w:t>
            </w:r>
          </w:p>
        </w:tc>
        <w:tc>
          <w:tcPr>
            <w:tcW w:w="1732" w:type="pct"/>
            <w:shd w:val="clear" w:color="auto" w:fill="auto"/>
            <w:vAlign w:val="center"/>
          </w:tcPr>
          <w:p>
            <w:pPr>
              <w:widowControl w:val="0"/>
              <w:spacing w:beforeLines="20" w:after="0" w:line="320" w:lineRule="exact"/>
              <w:ind w:left="0" w:firstLine="0"/>
              <w:jc w:val="both"/>
              <w:rPr>
                <w:rFonts w:ascii="Calibri" w:hAnsi="Calibri" w:eastAsia="宋体" w:cs="Times New Roman"/>
                <w:color w:val="auto"/>
                <w:szCs w:val="24"/>
              </w:rPr>
            </w:pPr>
            <w:r>
              <w:rPr>
                <w:rFonts w:hint="eastAsia" w:ascii="Calibri" w:hAnsi="Calibri" w:eastAsia="宋体" w:cs="Times New Roman"/>
                <w:color w:val="auto"/>
                <w:szCs w:val="24"/>
              </w:rPr>
              <w:t>1.高处作业时穿戴防滑鞋、安全带，不得酒后、违章冒险作业；</w:t>
            </w:r>
          </w:p>
          <w:p>
            <w:pPr>
              <w:widowControl w:val="0"/>
              <w:spacing w:beforeLines="20" w:after="0" w:line="320" w:lineRule="exact"/>
              <w:ind w:left="0" w:firstLine="0"/>
              <w:jc w:val="both"/>
              <w:rPr>
                <w:rFonts w:ascii="Calibri" w:hAnsi="Calibri" w:eastAsia="宋体" w:cs="Times New Roman"/>
                <w:color w:val="auto"/>
                <w:szCs w:val="24"/>
              </w:rPr>
            </w:pPr>
            <w:r>
              <w:rPr>
                <w:rFonts w:hint="eastAsia" w:ascii="Calibri" w:hAnsi="Calibri" w:eastAsia="宋体" w:cs="Times New Roman"/>
                <w:color w:val="auto"/>
                <w:szCs w:val="24"/>
              </w:rPr>
              <w:t>2.高处作业时使用合格的攀爬设备，必要时设专人监护；</w:t>
            </w:r>
          </w:p>
          <w:p>
            <w:pPr>
              <w:widowControl w:val="0"/>
              <w:spacing w:beforeLines="20" w:after="0" w:line="320" w:lineRule="exact"/>
              <w:ind w:left="0" w:firstLine="0"/>
              <w:jc w:val="both"/>
              <w:rPr>
                <w:rFonts w:ascii="Calibri" w:hAnsi="Calibri" w:eastAsia="宋体" w:cs="Times New Roman"/>
                <w:color w:val="auto"/>
                <w:szCs w:val="24"/>
              </w:rPr>
            </w:pPr>
            <w:r>
              <w:rPr>
                <w:rFonts w:hint="eastAsia" w:ascii="Calibri" w:hAnsi="Calibri" w:eastAsia="宋体" w:cs="Times New Roman"/>
                <w:color w:val="auto"/>
                <w:szCs w:val="24"/>
              </w:rPr>
              <w:t>3.作业时选择合理站位，注意观察过往车辆；</w:t>
            </w:r>
          </w:p>
          <w:p>
            <w:pPr>
              <w:widowControl w:val="0"/>
              <w:spacing w:beforeLines="20" w:after="0" w:line="320" w:lineRule="exact"/>
              <w:ind w:left="0" w:firstLine="0"/>
              <w:jc w:val="both"/>
              <w:rPr>
                <w:rFonts w:ascii="Calibri" w:hAnsi="Calibri" w:eastAsia="宋体" w:cs="Times New Roman"/>
                <w:color w:val="auto"/>
                <w:szCs w:val="24"/>
              </w:rPr>
            </w:pPr>
            <w:r>
              <w:rPr>
                <w:rFonts w:hint="eastAsia" w:ascii="Calibri" w:hAnsi="Calibri" w:eastAsia="宋体" w:cs="Times New Roman"/>
                <w:color w:val="auto"/>
                <w:szCs w:val="24"/>
              </w:rPr>
              <w:t>4.保洁设备及工具应放置稳妥。</w:t>
            </w:r>
            <w:r>
              <w:rPr>
                <w:rFonts w:hint="eastAsia" w:ascii="Calibri" w:hAnsi="Calibri" w:eastAsia="宋体" w:cs="Times New Roman"/>
                <w:color w:val="auto"/>
                <w:szCs w:val="24"/>
              </w:rPr>
              <w:tab/>
            </w:r>
          </w:p>
        </w:tc>
        <w:tc>
          <w:tcPr>
            <w:tcW w:w="1691" w:type="pct"/>
            <w:shd w:val="clear" w:color="auto" w:fill="auto"/>
            <w:vAlign w:val="center"/>
          </w:tcPr>
          <w:p>
            <w:pPr>
              <w:widowControl w:val="0"/>
              <w:spacing w:beforeLines="20" w:after="0" w:line="320" w:lineRule="exact"/>
              <w:ind w:left="0" w:firstLine="0"/>
              <w:jc w:val="both"/>
              <w:rPr>
                <w:rFonts w:ascii="Calibri" w:hAnsi="Calibri" w:eastAsia="宋体" w:cs="Times New Roman"/>
                <w:color w:val="auto"/>
                <w:szCs w:val="24"/>
              </w:rPr>
            </w:pPr>
            <w:r>
              <w:rPr>
                <w:rFonts w:hint="eastAsia" w:ascii="Calibri" w:hAnsi="Calibri" w:eastAsia="宋体" w:cs="Times New Roman"/>
                <w:color w:val="auto"/>
                <w:szCs w:val="24"/>
              </w:rPr>
              <w:t>1.视情况转移伤员或设置警戒区；2.积极抢救伤员：如受伤人员出现骨折、休克或昏迷状况，应采取临时包扎止血措施；若受伤者呼吸、脉搏停止，应实施人工呼吸或胸外心脏挤压法抢救；3.组织或参与现场救援、交通组织；4.及时上报并拨打救援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691" w:type="pct"/>
            <w:vMerge w:val="continue"/>
            <w:tcBorders>
              <w:bottom w:val="single" w:color="auto" w:sz="4" w:space="0"/>
            </w:tcBorders>
          </w:tcPr>
          <w:p>
            <w:pPr>
              <w:widowControl w:val="0"/>
              <w:spacing w:beforeLines="100" w:afterLines="50" w:line="360" w:lineRule="auto"/>
              <w:ind w:left="0" w:firstLine="0"/>
              <w:jc w:val="both"/>
              <w:rPr>
                <w:rFonts w:ascii="宋体" w:hAnsi="宋体" w:eastAsia="宋体" w:cs="Times New Roman"/>
                <w:b/>
                <w:color w:val="auto"/>
                <w:szCs w:val="24"/>
              </w:rPr>
            </w:pPr>
          </w:p>
        </w:tc>
        <w:tc>
          <w:tcPr>
            <w:tcW w:w="421" w:type="pct"/>
            <w:vMerge w:val="continue"/>
            <w:tcBorders>
              <w:bottom w:val="single" w:color="auto" w:sz="4" w:space="0"/>
            </w:tcBorders>
            <w:shd w:val="clear" w:color="auto" w:fill="auto"/>
            <w:vAlign w:val="center"/>
          </w:tcPr>
          <w:p>
            <w:pPr>
              <w:widowControl w:val="0"/>
              <w:spacing w:beforeLines="20" w:after="0" w:line="240" w:lineRule="auto"/>
              <w:ind w:left="0" w:firstLine="0"/>
              <w:jc w:val="center"/>
              <w:rPr>
                <w:rFonts w:ascii="宋体" w:hAnsi="宋体" w:eastAsia="宋体" w:cs="Times New Roman"/>
                <w:color w:val="auto"/>
                <w:szCs w:val="24"/>
              </w:rPr>
            </w:pPr>
          </w:p>
        </w:tc>
        <w:tc>
          <w:tcPr>
            <w:tcW w:w="465" w:type="pct"/>
            <w:tcBorders>
              <w:bottom w:val="single" w:color="auto" w:sz="4" w:space="0"/>
            </w:tcBorders>
            <w:shd w:val="clear" w:color="auto" w:fill="3764FF"/>
            <w:vAlign w:val="center"/>
          </w:tcPr>
          <w:p>
            <w:pPr>
              <w:widowControl w:val="0"/>
              <w:spacing w:beforeLines="20" w:after="0" w:line="320" w:lineRule="exact"/>
              <w:ind w:left="0" w:firstLine="0"/>
              <w:jc w:val="center"/>
              <w:rPr>
                <w:rFonts w:ascii="Calibri" w:hAnsi="Calibri" w:eastAsia="宋体" w:cs="Times New Roman"/>
                <w:b/>
                <w:color w:val="auto"/>
                <w:sz w:val="28"/>
                <w:szCs w:val="24"/>
              </w:rPr>
            </w:pPr>
            <w:r>
              <w:rPr>
                <w:rFonts w:ascii="Calibri" w:hAnsi="Calibri" w:eastAsia="宋体" w:cs="Times New Roman"/>
                <w:b/>
                <w:color w:val="auto"/>
                <w:sz w:val="28"/>
                <w:szCs w:val="24"/>
              </w:rPr>
              <w:t>触电</w:t>
            </w:r>
          </w:p>
          <w:p>
            <w:pPr>
              <w:widowControl w:val="0"/>
              <w:spacing w:beforeLines="20" w:after="0" w:line="320" w:lineRule="exact"/>
              <w:ind w:left="0" w:firstLine="0"/>
              <w:jc w:val="center"/>
              <w:rPr>
                <w:rFonts w:ascii="Calibri" w:hAnsi="Calibri" w:eastAsia="宋体" w:cs="Times New Roman"/>
                <w:b/>
                <w:color w:val="auto"/>
                <w:sz w:val="28"/>
                <w:szCs w:val="24"/>
              </w:rPr>
            </w:pPr>
            <w:r>
              <w:rPr>
                <w:rFonts w:hint="eastAsia" w:ascii="Calibri" w:hAnsi="Calibri" w:eastAsia="宋体" w:cs="Times New Roman"/>
                <w:b/>
                <w:color w:val="auto"/>
                <w:sz w:val="28"/>
                <w:szCs w:val="24"/>
              </w:rPr>
              <w:t>灼烫</w:t>
            </w:r>
          </w:p>
          <w:p>
            <w:pPr>
              <w:widowControl w:val="0"/>
              <w:spacing w:beforeLines="20" w:after="0" w:line="320" w:lineRule="exact"/>
              <w:ind w:left="0" w:firstLine="0"/>
              <w:jc w:val="center"/>
              <w:rPr>
                <w:rFonts w:ascii="Calibri" w:hAnsi="Calibri" w:eastAsia="宋体" w:cs="Times New Roman"/>
                <w:b/>
                <w:color w:val="auto"/>
                <w:sz w:val="28"/>
                <w:szCs w:val="24"/>
              </w:rPr>
            </w:pPr>
            <w:r>
              <w:rPr>
                <w:rFonts w:hint="eastAsia" w:ascii="Calibri" w:hAnsi="Calibri" w:eastAsia="宋体" w:cs="Times New Roman"/>
                <w:b/>
                <w:color w:val="auto"/>
                <w:sz w:val="28"/>
                <w:szCs w:val="24"/>
              </w:rPr>
              <w:t>其他</w:t>
            </w:r>
          </w:p>
        </w:tc>
        <w:tc>
          <w:tcPr>
            <w:tcW w:w="1732" w:type="pct"/>
            <w:tcBorders>
              <w:bottom w:val="single" w:color="auto" w:sz="4" w:space="0"/>
            </w:tcBorders>
            <w:shd w:val="clear" w:color="auto" w:fill="auto"/>
            <w:vAlign w:val="center"/>
          </w:tcPr>
          <w:p>
            <w:pPr>
              <w:widowControl w:val="0"/>
              <w:spacing w:beforeLines="20" w:after="0" w:line="320" w:lineRule="exact"/>
              <w:ind w:left="0" w:firstLine="0"/>
              <w:jc w:val="both"/>
              <w:rPr>
                <w:rFonts w:ascii="Calibri" w:hAnsi="Calibri" w:eastAsia="宋体" w:cs="Times New Roman"/>
                <w:color w:val="auto"/>
                <w:szCs w:val="24"/>
              </w:rPr>
            </w:pPr>
            <w:r>
              <w:rPr>
                <w:rFonts w:hint="eastAsia" w:ascii="Calibri" w:hAnsi="Calibri" w:eastAsia="宋体" w:cs="Times New Roman"/>
                <w:color w:val="auto"/>
                <w:szCs w:val="24"/>
              </w:rPr>
              <w:t>1.不得用水擦拭电气设备，严禁违章操作电气设备；</w:t>
            </w:r>
          </w:p>
          <w:p>
            <w:pPr>
              <w:widowControl w:val="0"/>
              <w:spacing w:beforeLines="20" w:after="0" w:line="320" w:lineRule="exact"/>
              <w:ind w:left="0" w:firstLine="0"/>
              <w:jc w:val="both"/>
              <w:rPr>
                <w:rFonts w:ascii="Calibri" w:hAnsi="Calibri" w:eastAsia="宋体" w:cs="Times New Roman"/>
                <w:color w:val="auto"/>
                <w:szCs w:val="24"/>
              </w:rPr>
            </w:pPr>
            <w:r>
              <w:rPr>
                <w:rFonts w:hint="eastAsia" w:ascii="Calibri" w:hAnsi="Calibri" w:eastAsia="宋体" w:cs="Times New Roman"/>
                <w:color w:val="auto"/>
                <w:szCs w:val="24"/>
              </w:rPr>
              <w:t>2.作业时注意远离灼烫物品。</w:t>
            </w:r>
          </w:p>
        </w:tc>
        <w:tc>
          <w:tcPr>
            <w:tcW w:w="1691" w:type="pct"/>
            <w:tcBorders>
              <w:bottom w:val="single" w:color="auto" w:sz="4" w:space="0"/>
            </w:tcBorders>
            <w:shd w:val="clear" w:color="auto" w:fill="auto"/>
            <w:vAlign w:val="center"/>
          </w:tcPr>
          <w:p>
            <w:pPr>
              <w:widowControl w:val="0"/>
              <w:spacing w:beforeLines="20" w:after="0" w:line="320" w:lineRule="exact"/>
              <w:ind w:left="0" w:firstLine="0"/>
              <w:jc w:val="both"/>
              <w:rPr>
                <w:rFonts w:ascii="Calibri" w:hAnsi="Calibri" w:eastAsia="宋体" w:cs="Times New Roman"/>
                <w:color w:val="auto"/>
                <w:szCs w:val="24"/>
              </w:rPr>
            </w:pPr>
            <w:r>
              <w:rPr>
                <w:rFonts w:hint="eastAsia" w:ascii="Calibri" w:hAnsi="Calibri" w:eastAsia="宋体" w:cs="Times New Roman"/>
                <w:color w:val="auto"/>
                <w:szCs w:val="24"/>
              </w:rPr>
              <w:t>1.根据伤害类型及时施救；2. 及时上报并拨打救援电话。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577" w:type="pct"/>
            <w:gridSpan w:val="3"/>
            <w:tcBorders>
              <w:bottom w:val="single" w:color="auto" w:sz="4" w:space="0"/>
            </w:tcBorders>
            <w:shd w:val="clear" w:color="auto" w:fill="F1F1F1" w:themeFill="background1" w:themeFillShade="F2"/>
            <w:vAlign w:val="center"/>
          </w:tcPr>
          <w:p>
            <w:pPr>
              <w:widowControl w:val="0"/>
              <w:spacing w:beforeLines="20" w:after="0" w:line="240" w:lineRule="auto"/>
              <w:ind w:left="0" w:firstLine="0"/>
              <w:jc w:val="left"/>
              <w:rPr>
                <w:rFonts w:ascii="宋体" w:hAnsi="宋体" w:eastAsia="宋体" w:cs="Times New Roman"/>
                <w:b/>
                <w:color w:val="auto"/>
                <w:kern w:val="0"/>
                <w:szCs w:val="24"/>
              </w:rPr>
            </w:pPr>
            <w:r>
              <w:rPr>
                <w:rFonts w:hint="eastAsia" w:ascii="宋体" w:hAnsi="宋体" w:eastAsia="宋体" w:cs="Times New Roman"/>
                <w:b/>
                <w:color w:val="auto"/>
                <w:kern w:val="0"/>
                <w:szCs w:val="24"/>
              </w:rPr>
              <w:t>值班</w:t>
            </w:r>
            <w:r>
              <w:rPr>
                <w:rFonts w:ascii="宋体" w:hAnsi="宋体" w:eastAsia="宋体" w:cs="Times New Roman"/>
                <w:b/>
                <w:color w:val="auto"/>
                <w:kern w:val="0"/>
                <w:szCs w:val="24"/>
              </w:rPr>
              <w:t>电话</w:t>
            </w:r>
            <w:r>
              <w:rPr>
                <w:rFonts w:hint="eastAsia" w:ascii="宋体" w:hAnsi="宋体" w:eastAsia="宋体" w:cs="Times New Roman"/>
                <w:b/>
                <w:color w:val="auto"/>
                <w:kern w:val="0"/>
                <w:szCs w:val="24"/>
              </w:rPr>
              <w:t>：</w:t>
            </w:r>
          </w:p>
        </w:tc>
        <w:tc>
          <w:tcPr>
            <w:tcW w:w="3423" w:type="pct"/>
            <w:gridSpan w:val="2"/>
            <w:tcBorders>
              <w:bottom w:val="single" w:color="auto" w:sz="4" w:space="0"/>
            </w:tcBorders>
            <w:shd w:val="clear" w:color="auto" w:fill="F1F1F1" w:themeFill="background1" w:themeFillShade="F2"/>
            <w:vAlign w:val="center"/>
          </w:tcPr>
          <w:p>
            <w:pPr>
              <w:widowControl w:val="0"/>
              <w:spacing w:beforeLines="20" w:after="0" w:line="240" w:lineRule="auto"/>
              <w:ind w:left="0" w:firstLine="0"/>
              <w:jc w:val="center"/>
              <w:rPr>
                <w:rFonts w:ascii="宋体" w:hAnsi="宋体" w:eastAsia="宋体" w:cs="Times New Roman"/>
                <w:b/>
                <w:color w:val="auto"/>
                <w:kern w:val="0"/>
                <w:szCs w:val="24"/>
              </w:rPr>
            </w:pPr>
            <w:r>
              <w:rPr>
                <w:rFonts w:ascii="宋体" w:hAnsi="宋体" w:eastAsia="宋体" w:cs="Times New Roman"/>
                <w:b/>
                <w:color w:val="auto"/>
                <w:kern w:val="0"/>
                <w:szCs w:val="24"/>
              </w:rPr>
              <w:t>救援电话</w:t>
            </w:r>
            <w:r>
              <w:rPr>
                <w:rFonts w:hint="eastAsia" w:ascii="宋体" w:hAnsi="宋体" w:eastAsia="宋体" w:cs="Times New Roman"/>
                <w:b/>
                <w:color w:val="auto"/>
                <w:kern w:val="0"/>
                <w:szCs w:val="24"/>
              </w:rPr>
              <w:t xml:space="preserve">： </w:t>
            </w:r>
            <w:r>
              <w:rPr>
                <w:rFonts w:ascii="宋体" w:hAnsi="宋体" w:eastAsia="宋体" w:cs="Times New Roman"/>
                <w:b/>
                <w:color w:val="auto"/>
                <w:kern w:val="0"/>
                <w:szCs w:val="24"/>
              </w:rPr>
              <w:t xml:space="preserve">        </w:t>
            </w:r>
            <w:r>
              <w:rPr>
                <w:rFonts w:hint="eastAsia" w:ascii="宋体" w:hAnsi="宋体" w:eastAsia="宋体" w:cs="Times New Roman"/>
                <w:b/>
                <w:color w:val="auto"/>
                <w:kern w:val="0"/>
                <w:szCs w:val="24"/>
              </w:rPr>
              <w:t xml:space="preserve">  </w:t>
            </w:r>
            <w:r>
              <w:rPr>
                <w:rFonts w:ascii="宋体" w:hAnsi="宋体" w:eastAsia="宋体" w:cs="Times New Roman"/>
                <w:b/>
                <w:color w:val="auto"/>
                <w:kern w:val="0"/>
                <w:szCs w:val="24"/>
              </w:rPr>
              <w:t>消防</w:t>
            </w:r>
            <w:r>
              <w:rPr>
                <w:rFonts w:hint="eastAsia" w:ascii="宋体" w:hAnsi="宋体" w:eastAsia="宋体" w:cs="Times New Roman"/>
                <w:b/>
                <w:color w:val="auto"/>
                <w:kern w:val="0"/>
                <w:szCs w:val="24"/>
              </w:rPr>
              <w:t>：119    急救：120    公安：110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000" w:type="pct"/>
            <w:gridSpan w:val="5"/>
            <w:shd w:val="clear" w:color="auto" w:fill="FFFFFF" w:themeFill="background1"/>
            <w:vAlign w:val="center"/>
          </w:tcPr>
          <w:p>
            <w:pPr>
              <w:widowControl w:val="0"/>
              <w:spacing w:beforeLines="20" w:after="0" w:line="240" w:lineRule="auto"/>
              <w:ind w:left="0" w:firstLine="0"/>
              <w:jc w:val="left"/>
              <w:rPr>
                <w:rFonts w:ascii="宋体" w:hAnsi="宋体" w:eastAsia="宋体" w:cs="Times New Roman"/>
                <w:b/>
                <w:color w:val="auto"/>
                <w:szCs w:val="24"/>
              </w:rPr>
            </w:pPr>
            <w:r>
              <w:rPr>
                <w:rFonts w:ascii="宋体" w:hAnsi="宋体" w:eastAsia="宋体" w:cs="Times New Roman"/>
                <w:b/>
                <w:color w:val="auto"/>
                <w:szCs w:val="24"/>
              </w:rPr>
              <w:t>作业小组成员</w:t>
            </w:r>
            <w:r>
              <w:rPr>
                <w:rFonts w:hint="eastAsia" w:ascii="宋体" w:hAnsi="宋体" w:eastAsia="宋体" w:cs="Times New Roman"/>
                <w:b/>
                <w:color w:val="auto"/>
                <w:szCs w:val="24"/>
              </w:rPr>
              <w:t>：</w:t>
            </w:r>
          </w:p>
        </w:tc>
      </w:tr>
    </w:tbl>
    <w:p>
      <w:pPr>
        <w:widowControl w:val="0"/>
        <w:spacing w:after="0" w:line="560" w:lineRule="exact"/>
        <w:ind w:left="0" w:firstLine="0"/>
        <w:jc w:val="center"/>
        <w:rPr>
          <w:rFonts w:ascii="华文隶书" w:hAnsi="华文中宋" w:eastAsia="华文隶书"/>
          <w:b/>
          <w:color w:val="auto"/>
          <w:sz w:val="32"/>
          <w:szCs w:val="32"/>
        </w:rPr>
      </w:pPr>
      <w:r>
        <w:rPr>
          <w:rFonts w:hint="eastAsia" w:ascii="华文隶书" w:hAnsi="华文中宋" w:eastAsia="华文隶书"/>
          <w:b/>
          <w:color w:val="auto"/>
          <w:sz w:val="32"/>
          <w:szCs w:val="32"/>
        </w:rPr>
        <w:t>安全第一      预防为主                           防风险     除隐患     遏事故</w:t>
      </w:r>
    </w:p>
    <w:p>
      <w:pPr>
        <w:spacing w:after="0" w:line="240" w:lineRule="auto"/>
        <w:ind w:left="0" w:firstLine="0"/>
        <w:rPr>
          <w:rFonts w:ascii="华文隶书" w:hAnsi="华文中宋" w:eastAsia="华文隶书"/>
          <w:b/>
          <w:color w:val="auto"/>
          <w:sz w:val="32"/>
          <w:szCs w:val="32"/>
        </w:rPr>
      </w:pPr>
      <w:r>
        <w:rPr>
          <w:rFonts w:ascii="华文隶书" w:hAnsi="华文中宋" w:eastAsia="华文隶书"/>
          <w:b/>
          <w:color w:val="auto"/>
          <w:sz w:val="32"/>
          <w:szCs w:val="32"/>
        </w:rPr>
        <w:br w:type="page"/>
      </w:r>
    </w:p>
    <w:p>
      <w:pPr>
        <w:spacing w:after="0" w:line="240" w:lineRule="auto"/>
        <w:ind w:left="0" w:firstLine="0"/>
        <w:jc w:val="center"/>
        <w:rPr>
          <w:rFonts w:ascii="华文隶书" w:hAnsi="华文中宋" w:eastAsia="华文隶书"/>
          <w:b/>
          <w:color w:val="auto"/>
          <w:sz w:val="32"/>
          <w:szCs w:val="32"/>
        </w:rPr>
      </w:pPr>
      <w:r>
        <w:rPr>
          <w:rFonts w:hint="eastAsia" w:ascii="华文中宋" w:hAnsi="华文中宋" w:eastAsia="华文中宋" w:cstheme="minorBidi"/>
          <w:color w:val="auto"/>
          <w:sz w:val="28"/>
        </w:rPr>
        <w:t>收费站岗位风险告知卡</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108" w:type="dxa"/>
          <w:bottom w:w="0" w:type="dxa"/>
          <w:right w:w="108" w:type="dxa"/>
        </w:tblCellMar>
      </w:tblPr>
      <w:tblGrid>
        <w:gridCol w:w="1668"/>
        <w:gridCol w:w="1275"/>
        <w:gridCol w:w="1560"/>
        <w:gridCol w:w="5243"/>
        <w:gridCol w:w="5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680" w:hRule="atLeast"/>
        </w:trPr>
        <w:tc>
          <w:tcPr>
            <w:tcW w:w="551" w:type="pct"/>
            <w:shd w:val="clear" w:color="auto" w:fill="FFFFFF"/>
            <w:vAlign w:val="center"/>
          </w:tcPr>
          <w:p>
            <w:pPr>
              <w:widowControl w:val="0"/>
              <w:spacing w:after="0" w:line="240" w:lineRule="auto"/>
              <w:ind w:left="0" w:firstLine="0"/>
              <w:jc w:val="center"/>
              <w:rPr>
                <w:rFonts w:ascii="宋体" w:hAnsi="宋体" w:eastAsia="宋体" w:cs="Times New Roman"/>
                <w:b/>
                <w:color w:val="auto"/>
                <w:sz w:val="21"/>
                <w:szCs w:val="21"/>
              </w:rPr>
            </w:pPr>
            <w:r>
              <w:rPr>
                <w:rFonts w:ascii="宋体" w:hAnsi="宋体" w:eastAsia="宋体" w:cs="Times New Roman"/>
                <w:b/>
                <w:color w:val="auto"/>
                <w:sz w:val="21"/>
                <w:szCs w:val="21"/>
              </w:rPr>
              <w:t>岗位</w:t>
            </w:r>
            <w:r>
              <w:rPr>
                <w:rFonts w:hint="eastAsia" w:ascii="宋体" w:hAnsi="宋体" w:eastAsia="宋体" w:cs="Times New Roman"/>
                <w:b/>
                <w:color w:val="auto"/>
                <w:sz w:val="21"/>
                <w:szCs w:val="21"/>
              </w:rPr>
              <w:t>：保安</w:t>
            </w:r>
          </w:p>
        </w:tc>
        <w:tc>
          <w:tcPr>
            <w:tcW w:w="421" w:type="pct"/>
            <w:tcBorders>
              <w:bottom w:val="single" w:color="auto" w:sz="4" w:space="0"/>
            </w:tcBorders>
            <w:shd w:val="clear" w:color="auto" w:fill="FFFFFF"/>
            <w:vAlign w:val="center"/>
          </w:tcPr>
          <w:p>
            <w:pPr>
              <w:widowControl w:val="0"/>
              <w:spacing w:after="0" w:line="240" w:lineRule="auto"/>
              <w:ind w:left="0" w:firstLine="0"/>
              <w:jc w:val="center"/>
              <w:rPr>
                <w:rFonts w:ascii="宋体" w:hAnsi="宋体" w:eastAsia="宋体" w:cs="Times New Roman"/>
                <w:b/>
                <w:color w:val="auto"/>
                <w:sz w:val="21"/>
                <w:szCs w:val="21"/>
              </w:rPr>
            </w:pPr>
            <w:r>
              <w:rPr>
                <w:rFonts w:hint="eastAsia" w:ascii="宋体" w:hAnsi="宋体" w:eastAsia="宋体" w:cs="Times New Roman"/>
                <w:b/>
                <w:color w:val="auto"/>
                <w:sz w:val="21"/>
                <w:szCs w:val="21"/>
              </w:rPr>
              <w:t>风险点</w:t>
            </w:r>
          </w:p>
        </w:tc>
        <w:tc>
          <w:tcPr>
            <w:tcW w:w="515" w:type="pct"/>
            <w:tcBorders>
              <w:bottom w:val="single" w:color="auto" w:sz="4" w:space="0"/>
            </w:tcBorders>
            <w:shd w:val="clear" w:color="auto" w:fill="FFFFFF"/>
            <w:vAlign w:val="center"/>
          </w:tcPr>
          <w:p>
            <w:pPr>
              <w:widowControl w:val="0"/>
              <w:spacing w:after="0" w:line="240" w:lineRule="auto"/>
              <w:ind w:left="0" w:firstLine="0"/>
              <w:jc w:val="center"/>
              <w:rPr>
                <w:rFonts w:ascii="宋体" w:hAnsi="宋体" w:eastAsia="宋体" w:cs="Times New Roman"/>
                <w:b/>
                <w:color w:val="auto"/>
                <w:sz w:val="21"/>
                <w:szCs w:val="21"/>
              </w:rPr>
            </w:pPr>
            <w:r>
              <w:rPr>
                <w:rFonts w:hint="eastAsia" w:ascii="宋体" w:hAnsi="宋体" w:eastAsia="宋体" w:cs="Times New Roman"/>
                <w:b/>
                <w:color w:val="auto"/>
                <w:sz w:val="21"/>
                <w:szCs w:val="21"/>
              </w:rPr>
              <w:t>风险事件</w:t>
            </w:r>
          </w:p>
        </w:tc>
        <w:tc>
          <w:tcPr>
            <w:tcW w:w="1731" w:type="pct"/>
            <w:tcBorders>
              <w:bottom w:val="single" w:color="auto" w:sz="4" w:space="0"/>
            </w:tcBorders>
            <w:shd w:val="clear" w:color="auto" w:fill="FFFFFF"/>
            <w:vAlign w:val="center"/>
          </w:tcPr>
          <w:p>
            <w:pPr>
              <w:widowControl w:val="0"/>
              <w:spacing w:after="0" w:line="240" w:lineRule="auto"/>
              <w:ind w:left="0" w:firstLine="0"/>
              <w:jc w:val="center"/>
              <w:rPr>
                <w:rFonts w:ascii="宋体" w:hAnsi="宋体" w:eastAsia="宋体" w:cs="Times New Roman"/>
                <w:b/>
                <w:color w:val="auto"/>
                <w:sz w:val="21"/>
                <w:szCs w:val="21"/>
              </w:rPr>
            </w:pPr>
            <w:r>
              <w:rPr>
                <w:rFonts w:ascii="宋体" w:hAnsi="宋体" w:eastAsia="宋体" w:cs="Times New Roman"/>
                <w:b/>
                <w:color w:val="auto"/>
                <w:sz w:val="21"/>
                <w:szCs w:val="21"/>
              </w:rPr>
              <w:t>风险管控措施</w:t>
            </w:r>
          </w:p>
        </w:tc>
        <w:tc>
          <w:tcPr>
            <w:tcW w:w="1782" w:type="pct"/>
            <w:tcBorders>
              <w:bottom w:val="single" w:color="auto" w:sz="4" w:space="0"/>
            </w:tcBorders>
            <w:shd w:val="clear" w:color="auto" w:fill="FFFFFF"/>
            <w:vAlign w:val="center"/>
          </w:tcPr>
          <w:p>
            <w:pPr>
              <w:widowControl w:val="0"/>
              <w:spacing w:after="0" w:line="240" w:lineRule="auto"/>
              <w:ind w:left="0" w:firstLine="0"/>
              <w:jc w:val="center"/>
              <w:rPr>
                <w:rFonts w:ascii="宋体" w:hAnsi="宋体" w:eastAsia="宋体" w:cs="Times New Roman"/>
                <w:b/>
                <w:color w:val="auto"/>
                <w:sz w:val="21"/>
                <w:szCs w:val="21"/>
              </w:rPr>
            </w:pPr>
            <w:r>
              <w:rPr>
                <w:rFonts w:ascii="宋体" w:hAnsi="宋体" w:eastAsia="宋体" w:cs="Times New Roman"/>
                <w:b/>
                <w:color w:val="auto"/>
                <w:sz w:val="21"/>
                <w:szCs w:val="21"/>
              </w:rPr>
              <w:t>应急处置措施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680" w:hRule="atLeast"/>
        </w:trPr>
        <w:tc>
          <w:tcPr>
            <w:tcW w:w="551" w:type="pct"/>
            <w:vMerge w:val="restart"/>
            <w:shd w:val="clear" w:color="auto" w:fill="FFFFFF"/>
          </w:tcPr>
          <w:p>
            <w:pPr>
              <w:widowControl w:val="0"/>
              <w:spacing w:beforeLines="100" w:afterLines="50" w:line="360" w:lineRule="auto"/>
              <w:ind w:left="0" w:firstLine="0"/>
              <w:rPr>
                <w:rFonts w:ascii="宋体" w:hAnsi="宋体" w:eastAsia="宋体" w:cs="Times New Roman"/>
                <w:b/>
                <w:color w:val="auto"/>
                <w:sz w:val="21"/>
                <w:szCs w:val="32"/>
              </w:rPr>
            </w:pPr>
            <w:r>
              <w:rPr>
                <w:rFonts w:hint="eastAsia" w:ascii="宋体" w:hAnsi="宋体" w:eastAsia="宋体" w:cs="Times New Roman"/>
                <w:b/>
                <w:color w:val="auto"/>
                <w:sz w:val="21"/>
                <w:szCs w:val="32"/>
              </w:rPr>
              <w:t>作业步骤/</w:t>
            </w:r>
            <w:r>
              <w:rPr>
                <w:rFonts w:ascii="宋体" w:hAnsi="宋体" w:eastAsia="宋体" w:cs="Times New Roman"/>
                <w:b/>
                <w:color w:val="auto"/>
                <w:sz w:val="21"/>
                <w:szCs w:val="32"/>
              </w:rPr>
              <w:t>内容</w:t>
            </w:r>
            <w:r>
              <w:rPr>
                <w:rFonts w:hint="eastAsia" w:ascii="宋体" w:hAnsi="宋体" w:eastAsia="宋体" w:cs="Times New Roman"/>
                <w:b/>
                <w:color w:val="auto"/>
                <w:sz w:val="21"/>
                <w:szCs w:val="32"/>
              </w:rPr>
              <w:t>：</w:t>
            </w:r>
          </w:p>
          <w:p>
            <w:pPr>
              <w:widowControl w:val="0"/>
              <w:spacing w:beforeLines="100" w:afterLines="50" w:line="240" w:lineRule="auto"/>
              <w:ind w:left="0" w:firstLine="0"/>
              <w:jc w:val="both"/>
              <w:rPr>
                <w:rFonts w:cs="宋体"/>
                <w:color w:val="auto"/>
                <w:szCs w:val="24"/>
              </w:rPr>
            </w:pPr>
            <w:r>
              <w:rPr>
                <w:rFonts w:hint="eastAsia" w:ascii="宋体" w:hAnsi="宋体" w:eastAsia="宋体" w:cs="Times New Roman"/>
                <w:color w:val="auto"/>
                <w:sz w:val="21"/>
                <w:szCs w:val="32"/>
              </w:rPr>
              <w:t>值班→巡查</w:t>
            </w:r>
          </w:p>
        </w:tc>
        <w:tc>
          <w:tcPr>
            <w:tcW w:w="421" w:type="pct"/>
            <w:vMerge w:val="restart"/>
            <w:shd w:val="clear" w:color="auto" w:fill="FFFFFF"/>
            <w:vAlign w:val="center"/>
          </w:tcPr>
          <w:p>
            <w:pPr>
              <w:widowControl w:val="0"/>
              <w:spacing w:beforeLines="20" w:after="0" w:line="240" w:lineRule="auto"/>
              <w:ind w:left="0" w:firstLine="0"/>
              <w:jc w:val="center"/>
              <w:rPr>
                <w:rFonts w:ascii="宋体" w:hAnsi="宋体" w:eastAsia="宋体" w:cs="Times New Roman"/>
                <w:color w:val="auto"/>
                <w:sz w:val="21"/>
                <w:szCs w:val="32"/>
              </w:rPr>
            </w:pPr>
            <w:r>
              <w:rPr>
                <w:rFonts w:hint="eastAsia" w:ascii="宋体" w:hAnsi="宋体" w:eastAsia="宋体" w:cs="Times New Roman"/>
                <w:color w:val="auto"/>
                <w:sz w:val="21"/>
                <w:szCs w:val="32"/>
              </w:rPr>
              <w:t>岗亭、院区。</w:t>
            </w:r>
          </w:p>
        </w:tc>
        <w:tc>
          <w:tcPr>
            <w:tcW w:w="515" w:type="pct"/>
            <w:shd w:val="clear" w:color="auto" w:fill="3764FF"/>
            <w:vAlign w:val="center"/>
          </w:tcPr>
          <w:p>
            <w:pPr>
              <w:widowControl w:val="0"/>
              <w:spacing w:beforeLines="20" w:after="0" w:line="320" w:lineRule="exact"/>
              <w:ind w:left="0" w:firstLine="0"/>
              <w:jc w:val="center"/>
              <w:rPr>
                <w:rFonts w:ascii="Calibri" w:hAnsi="Calibri" w:eastAsia="宋体" w:cs="Times New Roman"/>
                <w:b/>
                <w:color w:val="auto"/>
                <w:sz w:val="28"/>
                <w:szCs w:val="24"/>
              </w:rPr>
            </w:pPr>
            <w:r>
              <w:rPr>
                <w:rFonts w:hint="eastAsia" w:ascii="Calibri" w:hAnsi="Calibri" w:eastAsia="宋体" w:cs="Times New Roman"/>
                <w:b/>
                <w:color w:val="auto"/>
                <w:sz w:val="28"/>
                <w:szCs w:val="24"/>
              </w:rPr>
              <w:t>火灾</w:t>
            </w:r>
          </w:p>
        </w:tc>
        <w:tc>
          <w:tcPr>
            <w:tcW w:w="1731" w:type="pct"/>
            <w:shd w:val="clear" w:color="auto" w:fill="FFFFFF"/>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1.室内不得动火作业，公共区域不得吸烟，烟头及时熄灭；</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2.不得私自存放易燃易爆物品；</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3.不得违规使用大功率电气、私拉乱接、使用不合格电气产品。</w:t>
            </w:r>
          </w:p>
        </w:tc>
        <w:tc>
          <w:tcPr>
            <w:tcW w:w="1782" w:type="pct"/>
            <w:shd w:val="clear" w:color="auto" w:fill="FFFFFF"/>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1.火情较小时使用灭火器灭火；</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 xml:space="preserve">2.火情较大远离事故现场，疏散周边人员； </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3.及时上报并拨打救援电话。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680" w:hRule="atLeast"/>
        </w:trPr>
        <w:tc>
          <w:tcPr>
            <w:tcW w:w="551" w:type="pct"/>
            <w:vMerge w:val="continue"/>
            <w:shd w:val="clear" w:color="auto" w:fill="FFFFFF"/>
          </w:tcPr>
          <w:p>
            <w:pPr>
              <w:widowControl w:val="0"/>
              <w:spacing w:beforeLines="100" w:afterLines="50" w:line="360" w:lineRule="auto"/>
              <w:ind w:left="0" w:firstLine="0"/>
              <w:jc w:val="both"/>
              <w:rPr>
                <w:rFonts w:ascii="宋体" w:hAnsi="宋体" w:eastAsia="宋体" w:cs="Times New Roman"/>
                <w:b/>
                <w:color w:val="auto"/>
                <w:sz w:val="21"/>
                <w:szCs w:val="32"/>
              </w:rPr>
            </w:pPr>
          </w:p>
        </w:tc>
        <w:tc>
          <w:tcPr>
            <w:tcW w:w="421" w:type="pct"/>
            <w:vMerge w:val="continue"/>
            <w:shd w:val="clear" w:color="auto" w:fill="FFFFFF"/>
            <w:vAlign w:val="center"/>
          </w:tcPr>
          <w:p>
            <w:pPr>
              <w:widowControl w:val="0"/>
              <w:spacing w:beforeLines="20" w:after="0" w:line="240" w:lineRule="auto"/>
              <w:ind w:left="0" w:firstLine="0"/>
              <w:jc w:val="center"/>
              <w:rPr>
                <w:rFonts w:ascii="宋体" w:hAnsi="宋体" w:eastAsia="宋体" w:cs="Times New Roman"/>
                <w:color w:val="auto"/>
                <w:sz w:val="21"/>
                <w:szCs w:val="32"/>
              </w:rPr>
            </w:pPr>
          </w:p>
        </w:tc>
        <w:tc>
          <w:tcPr>
            <w:tcW w:w="515" w:type="pct"/>
            <w:shd w:val="clear" w:color="auto" w:fill="3764FF"/>
            <w:vAlign w:val="center"/>
          </w:tcPr>
          <w:p>
            <w:pPr>
              <w:widowControl w:val="0"/>
              <w:spacing w:beforeLines="20" w:after="0" w:line="320" w:lineRule="exact"/>
              <w:ind w:left="0" w:firstLine="0"/>
              <w:jc w:val="center"/>
              <w:rPr>
                <w:rFonts w:ascii="Calibri" w:hAnsi="Calibri" w:eastAsia="宋体" w:cs="Times New Roman"/>
                <w:b/>
                <w:color w:val="auto"/>
                <w:sz w:val="28"/>
                <w:szCs w:val="24"/>
              </w:rPr>
            </w:pPr>
            <w:r>
              <w:rPr>
                <w:rFonts w:hint="eastAsia" w:ascii="Calibri" w:hAnsi="Calibri" w:eastAsia="宋体" w:cs="Times New Roman"/>
                <w:b/>
                <w:color w:val="auto"/>
                <w:sz w:val="28"/>
                <w:szCs w:val="24"/>
              </w:rPr>
              <w:t>触电</w:t>
            </w:r>
          </w:p>
        </w:tc>
        <w:tc>
          <w:tcPr>
            <w:tcW w:w="1731" w:type="pct"/>
            <w:shd w:val="clear" w:color="auto" w:fill="FFFFFF"/>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1.不得违规使用大功率电器，私拉乱接，严禁使用违规电气产品；</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2.按规定开展岗位隐患排查，发现隐患及时上报。</w:t>
            </w:r>
          </w:p>
        </w:tc>
        <w:tc>
          <w:tcPr>
            <w:tcW w:w="1782" w:type="pct"/>
            <w:shd w:val="clear" w:color="auto" w:fill="FFFFFF"/>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1.迅速切断电源，或用绝缘物体挑开带电物体；</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2.若触电者失去知觉，应使其平卧，以利呼吸；若触电者呼吸、脉搏停止，必须实施人工呼吸或胸外心脏挤压法抢救；3.积极抢救伤员，及时上报并拨打120等电话。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680" w:hRule="atLeast"/>
        </w:trPr>
        <w:tc>
          <w:tcPr>
            <w:tcW w:w="551" w:type="pct"/>
            <w:vMerge w:val="continue"/>
            <w:shd w:val="clear" w:color="auto" w:fill="FFFFFF"/>
          </w:tcPr>
          <w:p>
            <w:pPr>
              <w:widowControl w:val="0"/>
              <w:spacing w:beforeLines="100" w:afterLines="50" w:line="360" w:lineRule="auto"/>
              <w:ind w:left="0" w:firstLine="0"/>
              <w:jc w:val="both"/>
              <w:rPr>
                <w:rFonts w:ascii="宋体" w:hAnsi="宋体" w:eastAsia="宋体" w:cs="Times New Roman"/>
                <w:b/>
                <w:color w:val="auto"/>
                <w:sz w:val="21"/>
                <w:szCs w:val="32"/>
              </w:rPr>
            </w:pPr>
          </w:p>
        </w:tc>
        <w:tc>
          <w:tcPr>
            <w:tcW w:w="421" w:type="pct"/>
            <w:vMerge w:val="continue"/>
            <w:shd w:val="clear" w:color="auto" w:fill="FFFFFF"/>
            <w:vAlign w:val="center"/>
          </w:tcPr>
          <w:p>
            <w:pPr>
              <w:widowControl w:val="0"/>
              <w:spacing w:beforeLines="20" w:after="0" w:line="240" w:lineRule="auto"/>
              <w:ind w:left="0" w:firstLine="0"/>
              <w:jc w:val="center"/>
              <w:rPr>
                <w:rFonts w:ascii="宋体" w:hAnsi="宋体" w:eastAsia="宋体" w:cs="Times New Roman"/>
                <w:color w:val="auto"/>
                <w:sz w:val="21"/>
                <w:szCs w:val="32"/>
              </w:rPr>
            </w:pPr>
          </w:p>
        </w:tc>
        <w:tc>
          <w:tcPr>
            <w:tcW w:w="515" w:type="pct"/>
            <w:shd w:val="clear" w:color="auto" w:fill="FAE600"/>
            <w:vAlign w:val="center"/>
          </w:tcPr>
          <w:p>
            <w:pPr>
              <w:widowControl w:val="0"/>
              <w:spacing w:beforeLines="20" w:after="0" w:line="320" w:lineRule="exact"/>
              <w:ind w:left="0" w:firstLine="0"/>
              <w:jc w:val="center"/>
              <w:rPr>
                <w:rFonts w:ascii="Calibri" w:hAnsi="Calibri" w:eastAsia="宋体" w:cs="Times New Roman"/>
                <w:b/>
                <w:color w:val="auto"/>
                <w:sz w:val="28"/>
                <w:szCs w:val="24"/>
              </w:rPr>
            </w:pPr>
            <w:r>
              <w:rPr>
                <w:rFonts w:hint="eastAsia" w:ascii="Calibri" w:hAnsi="Calibri" w:eastAsia="宋体" w:cs="Times New Roman"/>
                <w:b/>
                <w:color w:val="auto"/>
                <w:sz w:val="28"/>
                <w:szCs w:val="24"/>
              </w:rPr>
              <w:t>车辆伤害</w:t>
            </w:r>
          </w:p>
        </w:tc>
        <w:tc>
          <w:tcPr>
            <w:tcW w:w="1731" w:type="pct"/>
            <w:shd w:val="clear" w:color="auto" w:fill="FFFFFF"/>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1.不得酒后、疲劳驾车，遵守道路交通规则；</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2.户外巡查时注意院内来往车辆；</w:t>
            </w:r>
          </w:p>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3.遵守站区安全管理规定，服从现场人员指挥。</w:t>
            </w:r>
          </w:p>
        </w:tc>
        <w:tc>
          <w:tcPr>
            <w:tcW w:w="1782" w:type="pct"/>
            <w:shd w:val="clear" w:color="auto" w:fill="FFFFFF"/>
            <w:vAlign w:val="center"/>
          </w:tcPr>
          <w:p>
            <w:pPr>
              <w:widowControl w:val="0"/>
              <w:spacing w:beforeLines="20" w:after="0" w:line="240" w:lineRule="auto"/>
              <w:ind w:left="0" w:firstLine="0"/>
              <w:jc w:val="both"/>
              <w:rPr>
                <w:rFonts w:ascii="宋体" w:hAnsi="宋体" w:eastAsia="宋体" w:cs="Times New Roman"/>
                <w:color w:val="auto"/>
                <w:sz w:val="21"/>
                <w:szCs w:val="32"/>
              </w:rPr>
            </w:pPr>
            <w:r>
              <w:rPr>
                <w:rFonts w:hint="eastAsia" w:ascii="宋体" w:hAnsi="宋体" w:eastAsia="宋体" w:cs="Times New Roman"/>
                <w:color w:val="auto"/>
                <w:sz w:val="21"/>
                <w:szCs w:val="32"/>
              </w:rPr>
              <w:t>1.远离事故车辆和道路现场摆放警示标识，打开车辆轮廓灯；2.积极抢救伤员，转移伤员至安全区或设置警戒区；3.及时上报并拨打救援电话。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680" w:hRule="atLeast"/>
        </w:trPr>
        <w:tc>
          <w:tcPr>
            <w:tcW w:w="551" w:type="pct"/>
            <w:vMerge w:val="continue"/>
            <w:shd w:val="clear" w:color="auto" w:fill="FFFFFF"/>
          </w:tcPr>
          <w:p>
            <w:pPr>
              <w:widowControl w:val="0"/>
              <w:spacing w:beforeLines="100" w:afterLines="50" w:line="360" w:lineRule="auto"/>
              <w:ind w:left="0" w:firstLine="0"/>
              <w:jc w:val="both"/>
              <w:rPr>
                <w:rFonts w:ascii="宋体" w:hAnsi="宋体" w:eastAsia="宋体" w:cs="Times New Roman"/>
                <w:b/>
                <w:color w:val="auto"/>
                <w:sz w:val="21"/>
                <w:szCs w:val="32"/>
              </w:rPr>
            </w:pPr>
          </w:p>
        </w:tc>
        <w:tc>
          <w:tcPr>
            <w:tcW w:w="421" w:type="pct"/>
            <w:vMerge w:val="continue"/>
            <w:shd w:val="clear" w:color="auto" w:fill="FFFFFF"/>
            <w:vAlign w:val="center"/>
          </w:tcPr>
          <w:p>
            <w:pPr>
              <w:widowControl w:val="0"/>
              <w:spacing w:beforeLines="20" w:after="0" w:line="240" w:lineRule="auto"/>
              <w:ind w:left="0" w:firstLine="0"/>
              <w:jc w:val="center"/>
              <w:rPr>
                <w:rFonts w:ascii="宋体" w:hAnsi="宋体" w:eastAsia="宋体" w:cs="Times New Roman"/>
                <w:color w:val="auto"/>
                <w:sz w:val="21"/>
                <w:szCs w:val="32"/>
              </w:rPr>
            </w:pPr>
          </w:p>
        </w:tc>
        <w:tc>
          <w:tcPr>
            <w:tcW w:w="515" w:type="pct"/>
            <w:shd w:val="clear" w:color="auto" w:fill="3764FF"/>
            <w:vAlign w:val="center"/>
          </w:tcPr>
          <w:p>
            <w:pPr>
              <w:widowControl w:val="0"/>
              <w:spacing w:beforeLines="20" w:after="0" w:line="320" w:lineRule="exact"/>
              <w:ind w:left="0" w:firstLine="0"/>
              <w:jc w:val="center"/>
              <w:rPr>
                <w:rFonts w:ascii="Calibri" w:hAnsi="Calibri" w:eastAsia="宋体" w:cs="Times New Roman"/>
                <w:b/>
                <w:color w:val="auto"/>
                <w:sz w:val="28"/>
                <w:szCs w:val="24"/>
              </w:rPr>
            </w:pPr>
            <w:r>
              <w:rPr>
                <w:rFonts w:hint="eastAsia" w:ascii="Calibri" w:hAnsi="Calibri" w:eastAsia="宋体" w:cs="Times New Roman"/>
                <w:b/>
                <w:color w:val="auto"/>
                <w:sz w:val="28"/>
                <w:szCs w:val="24"/>
              </w:rPr>
              <w:t>暴力伤害与纠纷</w:t>
            </w:r>
          </w:p>
        </w:tc>
        <w:tc>
          <w:tcPr>
            <w:tcW w:w="1731" w:type="pct"/>
            <w:shd w:val="clear" w:color="auto" w:fill="FFFFFF"/>
            <w:vAlign w:val="center"/>
          </w:tcPr>
          <w:p>
            <w:pPr>
              <w:widowControl w:val="0"/>
              <w:spacing w:after="0" w:line="240" w:lineRule="auto"/>
              <w:ind w:left="0" w:firstLine="0"/>
              <w:rPr>
                <w:rFonts w:ascii="宋体" w:hAnsi="宋体" w:eastAsia="宋体" w:cs="Times New Roman"/>
                <w:color w:val="auto"/>
                <w:sz w:val="21"/>
                <w:szCs w:val="32"/>
              </w:rPr>
            </w:pPr>
            <w:r>
              <w:rPr>
                <w:rFonts w:hint="eastAsia" w:ascii="宋体" w:hAnsi="宋体" w:eastAsia="宋体" w:cs="Times New Roman"/>
                <w:color w:val="auto"/>
                <w:sz w:val="21"/>
                <w:szCs w:val="32"/>
              </w:rPr>
              <w:t>1.严格遵守中心人员出入管理规定；</w:t>
            </w:r>
            <w:r>
              <w:rPr>
                <w:rFonts w:ascii="宋体" w:hAnsi="宋体" w:eastAsia="宋体" w:cs="Times New Roman"/>
                <w:color w:val="auto"/>
                <w:sz w:val="21"/>
                <w:szCs w:val="32"/>
              </w:rPr>
              <w:t xml:space="preserve"> </w:t>
            </w:r>
          </w:p>
          <w:p>
            <w:pPr>
              <w:widowControl w:val="0"/>
              <w:spacing w:after="0" w:line="240" w:lineRule="auto"/>
              <w:ind w:left="0" w:firstLine="0"/>
              <w:rPr>
                <w:rFonts w:ascii="宋体" w:hAnsi="宋体" w:eastAsia="宋体" w:cs="Times New Roman"/>
                <w:color w:val="auto"/>
                <w:sz w:val="21"/>
                <w:szCs w:val="32"/>
              </w:rPr>
            </w:pPr>
            <w:r>
              <w:rPr>
                <w:rFonts w:ascii="宋体" w:hAnsi="宋体" w:eastAsia="宋体" w:cs="Times New Roman"/>
                <w:color w:val="auto"/>
                <w:sz w:val="21"/>
                <w:szCs w:val="32"/>
              </w:rPr>
              <w:t>2.</w:t>
            </w:r>
            <w:r>
              <w:rPr>
                <w:rFonts w:hint="eastAsia" w:ascii="宋体" w:hAnsi="宋体" w:eastAsia="宋体" w:cs="Times New Roman"/>
                <w:color w:val="auto"/>
                <w:sz w:val="21"/>
                <w:szCs w:val="32"/>
              </w:rPr>
              <w:t>确保警卫室内防暴器材齐全有效；</w:t>
            </w:r>
            <w:r>
              <w:rPr>
                <w:rFonts w:ascii="宋体" w:hAnsi="宋体" w:eastAsia="宋体" w:cs="Times New Roman"/>
                <w:color w:val="auto"/>
                <w:sz w:val="21"/>
                <w:szCs w:val="32"/>
              </w:rPr>
              <w:t xml:space="preserve"> </w:t>
            </w:r>
          </w:p>
          <w:p>
            <w:pPr>
              <w:widowControl w:val="0"/>
              <w:spacing w:after="0" w:line="240" w:lineRule="auto"/>
              <w:ind w:left="0" w:firstLine="0"/>
              <w:rPr>
                <w:rFonts w:ascii="宋体" w:hAnsi="宋体" w:eastAsia="宋体" w:cs="Times New Roman"/>
                <w:color w:val="auto"/>
                <w:sz w:val="21"/>
                <w:szCs w:val="32"/>
              </w:rPr>
            </w:pPr>
            <w:r>
              <w:rPr>
                <w:rFonts w:hint="eastAsia" w:ascii="宋体" w:hAnsi="宋体" w:eastAsia="宋体" w:cs="Times New Roman"/>
                <w:color w:val="auto"/>
                <w:sz w:val="21"/>
                <w:szCs w:val="32"/>
              </w:rPr>
              <w:t>3.注意工作态度与方式方法，认真学习防暴应急处置方法。</w:t>
            </w:r>
          </w:p>
        </w:tc>
        <w:tc>
          <w:tcPr>
            <w:tcW w:w="1782" w:type="pct"/>
            <w:shd w:val="clear" w:color="auto" w:fill="FFFFFF"/>
            <w:vAlign w:val="center"/>
          </w:tcPr>
          <w:p>
            <w:pPr>
              <w:widowControl w:val="0"/>
              <w:spacing w:after="0" w:line="240" w:lineRule="auto"/>
              <w:ind w:left="0" w:firstLine="0"/>
              <w:rPr>
                <w:rFonts w:ascii="宋体" w:hAnsi="宋体" w:eastAsia="宋体" w:cs="Times New Roman"/>
                <w:color w:val="auto"/>
                <w:sz w:val="21"/>
                <w:szCs w:val="32"/>
              </w:rPr>
            </w:pPr>
            <w:r>
              <w:rPr>
                <w:rFonts w:hint="eastAsia" w:ascii="宋体" w:hAnsi="宋体" w:eastAsia="宋体" w:cs="Times New Roman"/>
                <w:color w:val="auto"/>
                <w:sz w:val="21"/>
                <w:szCs w:val="32"/>
              </w:rPr>
              <w:t>1.注意工作态度与方式方法，必要时拨打110电话；</w:t>
            </w:r>
          </w:p>
          <w:p>
            <w:pPr>
              <w:widowControl w:val="0"/>
              <w:spacing w:after="0" w:line="240" w:lineRule="auto"/>
              <w:ind w:left="0" w:firstLine="0"/>
              <w:rPr>
                <w:rFonts w:ascii="宋体" w:hAnsi="宋体" w:eastAsia="宋体" w:cs="Times New Roman"/>
                <w:color w:val="auto"/>
                <w:sz w:val="21"/>
                <w:szCs w:val="32"/>
              </w:rPr>
            </w:pPr>
            <w:r>
              <w:rPr>
                <w:rFonts w:hint="eastAsia" w:ascii="宋体" w:hAnsi="宋体" w:eastAsia="宋体" w:cs="Times New Roman"/>
                <w:color w:val="auto"/>
                <w:sz w:val="21"/>
                <w:szCs w:val="32"/>
              </w:rPr>
              <w:t>2.有人员伤亡时，及时拨打120电话；</w:t>
            </w:r>
          </w:p>
          <w:p>
            <w:pPr>
              <w:widowControl w:val="0"/>
              <w:spacing w:after="0" w:line="240" w:lineRule="auto"/>
              <w:ind w:left="0" w:firstLine="0"/>
              <w:rPr>
                <w:rFonts w:ascii="宋体" w:hAnsi="宋体" w:eastAsia="宋体" w:cs="Times New Roman"/>
                <w:color w:val="auto"/>
                <w:sz w:val="21"/>
                <w:szCs w:val="32"/>
              </w:rPr>
            </w:pPr>
            <w:r>
              <w:rPr>
                <w:rFonts w:hint="eastAsia" w:ascii="宋体" w:hAnsi="宋体" w:eastAsia="宋体" w:cs="Times New Roman"/>
                <w:color w:val="auto"/>
                <w:sz w:val="21"/>
                <w:szCs w:val="32"/>
              </w:rPr>
              <w:t>3.视情况拨打本单位和部门负责人电话，告知事故情况。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487" w:type="pct"/>
            <w:gridSpan w:val="3"/>
            <w:tcBorders>
              <w:bottom w:val="single" w:color="auto" w:sz="4" w:space="0"/>
            </w:tcBorders>
            <w:shd w:val="clear" w:color="auto" w:fill="FFFFFF"/>
            <w:vAlign w:val="center"/>
          </w:tcPr>
          <w:p>
            <w:pPr>
              <w:spacing w:beforeLines="20" w:after="0" w:line="240" w:lineRule="auto"/>
              <w:ind w:left="0" w:firstLine="0"/>
              <w:rPr>
                <w:rFonts w:ascii="宋体" w:hAnsi="宋体" w:eastAsia="宋体" w:cs="Times New Roman"/>
                <w:b/>
                <w:color w:val="auto"/>
                <w:kern w:val="0"/>
                <w:szCs w:val="24"/>
              </w:rPr>
            </w:pPr>
            <w:r>
              <w:rPr>
                <w:rFonts w:hint="eastAsia" w:ascii="宋体" w:hAnsi="宋体" w:eastAsia="宋体" w:cs="Times New Roman"/>
                <w:b/>
                <w:color w:val="auto"/>
                <w:kern w:val="0"/>
                <w:szCs w:val="24"/>
              </w:rPr>
              <w:t>值班</w:t>
            </w:r>
            <w:r>
              <w:rPr>
                <w:rFonts w:ascii="宋体" w:hAnsi="宋体" w:eastAsia="宋体" w:cs="Times New Roman"/>
                <w:b/>
                <w:color w:val="auto"/>
                <w:kern w:val="0"/>
                <w:szCs w:val="24"/>
              </w:rPr>
              <w:t>电话</w:t>
            </w:r>
            <w:r>
              <w:rPr>
                <w:rFonts w:hint="eastAsia" w:ascii="宋体" w:hAnsi="宋体" w:eastAsia="宋体" w:cs="Times New Roman"/>
                <w:b/>
                <w:color w:val="auto"/>
                <w:kern w:val="0"/>
                <w:szCs w:val="24"/>
              </w:rPr>
              <w:t>：</w:t>
            </w:r>
          </w:p>
        </w:tc>
        <w:tc>
          <w:tcPr>
            <w:tcW w:w="3513" w:type="pct"/>
            <w:gridSpan w:val="2"/>
            <w:tcBorders>
              <w:bottom w:val="single" w:color="auto" w:sz="4" w:space="0"/>
            </w:tcBorders>
            <w:shd w:val="clear" w:color="auto" w:fill="FFFFFF"/>
            <w:vAlign w:val="center"/>
          </w:tcPr>
          <w:p>
            <w:pPr>
              <w:spacing w:beforeLines="20" w:after="0" w:line="240" w:lineRule="auto"/>
              <w:ind w:left="0" w:firstLine="0"/>
              <w:jc w:val="center"/>
              <w:rPr>
                <w:rFonts w:ascii="宋体" w:hAnsi="宋体" w:eastAsia="宋体" w:cs="Times New Roman"/>
                <w:b/>
                <w:color w:val="auto"/>
                <w:kern w:val="0"/>
                <w:szCs w:val="24"/>
              </w:rPr>
            </w:pPr>
            <w:r>
              <w:rPr>
                <w:rFonts w:ascii="宋体" w:hAnsi="宋体" w:eastAsia="宋体" w:cs="Times New Roman"/>
                <w:b/>
                <w:color w:val="auto"/>
                <w:kern w:val="0"/>
                <w:szCs w:val="24"/>
              </w:rPr>
              <w:t xml:space="preserve">      </w:t>
            </w:r>
            <w:r>
              <w:rPr>
                <w:rFonts w:hint="eastAsia" w:ascii="宋体" w:hAnsi="宋体" w:eastAsia="宋体" w:cs="Times New Roman"/>
                <w:b/>
                <w:color w:val="auto"/>
                <w:kern w:val="0"/>
                <w:szCs w:val="24"/>
              </w:rPr>
              <w:t xml:space="preserve">  </w:t>
            </w:r>
            <w:r>
              <w:rPr>
                <w:rFonts w:ascii="宋体" w:hAnsi="宋体" w:eastAsia="宋体" w:cs="Times New Roman"/>
                <w:b/>
                <w:color w:val="auto"/>
                <w:kern w:val="0"/>
                <w:szCs w:val="24"/>
              </w:rPr>
              <w:t>消防</w:t>
            </w:r>
            <w:r>
              <w:rPr>
                <w:rFonts w:hint="eastAsia" w:ascii="宋体" w:hAnsi="宋体" w:eastAsia="宋体" w:cs="Times New Roman"/>
                <w:b/>
                <w:color w:val="auto"/>
                <w:kern w:val="0"/>
                <w:szCs w:val="24"/>
              </w:rPr>
              <w:t>：119    急救：120    公安：110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000" w:type="pct"/>
            <w:gridSpan w:val="5"/>
            <w:shd w:val="clear" w:color="auto" w:fill="FFFFFF"/>
            <w:vAlign w:val="center"/>
          </w:tcPr>
          <w:p>
            <w:pPr>
              <w:spacing w:beforeLines="20" w:after="0" w:line="240" w:lineRule="auto"/>
              <w:ind w:left="0" w:firstLine="0"/>
              <w:rPr>
                <w:rFonts w:ascii="宋体" w:hAnsi="宋体" w:eastAsia="宋体" w:cs="Times New Roman"/>
                <w:b/>
                <w:color w:val="auto"/>
                <w:szCs w:val="24"/>
              </w:rPr>
            </w:pPr>
            <w:r>
              <w:rPr>
                <w:rFonts w:ascii="宋体" w:hAnsi="宋体" w:eastAsia="宋体" w:cs="Times New Roman"/>
                <w:b/>
                <w:color w:val="auto"/>
                <w:szCs w:val="24"/>
              </w:rPr>
              <w:t>作业小组成员</w:t>
            </w:r>
            <w:r>
              <w:rPr>
                <w:rFonts w:hint="eastAsia" w:ascii="宋体" w:hAnsi="宋体" w:eastAsia="宋体" w:cs="Times New Roman"/>
                <w:b/>
                <w:color w:val="auto"/>
                <w:szCs w:val="24"/>
              </w:rPr>
              <w:t>：</w:t>
            </w:r>
          </w:p>
        </w:tc>
      </w:tr>
    </w:tbl>
    <w:p>
      <w:pPr>
        <w:widowControl w:val="0"/>
        <w:spacing w:after="0" w:line="560" w:lineRule="exact"/>
        <w:ind w:left="0" w:firstLine="0"/>
        <w:jc w:val="center"/>
        <w:rPr>
          <w:rFonts w:ascii="华文隶书" w:hAnsi="华文中宋" w:eastAsia="华文隶书"/>
          <w:b/>
          <w:color w:val="auto"/>
          <w:sz w:val="32"/>
          <w:szCs w:val="32"/>
        </w:rPr>
      </w:pPr>
      <w:r>
        <w:rPr>
          <w:rFonts w:hint="eastAsia" w:ascii="华文隶书" w:hAnsi="华文中宋" w:eastAsia="华文隶书"/>
          <w:b/>
          <w:color w:val="auto"/>
          <w:sz w:val="32"/>
          <w:szCs w:val="32"/>
        </w:rPr>
        <w:t>安全第一      预防为主                           防风险     除隐患     遏事故</w:t>
      </w:r>
    </w:p>
    <w:p>
      <w:pPr>
        <w:widowControl w:val="0"/>
        <w:spacing w:after="0" w:line="560" w:lineRule="exact"/>
        <w:ind w:left="0" w:firstLine="0"/>
        <w:jc w:val="center"/>
        <w:rPr>
          <w:rFonts w:ascii="华文隶书" w:hAnsi="华文中宋" w:eastAsia="华文隶书"/>
          <w:b/>
          <w:color w:val="auto"/>
          <w:sz w:val="32"/>
          <w:szCs w:val="32"/>
        </w:rPr>
        <w:sectPr>
          <w:headerReference r:id="rId9" w:type="default"/>
          <w:footerReference r:id="rId10" w:type="default"/>
          <w:pgSz w:w="16838" w:h="11906" w:orient="landscape"/>
          <w:pgMar w:top="1134" w:right="1134" w:bottom="1134" w:left="777" w:header="340" w:footer="567" w:gutter="0"/>
          <w:cols w:space="425" w:num="1"/>
          <w:docGrid w:type="lines" w:linePitch="326" w:charSpace="0"/>
        </w:sectPr>
      </w:pPr>
    </w:p>
    <w:p>
      <w:pPr>
        <w:widowControl w:val="0"/>
        <w:spacing w:after="0" w:line="360" w:lineRule="auto"/>
        <w:ind w:left="0" w:firstLine="0"/>
        <w:jc w:val="center"/>
        <w:outlineLvl w:val="0"/>
        <w:rPr>
          <w:rFonts w:cs="Calibri" w:asciiTheme="minorEastAsia" w:hAnsiTheme="minorEastAsia" w:eastAsiaTheme="minorEastAsia"/>
          <w:b/>
          <w:color w:val="auto"/>
          <w:sz w:val="36"/>
          <w:szCs w:val="24"/>
        </w:rPr>
      </w:pPr>
      <w:bookmarkStart w:id="20" w:name="_Toc80301753"/>
      <w:r>
        <w:rPr>
          <w:rFonts w:hint="eastAsia" w:cs="Calibri" w:asciiTheme="minorEastAsia" w:hAnsiTheme="minorEastAsia" w:eastAsiaTheme="minorEastAsia"/>
          <w:b/>
          <w:color w:val="auto"/>
          <w:sz w:val="32"/>
          <w:szCs w:val="24"/>
        </w:rPr>
        <w:t>第三章 隐患排查治理</w:t>
      </w:r>
      <w:bookmarkEnd w:id="20"/>
    </w:p>
    <w:p>
      <w:pPr>
        <w:widowControl w:val="0"/>
        <w:spacing w:beforeLines="50" w:afterLines="50" w:line="560" w:lineRule="exact"/>
        <w:ind w:left="0" w:hanging="11"/>
        <w:outlineLvl w:val="1"/>
        <w:rPr>
          <w:rFonts w:cs="Calibri" w:asciiTheme="minorEastAsia" w:hAnsiTheme="minorEastAsia" w:eastAsiaTheme="minorEastAsia"/>
          <w:b/>
          <w:color w:val="auto"/>
          <w:sz w:val="28"/>
          <w:szCs w:val="24"/>
        </w:rPr>
      </w:pPr>
      <w:bookmarkStart w:id="21" w:name="_Toc80301754"/>
      <w:r>
        <w:rPr>
          <w:rFonts w:hint="eastAsia" w:cs="Calibri" w:asciiTheme="minorEastAsia" w:hAnsiTheme="minorEastAsia" w:eastAsiaTheme="minorEastAsia"/>
          <w:b/>
          <w:color w:val="auto"/>
          <w:sz w:val="28"/>
          <w:szCs w:val="24"/>
        </w:rPr>
        <w:t>3.1隐患排查清单</w:t>
      </w:r>
      <w:bookmarkEnd w:id="21"/>
    </w:p>
    <w:p>
      <w:pPr>
        <w:widowControl w:val="0"/>
        <w:spacing w:after="0" w:line="560" w:lineRule="exact"/>
        <w:ind w:left="0" w:firstLine="472" w:firstLineChars="200"/>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按照中电建冀交高速公路投资发展有限公司安全生产管理制度及风险分级管控清单，制定收费站隐患排查清单如下：</w:t>
      </w:r>
    </w:p>
    <w:p>
      <w:pPr>
        <w:spacing w:after="0" w:line="240" w:lineRule="auto"/>
        <w:ind w:left="0" w:firstLine="0"/>
        <w:rPr>
          <w:rFonts w:cs="Calibri" w:asciiTheme="minorEastAsia" w:hAnsiTheme="minorEastAsia" w:eastAsiaTheme="minorEastAsia"/>
          <w:color w:val="auto"/>
          <w:szCs w:val="24"/>
        </w:rPr>
      </w:pPr>
    </w:p>
    <w:p>
      <w:pPr>
        <w:widowControl w:val="0"/>
        <w:spacing w:after="0" w:line="360" w:lineRule="auto"/>
        <w:ind w:left="0" w:firstLine="482"/>
        <w:jc w:val="both"/>
        <w:rPr>
          <w:rFonts w:cs="Calibri" w:asciiTheme="minorEastAsia" w:hAnsiTheme="minorEastAsia" w:eastAsiaTheme="minorEastAsia"/>
          <w:b/>
          <w:color w:val="auto"/>
          <w:szCs w:val="24"/>
        </w:rPr>
      </w:pPr>
    </w:p>
    <w:p>
      <w:pPr>
        <w:widowControl w:val="0"/>
        <w:spacing w:after="0" w:line="560" w:lineRule="exact"/>
        <w:ind w:left="0" w:firstLine="472" w:firstLineChars="200"/>
        <w:rPr>
          <w:rFonts w:cs="Calibri" w:asciiTheme="minorEastAsia" w:hAnsiTheme="minorEastAsia" w:eastAsiaTheme="minorEastAsia"/>
          <w:b/>
          <w:color w:val="auto"/>
          <w:szCs w:val="24"/>
        </w:rPr>
        <w:sectPr>
          <w:headerReference r:id="rId11" w:type="default"/>
          <w:footerReference r:id="rId12" w:type="default"/>
          <w:pgSz w:w="11906" w:h="16838"/>
          <w:pgMar w:top="1985" w:right="1531" w:bottom="1985" w:left="1531" w:header="1304" w:footer="850" w:gutter="0"/>
          <w:cols w:space="720" w:num="1"/>
          <w:docGrid w:type="linesAndChars" w:linePitch="584" w:charSpace="-849"/>
        </w:sectPr>
      </w:pPr>
    </w:p>
    <w:p>
      <w:pPr>
        <w:widowControl w:val="0"/>
        <w:spacing w:after="0" w:line="560" w:lineRule="exact"/>
        <w:ind w:left="0" w:firstLine="412" w:firstLineChars="200"/>
        <w:jc w:val="center"/>
        <w:rPr>
          <w:rFonts w:cs="Calibri" w:asciiTheme="minorEastAsia" w:hAnsiTheme="minorEastAsia" w:eastAsiaTheme="minorEastAsia"/>
          <w:b/>
          <w:color w:val="auto"/>
          <w:sz w:val="21"/>
          <w:szCs w:val="24"/>
        </w:rPr>
      </w:pPr>
      <w:r>
        <w:rPr>
          <w:rFonts w:hint="eastAsia" w:cs="Calibri" w:asciiTheme="minorEastAsia" w:hAnsiTheme="minorEastAsia" w:eastAsiaTheme="minorEastAsia"/>
          <w:b/>
          <w:color w:val="auto"/>
          <w:sz w:val="21"/>
          <w:szCs w:val="24"/>
        </w:rPr>
        <w:t>表3-1 收费站隐患排查清单</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516"/>
        <w:gridCol w:w="416"/>
        <w:gridCol w:w="416"/>
        <w:gridCol w:w="619"/>
        <w:gridCol w:w="2706"/>
        <w:gridCol w:w="845"/>
        <w:gridCol w:w="3928"/>
        <w:gridCol w:w="417"/>
        <w:gridCol w:w="417"/>
        <w:gridCol w:w="417"/>
        <w:gridCol w:w="417"/>
        <w:gridCol w:w="866"/>
        <w:gridCol w:w="623"/>
        <w:gridCol w:w="48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59" w:hRule="atLeast"/>
        </w:trPr>
        <w:tc>
          <w:tcPr>
            <w:tcW w:w="120" w:type="pct"/>
            <w:vMerge w:val="restart"/>
            <w:shd w:val="clear" w:color="000000" w:fill="F2F2F2"/>
            <w:vAlign w:val="center"/>
          </w:tcPr>
          <w:p>
            <w:pPr>
              <w:spacing w:after="0" w:line="320" w:lineRule="exact"/>
              <w:ind w:left="0" w:firstLine="0"/>
              <w:jc w:val="center"/>
              <w:rPr>
                <w:rFonts w:ascii="宋体" w:hAnsi="宋体" w:eastAsia="宋体" w:cs="宋体"/>
                <w:b/>
                <w:bCs/>
                <w:color w:val="auto"/>
                <w:kern w:val="0"/>
                <w:sz w:val="20"/>
                <w:szCs w:val="20"/>
              </w:rPr>
            </w:pPr>
            <w:r>
              <w:rPr>
                <w:rFonts w:hint="eastAsia" w:ascii="宋体" w:hAnsi="宋体" w:eastAsia="宋体" w:cs="宋体"/>
                <w:b/>
                <w:bCs/>
                <w:color w:val="auto"/>
                <w:kern w:val="0"/>
                <w:sz w:val="20"/>
                <w:szCs w:val="20"/>
              </w:rPr>
              <w:t>序号</w:t>
            </w:r>
          </w:p>
        </w:tc>
        <w:tc>
          <w:tcPr>
            <w:tcW w:w="2011" w:type="pct"/>
            <w:gridSpan w:val="5"/>
            <w:shd w:val="clear" w:color="000000" w:fill="F2F2F2"/>
            <w:vAlign w:val="center"/>
          </w:tcPr>
          <w:p>
            <w:pPr>
              <w:spacing w:after="0" w:line="320" w:lineRule="exact"/>
              <w:ind w:left="0" w:firstLine="0"/>
              <w:jc w:val="center"/>
              <w:rPr>
                <w:rFonts w:ascii="宋体" w:hAnsi="宋体" w:eastAsia="宋体" w:cs="宋体"/>
                <w:b/>
                <w:bCs/>
                <w:color w:val="auto"/>
                <w:kern w:val="0"/>
                <w:sz w:val="20"/>
                <w:szCs w:val="20"/>
              </w:rPr>
            </w:pPr>
            <w:r>
              <w:rPr>
                <w:rFonts w:hint="eastAsia" w:ascii="宋体" w:hAnsi="宋体" w:eastAsia="宋体" w:cs="宋体"/>
                <w:b/>
                <w:bCs/>
                <w:color w:val="auto"/>
                <w:kern w:val="0"/>
                <w:sz w:val="20"/>
                <w:szCs w:val="20"/>
              </w:rPr>
              <w:t>风险分级管控</w:t>
            </w:r>
          </w:p>
        </w:tc>
        <w:tc>
          <w:tcPr>
            <w:tcW w:w="2869" w:type="pct"/>
            <w:gridSpan w:val="8"/>
            <w:shd w:val="clear" w:color="000000" w:fill="F2F2F2"/>
            <w:vAlign w:val="center"/>
          </w:tcPr>
          <w:p>
            <w:pPr>
              <w:spacing w:after="0" w:line="320" w:lineRule="exact"/>
              <w:ind w:left="0" w:firstLine="0"/>
              <w:jc w:val="center"/>
              <w:rPr>
                <w:rFonts w:ascii="宋体" w:hAnsi="宋体" w:eastAsia="宋体" w:cs="宋体"/>
                <w:b/>
                <w:bCs/>
                <w:color w:val="auto"/>
                <w:kern w:val="0"/>
                <w:sz w:val="20"/>
                <w:szCs w:val="20"/>
              </w:rPr>
            </w:pPr>
            <w:r>
              <w:rPr>
                <w:rFonts w:hint="eastAsia" w:ascii="宋体" w:hAnsi="宋体" w:eastAsia="宋体" w:cs="宋体"/>
                <w:b/>
                <w:bCs/>
                <w:color w:val="auto"/>
                <w:kern w:val="0"/>
                <w:sz w:val="20"/>
                <w:szCs w:val="20"/>
              </w:rPr>
              <w:t>隐患排查治理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0" w:hRule="atLeast"/>
        </w:trPr>
        <w:tc>
          <w:tcPr>
            <w:tcW w:w="120" w:type="pct"/>
            <w:vMerge w:val="continue"/>
            <w:vAlign w:val="center"/>
          </w:tcPr>
          <w:p>
            <w:pPr>
              <w:spacing w:after="0" w:line="320" w:lineRule="exact"/>
              <w:ind w:left="0" w:firstLine="0"/>
              <w:rPr>
                <w:rFonts w:ascii="宋体" w:hAnsi="宋体" w:eastAsia="宋体" w:cs="宋体"/>
                <w:b/>
                <w:bCs/>
                <w:color w:val="auto"/>
                <w:kern w:val="0"/>
                <w:sz w:val="20"/>
                <w:szCs w:val="20"/>
              </w:rPr>
            </w:pPr>
          </w:p>
        </w:tc>
        <w:tc>
          <w:tcPr>
            <w:tcW w:w="302" w:type="pct"/>
            <w:gridSpan w:val="2"/>
            <w:vMerge w:val="restart"/>
            <w:shd w:val="clear" w:color="000000" w:fill="F2F2F2"/>
            <w:vAlign w:val="center"/>
          </w:tcPr>
          <w:p>
            <w:pPr>
              <w:spacing w:after="0" w:line="320" w:lineRule="exact"/>
              <w:ind w:left="0" w:firstLine="0"/>
              <w:jc w:val="center"/>
              <w:rPr>
                <w:rFonts w:ascii="宋体" w:hAnsi="宋体" w:eastAsia="宋体" w:cs="宋体"/>
                <w:b/>
                <w:bCs/>
                <w:color w:val="auto"/>
                <w:kern w:val="0"/>
                <w:sz w:val="20"/>
                <w:szCs w:val="20"/>
              </w:rPr>
            </w:pPr>
            <w:r>
              <w:rPr>
                <w:rFonts w:hint="eastAsia" w:ascii="宋体" w:hAnsi="宋体" w:eastAsia="宋体" w:cs="宋体"/>
                <w:b/>
                <w:bCs/>
                <w:color w:val="auto"/>
                <w:kern w:val="0"/>
                <w:sz w:val="20"/>
                <w:szCs w:val="20"/>
              </w:rPr>
              <w:t>风险点</w:t>
            </w:r>
          </w:p>
        </w:tc>
        <w:tc>
          <w:tcPr>
            <w:tcW w:w="294" w:type="pct"/>
            <w:vMerge w:val="restart"/>
            <w:shd w:val="clear" w:color="000000" w:fill="F2F2F2"/>
            <w:vAlign w:val="center"/>
          </w:tcPr>
          <w:p>
            <w:pPr>
              <w:spacing w:after="0" w:line="320" w:lineRule="exact"/>
              <w:ind w:left="0" w:firstLine="0"/>
              <w:jc w:val="center"/>
              <w:rPr>
                <w:rFonts w:ascii="宋体" w:hAnsi="宋体" w:eastAsia="宋体" w:cs="宋体"/>
                <w:b/>
                <w:bCs/>
                <w:color w:val="auto"/>
                <w:kern w:val="0"/>
                <w:sz w:val="20"/>
                <w:szCs w:val="20"/>
              </w:rPr>
            </w:pPr>
            <w:r>
              <w:rPr>
                <w:rFonts w:hint="eastAsia" w:ascii="宋体" w:hAnsi="宋体" w:eastAsia="宋体" w:cs="宋体"/>
                <w:b/>
                <w:bCs/>
                <w:color w:val="auto"/>
                <w:kern w:val="0"/>
                <w:sz w:val="20"/>
                <w:szCs w:val="20"/>
              </w:rPr>
              <w:t>风险事件</w:t>
            </w:r>
          </w:p>
        </w:tc>
        <w:tc>
          <w:tcPr>
            <w:tcW w:w="1063" w:type="pct"/>
            <w:vMerge w:val="restart"/>
            <w:shd w:val="clear" w:color="000000" w:fill="F2F2F2"/>
            <w:vAlign w:val="center"/>
          </w:tcPr>
          <w:p>
            <w:pPr>
              <w:spacing w:after="0" w:line="320" w:lineRule="exact"/>
              <w:ind w:left="0" w:firstLine="0"/>
              <w:jc w:val="center"/>
              <w:rPr>
                <w:rFonts w:ascii="宋体" w:hAnsi="宋体" w:eastAsia="宋体" w:cs="宋体"/>
                <w:b/>
                <w:bCs/>
                <w:color w:val="auto"/>
                <w:kern w:val="0"/>
                <w:sz w:val="20"/>
                <w:szCs w:val="20"/>
              </w:rPr>
            </w:pPr>
            <w:r>
              <w:rPr>
                <w:rFonts w:hint="eastAsia" w:ascii="宋体" w:hAnsi="宋体" w:eastAsia="宋体" w:cs="宋体"/>
                <w:b/>
                <w:bCs/>
                <w:color w:val="auto"/>
                <w:kern w:val="0"/>
                <w:sz w:val="20"/>
                <w:szCs w:val="20"/>
              </w:rPr>
              <w:t>管控措施</w:t>
            </w:r>
          </w:p>
        </w:tc>
        <w:tc>
          <w:tcPr>
            <w:tcW w:w="351" w:type="pct"/>
            <w:vMerge w:val="restart"/>
            <w:shd w:val="clear" w:color="000000" w:fill="F2F2F2"/>
            <w:vAlign w:val="center"/>
          </w:tcPr>
          <w:p>
            <w:pPr>
              <w:spacing w:after="0" w:line="320" w:lineRule="exact"/>
              <w:ind w:left="0" w:firstLine="0"/>
              <w:jc w:val="center"/>
              <w:rPr>
                <w:rFonts w:ascii="宋体" w:hAnsi="宋体" w:eastAsia="宋体" w:cs="宋体"/>
                <w:b/>
                <w:bCs/>
                <w:color w:val="auto"/>
                <w:kern w:val="0"/>
                <w:sz w:val="20"/>
                <w:szCs w:val="20"/>
              </w:rPr>
            </w:pPr>
            <w:r>
              <w:rPr>
                <w:rFonts w:hint="eastAsia" w:ascii="宋体" w:hAnsi="宋体" w:eastAsia="宋体" w:cs="宋体"/>
                <w:b/>
                <w:bCs/>
                <w:color w:val="auto"/>
                <w:kern w:val="0"/>
                <w:sz w:val="20"/>
                <w:szCs w:val="20"/>
              </w:rPr>
              <w:t>失职部门与人员</w:t>
            </w:r>
          </w:p>
        </w:tc>
        <w:tc>
          <w:tcPr>
            <w:tcW w:w="1530" w:type="pct"/>
            <w:vMerge w:val="restart"/>
            <w:shd w:val="clear" w:color="000000" w:fill="F2F2F2"/>
            <w:vAlign w:val="center"/>
          </w:tcPr>
          <w:p>
            <w:pPr>
              <w:spacing w:after="0" w:line="320" w:lineRule="exact"/>
              <w:ind w:left="0" w:firstLine="0"/>
              <w:jc w:val="center"/>
              <w:rPr>
                <w:rFonts w:ascii="宋体" w:hAnsi="宋体" w:eastAsia="宋体" w:cs="宋体"/>
                <w:b/>
                <w:bCs/>
                <w:color w:val="auto"/>
                <w:kern w:val="0"/>
                <w:sz w:val="20"/>
                <w:szCs w:val="20"/>
              </w:rPr>
            </w:pPr>
            <w:r>
              <w:rPr>
                <w:rFonts w:hint="eastAsia" w:ascii="宋体" w:hAnsi="宋体" w:eastAsia="宋体" w:cs="宋体"/>
                <w:b/>
                <w:bCs/>
                <w:color w:val="auto"/>
                <w:kern w:val="0"/>
                <w:sz w:val="20"/>
                <w:szCs w:val="20"/>
              </w:rPr>
              <w:t>隐患排查内容与标准</w:t>
            </w:r>
          </w:p>
        </w:tc>
        <w:tc>
          <w:tcPr>
            <w:tcW w:w="254" w:type="pct"/>
            <w:gridSpan w:val="2"/>
            <w:shd w:val="clear" w:color="000000" w:fill="F2F2F2"/>
            <w:vAlign w:val="center"/>
          </w:tcPr>
          <w:p>
            <w:pPr>
              <w:spacing w:after="0" w:line="320" w:lineRule="exact"/>
              <w:ind w:left="0" w:firstLine="0"/>
              <w:jc w:val="center"/>
              <w:rPr>
                <w:rFonts w:ascii="宋体" w:hAnsi="宋体" w:eastAsia="宋体" w:cs="宋体"/>
                <w:b/>
                <w:bCs/>
                <w:color w:val="auto"/>
                <w:kern w:val="0"/>
                <w:sz w:val="20"/>
                <w:szCs w:val="20"/>
              </w:rPr>
            </w:pPr>
            <w:r>
              <w:rPr>
                <w:rFonts w:hint="eastAsia" w:ascii="宋体" w:hAnsi="宋体" w:eastAsia="宋体" w:cs="宋体"/>
                <w:b/>
                <w:bCs/>
                <w:color w:val="auto"/>
                <w:kern w:val="0"/>
                <w:sz w:val="20"/>
                <w:szCs w:val="20"/>
              </w:rPr>
              <w:t>日常排查</w:t>
            </w:r>
          </w:p>
        </w:tc>
        <w:tc>
          <w:tcPr>
            <w:tcW w:w="125" w:type="pct"/>
            <w:vMerge w:val="restart"/>
            <w:shd w:val="clear" w:color="000000" w:fill="F2F2F2"/>
            <w:vAlign w:val="center"/>
          </w:tcPr>
          <w:p>
            <w:pPr>
              <w:spacing w:after="0" w:line="320" w:lineRule="exact"/>
              <w:ind w:left="0" w:firstLine="0"/>
              <w:jc w:val="center"/>
              <w:rPr>
                <w:rFonts w:ascii="宋体" w:hAnsi="宋体" w:eastAsia="宋体" w:cs="宋体"/>
                <w:b/>
                <w:bCs/>
                <w:color w:val="auto"/>
                <w:kern w:val="0"/>
                <w:sz w:val="20"/>
                <w:szCs w:val="20"/>
              </w:rPr>
            </w:pPr>
            <w:r>
              <w:rPr>
                <w:rFonts w:hint="eastAsia" w:ascii="宋体" w:hAnsi="宋体" w:eastAsia="宋体" w:cs="宋体"/>
                <w:b/>
                <w:bCs/>
                <w:color w:val="auto"/>
                <w:kern w:val="0"/>
                <w:sz w:val="20"/>
                <w:szCs w:val="20"/>
              </w:rPr>
              <w:t>定期排查</w:t>
            </w:r>
          </w:p>
        </w:tc>
        <w:tc>
          <w:tcPr>
            <w:tcW w:w="120" w:type="pct"/>
            <w:vMerge w:val="restart"/>
            <w:shd w:val="clear" w:color="000000" w:fill="F2F2F2"/>
            <w:vAlign w:val="center"/>
          </w:tcPr>
          <w:p>
            <w:pPr>
              <w:spacing w:after="0" w:line="320" w:lineRule="exact"/>
              <w:ind w:left="0" w:firstLine="0"/>
              <w:jc w:val="center"/>
              <w:rPr>
                <w:rFonts w:ascii="宋体" w:hAnsi="宋体" w:eastAsia="宋体" w:cs="宋体"/>
                <w:b/>
                <w:bCs/>
                <w:color w:val="auto"/>
                <w:kern w:val="0"/>
                <w:sz w:val="20"/>
                <w:szCs w:val="20"/>
              </w:rPr>
            </w:pPr>
            <w:r>
              <w:rPr>
                <w:rFonts w:hint="eastAsia" w:ascii="宋体" w:hAnsi="宋体" w:eastAsia="宋体" w:cs="宋体"/>
                <w:b/>
                <w:bCs/>
                <w:color w:val="auto"/>
                <w:kern w:val="0"/>
                <w:sz w:val="20"/>
                <w:szCs w:val="20"/>
              </w:rPr>
              <w:t>专项排查</w:t>
            </w:r>
          </w:p>
        </w:tc>
        <w:tc>
          <w:tcPr>
            <w:tcW w:w="360" w:type="pct"/>
            <w:vMerge w:val="restart"/>
            <w:shd w:val="clear" w:color="000000" w:fill="F2F2F2"/>
            <w:vAlign w:val="center"/>
          </w:tcPr>
          <w:p>
            <w:pPr>
              <w:spacing w:after="0" w:line="320" w:lineRule="exact"/>
              <w:ind w:left="0" w:firstLine="0"/>
              <w:jc w:val="center"/>
              <w:rPr>
                <w:rFonts w:ascii="宋体" w:hAnsi="宋体" w:eastAsia="宋体" w:cs="宋体"/>
                <w:b/>
                <w:bCs/>
                <w:color w:val="auto"/>
                <w:kern w:val="0"/>
                <w:sz w:val="20"/>
                <w:szCs w:val="20"/>
              </w:rPr>
            </w:pPr>
            <w:r>
              <w:rPr>
                <w:rFonts w:hint="eastAsia" w:ascii="宋体" w:hAnsi="宋体" w:eastAsia="宋体" w:cs="宋体"/>
                <w:b/>
                <w:bCs/>
                <w:color w:val="auto"/>
                <w:kern w:val="0"/>
                <w:sz w:val="20"/>
                <w:szCs w:val="20"/>
              </w:rPr>
              <w:t>排查责任部门</w:t>
            </w:r>
          </w:p>
        </w:tc>
        <w:tc>
          <w:tcPr>
            <w:tcW w:w="267" w:type="pct"/>
            <w:vMerge w:val="restart"/>
            <w:shd w:val="clear" w:color="000000" w:fill="F2F2F2"/>
            <w:vAlign w:val="center"/>
          </w:tcPr>
          <w:p>
            <w:pPr>
              <w:spacing w:after="0" w:line="320" w:lineRule="exact"/>
              <w:ind w:left="0" w:firstLine="0"/>
              <w:jc w:val="center"/>
              <w:rPr>
                <w:rFonts w:ascii="宋体" w:hAnsi="宋体" w:eastAsia="宋体" w:cs="宋体"/>
                <w:b/>
                <w:bCs/>
                <w:color w:val="auto"/>
                <w:kern w:val="0"/>
                <w:sz w:val="20"/>
                <w:szCs w:val="20"/>
              </w:rPr>
            </w:pPr>
            <w:r>
              <w:rPr>
                <w:rFonts w:hint="eastAsia" w:ascii="宋体" w:hAnsi="宋体" w:eastAsia="宋体" w:cs="宋体"/>
                <w:b/>
                <w:bCs/>
                <w:color w:val="auto"/>
                <w:kern w:val="0"/>
                <w:sz w:val="20"/>
                <w:szCs w:val="20"/>
              </w:rPr>
              <w:t>责任人</w:t>
            </w:r>
          </w:p>
        </w:tc>
        <w:tc>
          <w:tcPr>
            <w:tcW w:w="214" w:type="pct"/>
            <w:vMerge w:val="restart"/>
            <w:shd w:val="clear" w:color="000000" w:fill="F2F2F2"/>
            <w:vAlign w:val="center"/>
          </w:tcPr>
          <w:p>
            <w:pPr>
              <w:spacing w:after="0" w:line="320" w:lineRule="exact"/>
              <w:ind w:left="0" w:firstLine="0"/>
              <w:jc w:val="center"/>
              <w:rPr>
                <w:rFonts w:ascii="宋体" w:hAnsi="宋体" w:eastAsia="宋体" w:cs="宋体"/>
                <w:b/>
                <w:bCs/>
                <w:color w:val="auto"/>
                <w:kern w:val="0"/>
                <w:sz w:val="20"/>
                <w:szCs w:val="20"/>
              </w:rPr>
            </w:pPr>
            <w:r>
              <w:rPr>
                <w:rFonts w:hint="eastAsia" w:ascii="宋体" w:hAnsi="宋体" w:eastAsia="宋体" w:cs="宋体"/>
                <w:b/>
                <w:bCs/>
                <w:color w:val="auto"/>
                <w:kern w:val="0"/>
                <w:sz w:val="20"/>
                <w:szCs w:val="20"/>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vMerge w:val="continue"/>
            <w:vAlign w:val="center"/>
          </w:tcPr>
          <w:p>
            <w:pPr>
              <w:spacing w:after="0" w:line="320" w:lineRule="exact"/>
              <w:ind w:left="0" w:firstLine="0"/>
              <w:rPr>
                <w:rFonts w:ascii="宋体" w:hAnsi="宋体" w:eastAsia="宋体" w:cs="宋体"/>
                <w:b/>
                <w:bCs/>
                <w:color w:val="auto"/>
                <w:kern w:val="0"/>
                <w:sz w:val="20"/>
                <w:szCs w:val="20"/>
              </w:rPr>
            </w:pPr>
          </w:p>
        </w:tc>
        <w:tc>
          <w:tcPr>
            <w:tcW w:w="302" w:type="pct"/>
            <w:gridSpan w:val="2"/>
            <w:vMerge w:val="continue"/>
            <w:vAlign w:val="center"/>
          </w:tcPr>
          <w:p>
            <w:pPr>
              <w:spacing w:after="0" w:line="320" w:lineRule="exact"/>
              <w:ind w:left="0" w:firstLine="0"/>
              <w:rPr>
                <w:rFonts w:ascii="宋体" w:hAnsi="宋体" w:eastAsia="宋体" w:cs="宋体"/>
                <w:b/>
                <w:bCs/>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b/>
                <w:bCs/>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b/>
                <w:bCs/>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b/>
                <w:bCs/>
                <w:color w:val="auto"/>
                <w:kern w:val="0"/>
                <w:sz w:val="20"/>
                <w:szCs w:val="20"/>
              </w:rPr>
            </w:pPr>
          </w:p>
        </w:tc>
        <w:tc>
          <w:tcPr>
            <w:tcW w:w="1530" w:type="pct"/>
            <w:vMerge w:val="continue"/>
            <w:vAlign w:val="center"/>
          </w:tcPr>
          <w:p>
            <w:pPr>
              <w:spacing w:after="0" w:line="320" w:lineRule="exact"/>
              <w:ind w:left="0" w:firstLine="0"/>
              <w:rPr>
                <w:rFonts w:ascii="宋体" w:hAnsi="宋体" w:eastAsia="宋体" w:cs="宋体"/>
                <w:b/>
                <w:bCs/>
                <w:color w:val="auto"/>
                <w:kern w:val="0"/>
                <w:sz w:val="20"/>
                <w:szCs w:val="20"/>
              </w:rPr>
            </w:pPr>
          </w:p>
        </w:tc>
        <w:tc>
          <w:tcPr>
            <w:tcW w:w="129" w:type="pct"/>
            <w:shd w:val="clear" w:color="000000" w:fill="F2F2F2"/>
            <w:vAlign w:val="center"/>
          </w:tcPr>
          <w:p>
            <w:pPr>
              <w:spacing w:after="0" w:line="320" w:lineRule="exact"/>
              <w:ind w:left="0" w:firstLine="0"/>
              <w:jc w:val="center"/>
              <w:rPr>
                <w:rFonts w:ascii="宋体" w:hAnsi="宋体" w:eastAsia="宋体" w:cs="宋体"/>
                <w:b/>
                <w:bCs/>
                <w:color w:val="auto"/>
                <w:kern w:val="0"/>
                <w:sz w:val="20"/>
                <w:szCs w:val="20"/>
              </w:rPr>
            </w:pPr>
            <w:r>
              <w:rPr>
                <w:rFonts w:hint="eastAsia" w:ascii="宋体" w:hAnsi="宋体" w:eastAsia="宋体" w:cs="宋体"/>
                <w:b/>
                <w:bCs/>
                <w:color w:val="auto"/>
                <w:kern w:val="0"/>
                <w:sz w:val="20"/>
                <w:szCs w:val="20"/>
              </w:rPr>
              <w:t>日查</w:t>
            </w:r>
          </w:p>
        </w:tc>
        <w:tc>
          <w:tcPr>
            <w:tcW w:w="125" w:type="pct"/>
            <w:shd w:val="clear" w:color="000000" w:fill="F2F2F2"/>
            <w:vAlign w:val="center"/>
          </w:tcPr>
          <w:p>
            <w:pPr>
              <w:spacing w:after="0" w:line="320" w:lineRule="exact"/>
              <w:ind w:left="0" w:firstLine="0"/>
              <w:jc w:val="center"/>
              <w:rPr>
                <w:rFonts w:ascii="宋体" w:hAnsi="宋体" w:eastAsia="宋体" w:cs="宋体"/>
                <w:b/>
                <w:bCs/>
                <w:color w:val="auto"/>
                <w:kern w:val="0"/>
                <w:sz w:val="20"/>
                <w:szCs w:val="20"/>
              </w:rPr>
            </w:pPr>
            <w:r>
              <w:rPr>
                <w:rFonts w:hint="eastAsia" w:ascii="宋体" w:hAnsi="宋体" w:eastAsia="宋体" w:cs="宋体"/>
                <w:b/>
                <w:bCs/>
                <w:color w:val="auto"/>
                <w:kern w:val="0"/>
                <w:sz w:val="20"/>
                <w:szCs w:val="20"/>
              </w:rPr>
              <w:t>周查</w:t>
            </w:r>
          </w:p>
        </w:tc>
        <w:tc>
          <w:tcPr>
            <w:tcW w:w="125" w:type="pct"/>
            <w:vMerge w:val="continue"/>
            <w:vAlign w:val="center"/>
          </w:tcPr>
          <w:p>
            <w:pPr>
              <w:spacing w:after="0" w:line="320" w:lineRule="exact"/>
              <w:ind w:left="0" w:firstLine="0"/>
              <w:rPr>
                <w:rFonts w:ascii="宋体" w:hAnsi="宋体" w:eastAsia="宋体" w:cs="宋体"/>
                <w:b/>
                <w:bCs/>
                <w:color w:val="auto"/>
                <w:kern w:val="0"/>
                <w:sz w:val="20"/>
                <w:szCs w:val="20"/>
              </w:rPr>
            </w:pPr>
          </w:p>
        </w:tc>
        <w:tc>
          <w:tcPr>
            <w:tcW w:w="120" w:type="pct"/>
            <w:vMerge w:val="continue"/>
            <w:vAlign w:val="center"/>
          </w:tcPr>
          <w:p>
            <w:pPr>
              <w:spacing w:after="0" w:line="320" w:lineRule="exact"/>
              <w:ind w:left="0" w:firstLine="0"/>
              <w:rPr>
                <w:rFonts w:ascii="宋体" w:hAnsi="宋体" w:eastAsia="宋体" w:cs="宋体"/>
                <w:b/>
                <w:bCs/>
                <w:color w:val="auto"/>
                <w:kern w:val="0"/>
                <w:sz w:val="20"/>
                <w:szCs w:val="20"/>
              </w:rPr>
            </w:pPr>
          </w:p>
        </w:tc>
        <w:tc>
          <w:tcPr>
            <w:tcW w:w="360" w:type="pct"/>
            <w:vMerge w:val="continue"/>
            <w:vAlign w:val="center"/>
          </w:tcPr>
          <w:p>
            <w:pPr>
              <w:spacing w:after="0" w:line="320" w:lineRule="exact"/>
              <w:ind w:left="0" w:firstLine="0"/>
              <w:rPr>
                <w:rFonts w:ascii="宋体" w:hAnsi="宋体" w:eastAsia="宋体" w:cs="宋体"/>
                <w:b/>
                <w:bCs/>
                <w:color w:val="auto"/>
                <w:kern w:val="0"/>
                <w:sz w:val="20"/>
                <w:szCs w:val="20"/>
              </w:rPr>
            </w:pPr>
          </w:p>
        </w:tc>
        <w:tc>
          <w:tcPr>
            <w:tcW w:w="267" w:type="pct"/>
            <w:vMerge w:val="continue"/>
            <w:vAlign w:val="center"/>
          </w:tcPr>
          <w:p>
            <w:pPr>
              <w:spacing w:after="0" w:line="320" w:lineRule="exact"/>
              <w:ind w:left="0" w:firstLine="0"/>
              <w:rPr>
                <w:rFonts w:ascii="宋体" w:hAnsi="宋体" w:eastAsia="宋体" w:cs="宋体"/>
                <w:b/>
                <w:bCs/>
                <w:color w:val="auto"/>
                <w:kern w:val="0"/>
                <w:sz w:val="20"/>
                <w:szCs w:val="20"/>
              </w:rPr>
            </w:pPr>
          </w:p>
        </w:tc>
        <w:tc>
          <w:tcPr>
            <w:tcW w:w="214" w:type="pct"/>
            <w:vMerge w:val="continue"/>
            <w:vAlign w:val="center"/>
          </w:tcPr>
          <w:p>
            <w:pPr>
              <w:spacing w:after="0" w:line="320" w:lineRule="exact"/>
              <w:ind w:left="0" w:firstLine="0"/>
              <w:rPr>
                <w:rFonts w:ascii="宋体" w:hAnsi="宋体" w:eastAsia="宋体" w:cs="宋体"/>
                <w:b/>
                <w:bCs/>
                <w:color w:val="auto"/>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1</w:t>
            </w:r>
          </w:p>
        </w:tc>
        <w:tc>
          <w:tcPr>
            <w:tcW w:w="142"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收费广场</w:t>
            </w:r>
          </w:p>
        </w:tc>
        <w:tc>
          <w:tcPr>
            <w:tcW w:w="160"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收费大棚</w:t>
            </w:r>
          </w:p>
        </w:tc>
        <w:tc>
          <w:tcPr>
            <w:tcW w:w="294"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物体打击/车辆伤害</w:t>
            </w:r>
          </w:p>
        </w:tc>
        <w:tc>
          <w:tcPr>
            <w:tcW w:w="1063" w:type="pct"/>
            <w:vMerge w:val="restart"/>
            <w:shd w:val="clear" w:color="auto" w:fill="auto"/>
            <w:vAlign w:val="center"/>
          </w:tcPr>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1.收费班长每日上岗前对收费棚上方车道指示标志、照明等设备设施进行排查，发现问题及时上报。</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2.特殊天气、时段，组织开展专项隐患排查工作，发现问题及时上报。</w:t>
            </w:r>
          </w:p>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3.当存在可能坠落影响交通及人身安全的情形，无法及时修复时，应封闭车道、设置围挡等措施。</w:t>
            </w:r>
          </w:p>
        </w:tc>
        <w:tc>
          <w:tcPr>
            <w:tcW w:w="351" w:type="pct"/>
            <w:vMerge w:val="restart"/>
            <w:shd w:val="clear" w:color="auto" w:fill="auto"/>
            <w:vAlign w:val="center"/>
          </w:tcPr>
          <w:p>
            <w:pPr>
              <w:spacing w:after="0" w:line="320" w:lineRule="exact"/>
              <w:ind w:left="0" w:firstLine="0"/>
              <w:jc w:val="center"/>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工程部工程师</w:t>
            </w:r>
          </w:p>
          <w:p>
            <w:pPr>
              <w:spacing w:after="0" w:line="320" w:lineRule="exact"/>
              <w:ind w:left="0" w:firstLine="0"/>
              <w:jc w:val="center"/>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收费站</w:t>
            </w:r>
          </w:p>
          <w:p>
            <w:pPr>
              <w:spacing w:after="0" w:line="320" w:lineRule="exact"/>
              <w:ind w:left="0" w:firstLine="0"/>
              <w:jc w:val="center"/>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收费班长</w:t>
            </w:r>
          </w:p>
          <w:p>
            <w:pPr>
              <w:spacing w:after="0" w:line="320" w:lineRule="exact"/>
              <w:ind w:left="0" w:firstLine="0"/>
              <w:jc w:val="center"/>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lang w:eastAsia="zh-CN"/>
              </w:rPr>
              <w:t>值班领导</w:t>
            </w:r>
          </w:p>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站长</w:t>
            </w:r>
          </w:p>
        </w:tc>
        <w:tc>
          <w:tcPr>
            <w:tcW w:w="1530" w:type="pct"/>
            <w:shd w:val="clear" w:color="auto" w:fill="auto"/>
            <w:vAlign w:val="center"/>
          </w:tcPr>
          <w:p>
            <w:pPr>
              <w:spacing w:after="0" w:line="320" w:lineRule="exact"/>
              <w:ind w:left="0" w:firstLine="0"/>
              <w:jc w:val="both"/>
              <w:rPr>
                <w:rFonts w:ascii="宋体" w:hAnsi="宋体" w:eastAsia="宋体" w:cs="宋体"/>
                <w:color w:val="auto"/>
                <w:kern w:val="0"/>
                <w:sz w:val="20"/>
                <w:szCs w:val="20"/>
              </w:rPr>
            </w:pPr>
            <w:r>
              <w:rPr>
                <w:rFonts w:hint="eastAsia" w:ascii="宋体" w:hAnsi="宋体" w:eastAsia="宋体" w:cs="宋体"/>
                <w:color w:val="auto"/>
                <w:kern w:val="0"/>
                <w:sz w:val="20"/>
                <w:szCs w:val="20"/>
              </w:rPr>
              <w:t>各类灯具、标志、瓦片、广告牌等有无破损，功能是否正常。</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60" w:type="pct"/>
            <w:shd w:val="clear" w:color="auto" w:fill="auto"/>
            <w:vAlign w:val="center"/>
          </w:tcPr>
          <w:p>
            <w:pPr>
              <w:spacing w:after="0" w:line="320" w:lineRule="exact"/>
              <w:ind w:left="0" w:firstLine="0"/>
              <w:jc w:val="center"/>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收费站</w:t>
            </w:r>
          </w:p>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工程部</w:t>
            </w:r>
          </w:p>
        </w:tc>
        <w:tc>
          <w:tcPr>
            <w:tcW w:w="267" w:type="pct"/>
            <w:shd w:val="clear" w:color="auto" w:fill="auto"/>
            <w:vAlign w:val="center"/>
          </w:tcPr>
          <w:p>
            <w:pPr>
              <w:spacing w:after="0" w:line="320" w:lineRule="exact"/>
              <w:ind w:left="0" w:firstLine="0"/>
              <w:jc w:val="center"/>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站长、班长</w:t>
            </w:r>
          </w:p>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工程师</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2</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auto" w:fill="auto"/>
            <w:vAlign w:val="center"/>
          </w:tcPr>
          <w:p>
            <w:pPr>
              <w:spacing w:after="0" w:line="320" w:lineRule="exact"/>
              <w:ind w:left="0" w:firstLine="0"/>
              <w:jc w:val="both"/>
              <w:rPr>
                <w:rFonts w:ascii="宋体" w:hAnsi="宋体" w:eastAsia="宋体" w:cs="宋体"/>
                <w:color w:val="auto"/>
                <w:kern w:val="0"/>
                <w:sz w:val="20"/>
                <w:szCs w:val="20"/>
              </w:rPr>
            </w:pPr>
            <w:r>
              <w:rPr>
                <w:rFonts w:hint="eastAsia" w:ascii="宋体" w:hAnsi="宋体" w:eastAsia="宋体" w:cs="宋体"/>
                <w:color w:val="auto"/>
                <w:kern w:val="0"/>
                <w:sz w:val="20"/>
                <w:szCs w:val="20"/>
              </w:rPr>
              <w:t>对影响交通及人员的不安全状况时及时上报，并采取封闭车道、设置围挡等措施。</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班长</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有情况时</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3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3</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收费岗亭</w:t>
            </w:r>
          </w:p>
        </w:tc>
        <w:tc>
          <w:tcPr>
            <w:tcW w:w="294"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票款损失/火灾/触电/车辆伤害等</w:t>
            </w:r>
          </w:p>
        </w:tc>
        <w:tc>
          <w:tcPr>
            <w:tcW w:w="1063" w:type="pct"/>
            <w:vMerge w:val="restart"/>
            <w:shd w:val="clear" w:color="auto" w:fill="auto"/>
            <w:vAlign w:val="center"/>
          </w:tcPr>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1.班前应对岗亭门、锁、窗、报警器等进行排查，发现问题时及时上报，组织维修。</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2.制定并严格落实收费广场用电、消防安全管理制度。</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3.开展收费员用电、消防安全教育培训，提高员工安全意识。</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4.班前、班中进行安全检查，发现问题及时纠正。</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5.稽查时发现违章行为时应按规定制止、上报。</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6.定期排查维修，确保收费站前限速标志、减速带、超宽车道指示标志、照明、防撞杆完等设施完好有效。</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7.对于超宽、超限车辆要按规定引导至专用车道或劝返。</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8.收费人员注意观察驶入车辆，出现异常情形时，应及时疏散至其余车道。</w:t>
            </w:r>
          </w:p>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9.制定收费站专项应急预案，并定期组织演练，发生事故后及时启动应急预案。</w:t>
            </w:r>
          </w:p>
        </w:tc>
        <w:tc>
          <w:tcPr>
            <w:tcW w:w="351" w:type="pct"/>
            <w:vMerge w:val="restart"/>
            <w:shd w:val="clear" w:color="auto" w:fill="auto"/>
            <w:vAlign w:val="center"/>
          </w:tcPr>
          <w:p>
            <w:pPr>
              <w:spacing w:after="0" w:line="320" w:lineRule="exact"/>
              <w:ind w:left="0" w:firstLine="0"/>
              <w:jc w:val="center"/>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工程部工程师</w:t>
            </w:r>
          </w:p>
          <w:p>
            <w:pPr>
              <w:spacing w:after="0" w:line="320" w:lineRule="exact"/>
              <w:ind w:left="0" w:firstLine="0"/>
              <w:jc w:val="center"/>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收费站</w:t>
            </w:r>
          </w:p>
          <w:p>
            <w:pPr>
              <w:spacing w:after="0" w:line="320" w:lineRule="exact"/>
              <w:ind w:left="0" w:firstLine="0"/>
              <w:jc w:val="center"/>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收费班长</w:t>
            </w:r>
          </w:p>
          <w:p>
            <w:pPr>
              <w:spacing w:after="0" w:line="320" w:lineRule="exact"/>
              <w:ind w:left="0" w:firstLine="0"/>
              <w:jc w:val="center"/>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lang w:eastAsia="zh-CN"/>
              </w:rPr>
              <w:t>值班领导</w:t>
            </w:r>
          </w:p>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站长</w:t>
            </w: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岗亭门、锁、窗、报警器、收费设备设施正常。</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班长、收费员</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4</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岗亭内无私拉乱接、使用大功率电气等现象。</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班长、收费员</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5</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站前限速标志、减速带、超宽车道指示标志、照明设施、防撞杆等设施齐全完好。</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60" w:type="pct"/>
            <w:shd w:val="clear" w:color="auto" w:fill="auto"/>
            <w:vAlign w:val="center"/>
          </w:tcPr>
          <w:p>
            <w:pPr>
              <w:spacing w:after="0" w:line="320" w:lineRule="exact"/>
              <w:ind w:left="0" w:firstLine="0"/>
              <w:jc w:val="center"/>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收费站</w:t>
            </w:r>
          </w:p>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工程部</w:t>
            </w:r>
          </w:p>
        </w:tc>
        <w:tc>
          <w:tcPr>
            <w:tcW w:w="267" w:type="pct"/>
            <w:shd w:val="clear" w:color="auto" w:fill="auto"/>
            <w:vAlign w:val="center"/>
          </w:tcPr>
          <w:p>
            <w:pPr>
              <w:spacing w:after="0" w:line="320" w:lineRule="exact"/>
              <w:ind w:left="0" w:firstLine="0"/>
              <w:jc w:val="center"/>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站长、班长</w:t>
            </w:r>
          </w:p>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工程师</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6</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对超宽、超限车辆及时引导或劝返。</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班长</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有情况时</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7</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岗亭内灯具、地板等设施完好。</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班长、收费员</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8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8</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收费广场及车道</w:t>
            </w:r>
          </w:p>
        </w:tc>
        <w:tc>
          <w:tcPr>
            <w:tcW w:w="294"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交通事故/交通拥堵/火灾/触电/物体打击等。</w:t>
            </w:r>
          </w:p>
        </w:tc>
        <w:tc>
          <w:tcPr>
            <w:tcW w:w="1063" w:type="pct"/>
            <w:vMerge w:val="restart"/>
            <w:shd w:val="clear" w:color="auto" w:fill="auto"/>
            <w:vAlign w:val="center"/>
          </w:tcPr>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1.班前组织对收费广场交通安全设施进行外观检查，发现问题时及时上报或组织维修，无法及时修复的，应上报监控，设置临时围挡等措施；特殊天气、时段，组织开展专项隐患排查工作，发现问题及时上报或组织维修。</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2.车道内冬季禁止洒水，存在影响交通安全的积水、冰雪、坑槽等情形时，应及时封闭车道，上报或组织清理。</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3.收费站按规定配备防汛、除雪物资，出现相应情形时及时启动预案。</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4.对可能影响车辆行驶安全的应采取设置围挡或请示监控关闭车道等临时措施。</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5.当班班长应及时劝阻车道内长期滞留的闲杂人员和车辆，对发现的可疑人员、车辆、物品要及时上报；稽查监控发现时，应及时通报当班人员进行处理。</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6.秋冬季节应及时组织边坡杂草清理。</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7.收费广场按规定配备、维保消防器材，上岗前对消防器材进行检查，发现问题及时上报。</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8.制定收费广场火灾事故现场处置方案，定期组织演练，提高收费人员灭火救援能力。</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9.制定收费广场危化品事故、火灾现场处置方案，定期组织演练，提高收费人员自救互救能力。</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10.严格执行两客一危通行管理相关规定。</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11.事故发生后，当班班长要根据事故类型、严重程度等组织人员疏散或灭火救援，避免盲目施救所造成二次事故。</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12.定期进行防雷接地检测，发现隐患及时处理。</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13.制定并严格落实收费广场用电、消防安全管理制度，开展收费员用电、消防安全教育培训，提高员工安全意识。</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14.班前、班中进行安全检查，发现问题及时纠正，稽查时发现违章行为时应按规定制止、上报。</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15.突发事件发生后，执行高速交警指令，设置提示警告标志，视情况设置现场疏导人员。</w:t>
            </w:r>
          </w:p>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16.特殊时段做好备勤备岗工作，当发生大面积拥堵时，及时启动通行保畅应急预案。</w:t>
            </w:r>
          </w:p>
        </w:tc>
        <w:tc>
          <w:tcPr>
            <w:tcW w:w="351" w:type="pct"/>
            <w:vMerge w:val="restart"/>
            <w:shd w:val="clear" w:color="auto" w:fill="auto"/>
            <w:vAlign w:val="center"/>
          </w:tcPr>
          <w:p>
            <w:pPr>
              <w:spacing w:after="0" w:line="320" w:lineRule="exact"/>
              <w:ind w:left="0" w:firstLine="0"/>
              <w:jc w:val="center"/>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收费部经理</w:t>
            </w:r>
          </w:p>
          <w:p>
            <w:pPr>
              <w:spacing w:after="0" w:line="320" w:lineRule="exact"/>
              <w:ind w:left="0" w:firstLine="0"/>
              <w:jc w:val="center"/>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通讯监控中心经理</w:t>
            </w:r>
          </w:p>
          <w:p>
            <w:pPr>
              <w:spacing w:after="0" w:line="320" w:lineRule="exact"/>
              <w:ind w:left="0" w:firstLine="0"/>
              <w:jc w:val="center"/>
              <w:rPr>
                <w:rFonts w:hint="eastAsia" w:ascii="宋体" w:hAnsi="宋体" w:eastAsia="宋体" w:cs="宋体"/>
                <w:color w:val="auto"/>
                <w:kern w:val="0"/>
                <w:sz w:val="20"/>
                <w:szCs w:val="20"/>
                <w:lang w:eastAsia="zh-CN"/>
              </w:rPr>
            </w:pPr>
          </w:p>
          <w:p>
            <w:pPr>
              <w:spacing w:after="0" w:line="320" w:lineRule="exact"/>
              <w:ind w:left="0" w:firstLine="0"/>
              <w:jc w:val="center"/>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收费站</w:t>
            </w:r>
          </w:p>
          <w:p>
            <w:pPr>
              <w:spacing w:after="0" w:line="320" w:lineRule="exact"/>
              <w:ind w:left="0" w:firstLine="0"/>
              <w:jc w:val="center"/>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收费班长</w:t>
            </w:r>
          </w:p>
          <w:p>
            <w:pPr>
              <w:spacing w:after="0" w:line="320" w:lineRule="exact"/>
              <w:ind w:left="0" w:firstLine="0"/>
              <w:jc w:val="center"/>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lang w:eastAsia="zh-CN"/>
              </w:rPr>
              <w:t>值班领导</w:t>
            </w:r>
          </w:p>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站长</w:t>
            </w: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车道路面、标志、标线、防撞杆、岛头防护等安全设施完好有效。</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60" w:type="pct"/>
            <w:shd w:val="clear" w:color="auto" w:fill="auto"/>
            <w:vAlign w:val="center"/>
          </w:tcPr>
          <w:p>
            <w:pPr>
              <w:spacing w:after="0" w:line="320" w:lineRule="exact"/>
              <w:ind w:left="0" w:firstLine="0"/>
              <w:jc w:val="center"/>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收费站</w:t>
            </w:r>
          </w:p>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工程部</w:t>
            </w:r>
          </w:p>
        </w:tc>
        <w:tc>
          <w:tcPr>
            <w:tcW w:w="267" w:type="pct"/>
            <w:shd w:val="clear" w:color="auto" w:fill="auto"/>
            <w:vAlign w:val="center"/>
          </w:tcPr>
          <w:p>
            <w:pPr>
              <w:spacing w:after="0" w:line="320" w:lineRule="exact"/>
              <w:ind w:left="0" w:firstLine="0"/>
              <w:jc w:val="center"/>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站长、班长</w:t>
            </w:r>
          </w:p>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工程师</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9</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对影响交通及人员的不安全状况，采取封闭车道、设置围挡等措施。</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bottom"/>
          </w:tcPr>
          <w:p>
            <w:pPr>
              <w:spacing w:after="0" w:line="320" w:lineRule="exact"/>
              <w:ind w:left="0" w:firstLine="0"/>
              <w:jc w:val="center"/>
              <w:rPr>
                <w:rFonts w:ascii="宋体" w:hAnsi="宋体" w:eastAsia="宋体" w:cs="宋体"/>
                <w:color w:val="auto"/>
                <w:kern w:val="0"/>
                <w:sz w:val="20"/>
                <w:szCs w:val="20"/>
              </w:rPr>
            </w:pP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班长</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有情况时</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10</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车道内无积水、结冰、坑槽等现象。</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班长</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11</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制定防汛、除雪预案，站区防汛、除雪物资储备良好，定期组织开展演练</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0" w:type="pct"/>
            <w:shd w:val="clear" w:color="auto" w:fill="auto"/>
            <w:vAlign w:val="bottom"/>
          </w:tcPr>
          <w:p>
            <w:pPr>
              <w:spacing w:after="0" w:line="320" w:lineRule="exact"/>
              <w:ind w:left="0" w:firstLine="0"/>
              <w:jc w:val="center"/>
              <w:rPr>
                <w:rFonts w:ascii="宋体" w:hAnsi="宋体" w:eastAsia="宋体" w:cs="宋体"/>
                <w:color w:val="auto"/>
                <w:kern w:val="0"/>
                <w:sz w:val="20"/>
                <w:szCs w:val="20"/>
              </w:rPr>
            </w:pP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站长</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12</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车道内无可疑、长期滞留的闲杂人员、车辆和物品。</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班长</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13</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收费广场消防器材配置齐全有效，压力正常。</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班长</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14</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制定火灾事故现场处置方案，定期组织演练。</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站长</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15</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auto" w:fill="auto"/>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定期进行防雷接地检测，发现隐患及时处理。</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运营部</w:t>
            </w:r>
          </w:p>
        </w:tc>
        <w:tc>
          <w:tcPr>
            <w:tcW w:w="267" w:type="pct"/>
            <w:shd w:val="clear" w:color="auto" w:fill="auto"/>
            <w:vAlign w:val="center"/>
          </w:tcPr>
          <w:p>
            <w:pPr>
              <w:spacing w:after="0" w:line="320" w:lineRule="exact"/>
              <w:ind w:left="0" w:firstLine="0"/>
              <w:rPr>
                <w:rFonts w:ascii="宋体" w:hAnsi="宋体" w:eastAsia="宋体" w:cs="宋体"/>
                <w:color w:val="auto"/>
                <w:kern w:val="0"/>
                <w:sz w:val="20"/>
                <w:szCs w:val="20"/>
              </w:rPr>
            </w:pPr>
            <w:r>
              <w:rPr>
                <w:rFonts w:ascii="宋体" w:hAnsi="宋体" w:eastAsia="宋体" w:cs="宋体"/>
                <w:color w:val="auto"/>
                <w:kern w:val="0"/>
                <w:sz w:val="20"/>
                <w:szCs w:val="20"/>
              </w:rPr>
              <w:t>主任</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16</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收费车道与广场无违章用电、动火行为。</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班长</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17</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制定危化品事故、火灾现场处置方案，组织开展演练</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0" w:type="pct"/>
            <w:shd w:val="clear" w:color="auto" w:fill="auto"/>
            <w:vAlign w:val="bottom"/>
          </w:tcPr>
          <w:p>
            <w:pPr>
              <w:spacing w:after="0" w:line="320" w:lineRule="exact"/>
              <w:ind w:left="0" w:firstLine="0"/>
              <w:jc w:val="center"/>
              <w:rPr>
                <w:rFonts w:ascii="宋体" w:hAnsi="宋体" w:eastAsia="宋体" w:cs="宋体"/>
                <w:color w:val="auto"/>
                <w:kern w:val="0"/>
                <w:sz w:val="20"/>
                <w:szCs w:val="20"/>
              </w:rPr>
            </w:pP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站长</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18</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auto" w:fill="auto"/>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严格执行两客一危通行管理相关规定。</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班长</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19</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夜间及恶劣天气照明设施良好，设置警示标识，视情况设置现场疏导人员。</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bottom"/>
          </w:tcPr>
          <w:p>
            <w:pPr>
              <w:spacing w:after="0" w:line="320" w:lineRule="exact"/>
              <w:ind w:left="0" w:firstLine="0"/>
              <w:jc w:val="center"/>
              <w:rPr>
                <w:rFonts w:ascii="宋体" w:hAnsi="宋体" w:eastAsia="宋体" w:cs="宋体"/>
                <w:color w:val="auto"/>
                <w:kern w:val="0"/>
                <w:sz w:val="20"/>
                <w:szCs w:val="20"/>
              </w:rPr>
            </w:pP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lang w:eastAsia="zh-CN"/>
              </w:rPr>
              <w:t>值班领导</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有情况时</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20</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auto" w:fill="auto"/>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雨雪天气应穿戴雨具、夜间反光服、肩灯等。</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lang w:eastAsia="zh-CN"/>
              </w:rPr>
              <w:t>值班领导</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有情况时</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21</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收费广场无杂物、杂草等火源，及时清理。</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0" w:type="pct"/>
            <w:shd w:val="clear" w:color="auto" w:fill="auto"/>
            <w:vAlign w:val="bottom"/>
          </w:tcPr>
          <w:p>
            <w:pPr>
              <w:spacing w:after="0" w:line="320" w:lineRule="exact"/>
              <w:ind w:left="0" w:firstLine="0"/>
              <w:jc w:val="center"/>
              <w:rPr>
                <w:rFonts w:ascii="宋体" w:hAnsi="宋体" w:eastAsia="宋体" w:cs="宋体"/>
                <w:color w:val="auto"/>
                <w:kern w:val="0"/>
                <w:sz w:val="20"/>
                <w:szCs w:val="20"/>
              </w:rPr>
            </w:pP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站长</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22</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auto" w:fill="auto"/>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突发事件发生后，执行高速交警指令，设置提示警告标志，视情况设置现场疏导人员。</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lang w:eastAsia="zh-CN"/>
              </w:rPr>
              <w:t>值班领导</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有情况时</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23</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auto" w:fill="auto"/>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特殊时段做好备勤备岗工作，当发生大面积拥堵时，及时启动通行保畅应急预案。</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0" w:type="pct"/>
            <w:shd w:val="clear" w:color="auto" w:fill="auto"/>
            <w:vAlign w:val="bottom"/>
          </w:tcPr>
          <w:p>
            <w:pPr>
              <w:spacing w:after="0" w:line="320" w:lineRule="exact"/>
              <w:ind w:left="0" w:firstLine="0"/>
              <w:jc w:val="center"/>
              <w:rPr>
                <w:rFonts w:ascii="宋体" w:hAnsi="宋体" w:eastAsia="宋体" w:cs="宋体"/>
                <w:color w:val="auto"/>
                <w:kern w:val="0"/>
                <w:sz w:val="20"/>
                <w:szCs w:val="20"/>
              </w:rPr>
            </w:pP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站长</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3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24</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机电设备设施</w:t>
            </w:r>
          </w:p>
        </w:tc>
        <w:tc>
          <w:tcPr>
            <w:tcW w:w="294"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交通事故/触电/物体打击/社会影响</w:t>
            </w:r>
          </w:p>
        </w:tc>
        <w:tc>
          <w:tcPr>
            <w:tcW w:w="1063" w:type="pct"/>
            <w:vMerge w:val="restart"/>
            <w:shd w:val="clear" w:color="auto" w:fill="auto"/>
            <w:vAlign w:val="center"/>
          </w:tcPr>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1.班前应对照明、车道指示灯、打印机、键盘及其他收费运营设备进行检查，发现问题时及时上报，机电维护员应及时组织维修。</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2.加强安全教育和业务培训，收费员、机电维护员应熟悉设备操作流程。</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3.因交警指示、交接班、设备故障检修等特殊情况时，应及时关闭车道指示灯。</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4.按规定每天对栏杆机的外观、运行状态等进行检查、测试，定期对栏杆机进行维保。</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5.按规定每天对打印机、键盘等设备的外观、运行状态等进行检查、测试，定期进行除尘、维保。</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6.收费广场收费、监控等机电控制柜应门锁关闭。</w:t>
            </w:r>
          </w:p>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7.收费广场内严禁接入无关线缆、设备。</w:t>
            </w:r>
          </w:p>
        </w:tc>
        <w:tc>
          <w:tcPr>
            <w:tcW w:w="351" w:type="pct"/>
            <w:vMerge w:val="restart"/>
            <w:shd w:val="clear" w:color="auto" w:fill="auto"/>
            <w:vAlign w:val="center"/>
          </w:tcPr>
          <w:p>
            <w:pPr>
              <w:spacing w:after="0" w:line="320" w:lineRule="exact"/>
              <w:ind w:left="0" w:firstLine="0"/>
              <w:jc w:val="center"/>
              <w:rPr>
                <w:rFonts w:hint="eastAsia" w:ascii="宋体" w:hAnsi="宋体" w:eastAsia="宋体" w:cs="宋体"/>
                <w:color w:val="auto"/>
                <w:kern w:val="0"/>
                <w:sz w:val="20"/>
                <w:szCs w:val="20"/>
                <w:lang w:eastAsia="zh-CN"/>
              </w:rPr>
            </w:pPr>
          </w:p>
          <w:p>
            <w:pPr>
              <w:spacing w:after="0" w:line="320" w:lineRule="exact"/>
              <w:ind w:left="0" w:firstLine="0"/>
              <w:jc w:val="center"/>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收费站</w:t>
            </w:r>
          </w:p>
          <w:p>
            <w:pPr>
              <w:spacing w:after="0" w:line="320" w:lineRule="exact"/>
              <w:ind w:left="0" w:firstLine="0"/>
              <w:jc w:val="center"/>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收费员</w:t>
            </w:r>
          </w:p>
          <w:p>
            <w:pPr>
              <w:spacing w:after="0" w:line="320" w:lineRule="exact"/>
              <w:ind w:left="0" w:firstLine="0"/>
              <w:jc w:val="center"/>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收费班长</w:t>
            </w:r>
          </w:p>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机电维护员</w:t>
            </w: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岗亭内及大棚灯照明良好，发现故障及时上报维修。</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班长、机电维护员</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25</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车道指示灯显示正常，与车道开启状态相适应。</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班长、机电维护员</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26</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收费、监控等机电控制柜应门锁关闭。</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班长、机电维护员</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27</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收费广场内无私拉乱接线缆及电气设备现象。</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班长、机电维护员</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28</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栏杆机外观及使用功能正常。</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班长、机电维护员</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29</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打印机、键盘等设备外观、运行状态正常。</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班长、机电维护员</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4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30</w:t>
            </w:r>
          </w:p>
        </w:tc>
        <w:tc>
          <w:tcPr>
            <w:tcW w:w="142"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收费广场作业活动</w:t>
            </w:r>
          </w:p>
        </w:tc>
        <w:tc>
          <w:tcPr>
            <w:tcW w:w="160"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收费作业</w:t>
            </w:r>
          </w:p>
        </w:tc>
        <w:tc>
          <w:tcPr>
            <w:tcW w:w="294"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车辆伤害/交通拥堵/物体打击/财产损失等</w:t>
            </w:r>
          </w:p>
        </w:tc>
        <w:tc>
          <w:tcPr>
            <w:tcW w:w="1063" w:type="pct"/>
            <w:vMerge w:val="restart"/>
            <w:shd w:val="clear" w:color="auto" w:fill="auto"/>
            <w:vAlign w:val="center"/>
          </w:tcPr>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1.定期排查维修，确保收费站前限速标志、减速带、超宽车道指示标志、照明、防撞杆、报警器、监控等设施完好有效，栏杆机、ETC等设备灵敏正常。</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2.班前对大棚等设备设施进行检查，发现隐患及时处置上报，无法及时处置时，应封闭车道、设置围挡等措施。</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3.对于超宽、超限车辆要按规定引导至专用车道或劝返。</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4.收费人员注意观察驶入车辆，出现异常情形时，应及时疏散至其余车道。</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5.对于恶意冲卡、黑名单车辆，应联络高速交警、路政等进行执法。</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6.制定收费站专项应急预案，并定期组织演练，发生事故后及时启动应急预案。</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7.当班人员提醒摩托车驾驶员按规定排队、取卡缴费。</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8.制定收费发卡标准流程，收费作业时注意车辆运行及装载情况，车辆停稳时执行收费作业。</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9.开展班前、班中检查，稽查、监控发现时，应及时提醒、处理。</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10.交接班、横穿车道按规定穿戴反光服、停车牌，执行设置警示标识、关闭车道、一看二停三通过等流程。</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11.开展收费员业务和安全教育培训。</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12.制定防盗抢、防冲卡等应急预案，并定期组织演练。</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13.收费岗亭内统一配备空调、取暖设备。</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14.夏季配备防暑降温药品、物资，冬季配备保暖衣物。</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15.制定合理排班计划安排人员。</w:t>
            </w:r>
          </w:p>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16.收费站配备必要的医疗防护用品。</w:t>
            </w:r>
          </w:p>
        </w:tc>
        <w:tc>
          <w:tcPr>
            <w:tcW w:w="351" w:type="pct"/>
            <w:vMerge w:val="restart"/>
            <w:shd w:val="clear" w:color="auto" w:fill="auto"/>
            <w:vAlign w:val="center"/>
          </w:tcPr>
          <w:p>
            <w:pPr>
              <w:spacing w:after="0" w:line="320" w:lineRule="exact"/>
              <w:ind w:left="0" w:firstLine="0"/>
              <w:jc w:val="center"/>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收费部经理</w:t>
            </w:r>
          </w:p>
          <w:p>
            <w:pPr>
              <w:spacing w:after="0" w:line="320" w:lineRule="exact"/>
              <w:ind w:left="0" w:firstLine="0"/>
              <w:jc w:val="center"/>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运营部稽查员</w:t>
            </w:r>
          </w:p>
          <w:p>
            <w:pPr>
              <w:spacing w:after="0" w:line="320" w:lineRule="exact"/>
              <w:ind w:left="0" w:firstLine="0"/>
              <w:jc w:val="center"/>
              <w:rPr>
                <w:rFonts w:hint="eastAsia" w:ascii="宋体" w:hAnsi="宋体" w:eastAsia="宋体" w:cs="宋体"/>
                <w:color w:val="auto"/>
                <w:kern w:val="0"/>
                <w:sz w:val="20"/>
                <w:szCs w:val="20"/>
                <w:lang w:eastAsia="zh-CN"/>
              </w:rPr>
            </w:pPr>
          </w:p>
          <w:p>
            <w:pPr>
              <w:spacing w:after="0" w:line="320" w:lineRule="exact"/>
              <w:ind w:left="0" w:firstLine="0"/>
              <w:jc w:val="center"/>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收费站</w:t>
            </w:r>
          </w:p>
          <w:p>
            <w:pPr>
              <w:spacing w:after="0" w:line="320" w:lineRule="exact"/>
              <w:ind w:left="0" w:firstLine="0"/>
              <w:jc w:val="center"/>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收费员</w:t>
            </w:r>
          </w:p>
          <w:p>
            <w:pPr>
              <w:spacing w:after="0" w:line="320" w:lineRule="exact"/>
              <w:ind w:left="0" w:firstLine="0"/>
              <w:jc w:val="center"/>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收费班长</w:t>
            </w:r>
          </w:p>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机电维护员</w:t>
            </w: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站前限速标志、减速带、超宽车道指示标志、照明、防撞杆等设施完好有效。</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60" w:type="pct"/>
            <w:shd w:val="clear" w:color="auto" w:fill="auto"/>
            <w:vAlign w:val="center"/>
          </w:tcPr>
          <w:p>
            <w:pPr>
              <w:spacing w:after="0" w:line="320" w:lineRule="exact"/>
              <w:ind w:left="0" w:firstLine="0"/>
              <w:jc w:val="center"/>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收费站</w:t>
            </w:r>
          </w:p>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工程部</w:t>
            </w:r>
          </w:p>
        </w:tc>
        <w:tc>
          <w:tcPr>
            <w:tcW w:w="267" w:type="pct"/>
            <w:shd w:val="clear" w:color="auto" w:fill="auto"/>
            <w:vAlign w:val="center"/>
          </w:tcPr>
          <w:p>
            <w:pPr>
              <w:spacing w:after="0" w:line="320" w:lineRule="exact"/>
              <w:ind w:left="0" w:firstLine="0"/>
              <w:jc w:val="center"/>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站长、班长</w:t>
            </w:r>
          </w:p>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工程师</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31</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栏杆机、车检器、ETC等设备灵敏正常。</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班长、机电维护员</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32</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对超宽、超限车辆及时引导或劝返。</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lang w:eastAsia="zh-CN"/>
              </w:rPr>
              <w:t>值班领导</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有情况时</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33</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排班合理，收费人员无睡岗、脱岗现象，按规定交接班。</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0" w:type="pct"/>
            <w:shd w:val="clear" w:color="auto" w:fill="auto"/>
            <w:vAlign w:val="bottom"/>
          </w:tcPr>
          <w:p>
            <w:pPr>
              <w:spacing w:after="0" w:line="320" w:lineRule="exact"/>
              <w:ind w:left="0" w:firstLine="0"/>
              <w:jc w:val="center"/>
              <w:rPr>
                <w:rFonts w:ascii="宋体" w:hAnsi="宋体" w:eastAsia="宋体" w:cs="宋体"/>
                <w:color w:val="auto"/>
                <w:kern w:val="0"/>
                <w:sz w:val="20"/>
                <w:szCs w:val="20"/>
              </w:rPr>
            </w:pP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站长、班长</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34</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岗亭门窗按规定锁闭。</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班长</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35</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报警器、监控设施完好有效。</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班长、机电维护员</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36</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岗亭内物品摆放整齐。</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班长</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37</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空调、取暖设备完好有，夏季防暑降温药品、物资配备齐全。</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0" w:type="pct"/>
            <w:shd w:val="clear" w:color="auto" w:fill="auto"/>
            <w:vAlign w:val="bottom"/>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站长</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38</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消毒工具箱配备齐全。</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0" w:type="pct"/>
            <w:shd w:val="clear" w:color="auto" w:fill="auto"/>
            <w:vAlign w:val="bottom"/>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站长</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39</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收费员按规定执行收费动作，注意观察来往车辆。</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60" w:type="pct"/>
            <w:shd w:val="clear" w:color="auto" w:fill="auto"/>
            <w:vAlign w:val="center"/>
          </w:tcPr>
          <w:p>
            <w:pPr>
              <w:spacing w:after="0" w:line="320" w:lineRule="exact"/>
              <w:ind w:left="0" w:firstLine="0"/>
              <w:jc w:val="center"/>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收费站</w:t>
            </w:r>
          </w:p>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运营部</w:t>
            </w:r>
          </w:p>
        </w:tc>
        <w:tc>
          <w:tcPr>
            <w:tcW w:w="267" w:type="pct"/>
            <w:shd w:val="clear" w:color="auto" w:fill="auto"/>
            <w:vAlign w:val="center"/>
          </w:tcPr>
          <w:p>
            <w:pPr>
              <w:spacing w:after="0" w:line="320" w:lineRule="exact"/>
              <w:ind w:left="0" w:firstLine="0"/>
              <w:jc w:val="center"/>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班长</w:t>
            </w:r>
          </w:p>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稽查员</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40</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收费人员按规定穿戴反光服、停车牌，执行设置警示标识、关闭车道、一看二停三通过等流程规范。</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60" w:type="pct"/>
            <w:shd w:val="clear" w:color="auto" w:fill="auto"/>
            <w:vAlign w:val="center"/>
          </w:tcPr>
          <w:p>
            <w:pPr>
              <w:spacing w:after="0" w:line="320" w:lineRule="exact"/>
              <w:ind w:left="0" w:firstLine="0"/>
              <w:jc w:val="center"/>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收费站</w:t>
            </w:r>
          </w:p>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运营部</w:t>
            </w:r>
          </w:p>
        </w:tc>
        <w:tc>
          <w:tcPr>
            <w:tcW w:w="267" w:type="pct"/>
            <w:shd w:val="clear" w:color="auto" w:fill="auto"/>
            <w:vAlign w:val="center"/>
          </w:tcPr>
          <w:p>
            <w:pPr>
              <w:spacing w:after="0" w:line="320" w:lineRule="exact"/>
              <w:ind w:left="0" w:firstLine="0"/>
              <w:jc w:val="center"/>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班长</w:t>
            </w:r>
          </w:p>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稽查员</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41</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按规定开展收费业务及安全教育培训。</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0" w:type="pct"/>
            <w:shd w:val="clear" w:color="auto" w:fill="auto"/>
            <w:vAlign w:val="bottom"/>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站长</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42</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对影响交通及人员的不安全状况，及时上报，并采取封闭车道、设置围挡等措施。</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班长</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43</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制定火灾事故现场处置方案，定期组织开展演练。</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0" w:type="pct"/>
            <w:shd w:val="clear" w:color="auto" w:fill="auto"/>
            <w:vAlign w:val="bottom"/>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站长</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44</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制定防盗抢、防冲卡、通行保畅等应急预案，并定期组织演练。</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0" w:type="pct"/>
            <w:shd w:val="clear" w:color="auto" w:fill="auto"/>
            <w:vAlign w:val="bottom"/>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60" w:type="pct"/>
            <w:shd w:val="clear" w:color="auto" w:fill="auto"/>
            <w:vAlign w:val="center"/>
          </w:tcPr>
          <w:p>
            <w:pPr>
              <w:spacing w:after="0" w:line="320" w:lineRule="exact"/>
              <w:ind w:left="0" w:firstLine="0"/>
              <w:jc w:val="center"/>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运营部</w:t>
            </w:r>
          </w:p>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主任站长</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4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45</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应急保畅</w:t>
            </w:r>
          </w:p>
        </w:tc>
        <w:tc>
          <w:tcPr>
            <w:tcW w:w="294"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车辆伤害</w:t>
            </w:r>
          </w:p>
        </w:tc>
        <w:tc>
          <w:tcPr>
            <w:tcW w:w="1063" w:type="pct"/>
            <w:vMerge w:val="restart"/>
            <w:shd w:val="clear" w:color="auto" w:fill="auto"/>
            <w:vAlign w:val="center"/>
          </w:tcPr>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1.定期排查维修，确保收费站前限速标志、减速带、超宽车道指示标志、照明设施等完好有效，存在可能坠落影响交通及人身安全的情形，无法及时修复时，应封闭车道、设置围挡等措施。</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2.对于超宽、超限车辆要按规定引导至专用车道或劝返。</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3.疏导人员应选择安全（明显）区域，远离货车，注意散件货车、超限车辆、“软拖”车辆，穿戴反光服，4.注意观察驶入车辆，出现异常情形时，应及时疏散至其余车道。</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5.横穿车道时应注意观察周边环境，执行一看二停三通过等流程规范。</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6.对于严重影响交通及人身安全的行为，应及时通知高速交警，对于恶意冲卡、黑名单车辆，应联络高速交警、路政等进行执法。</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7.恶劣天气开启相应的照明设施，设置提示警告标志，视情况设置现场疏导人员。</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8.雨雪天气现场疏导人员应穿戴雨具、夜间反光服、肩灯等。</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9.特殊时段做好备勤备岗工作，当发生大面积拥堵时，应及时启动通行保畅应急预案。</w:t>
            </w:r>
          </w:p>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10.突发事件发生时，按高速交警指令执行相关应急预案。</w:t>
            </w:r>
          </w:p>
        </w:tc>
        <w:tc>
          <w:tcPr>
            <w:tcW w:w="351" w:type="pct"/>
            <w:vMerge w:val="restart"/>
            <w:shd w:val="clear" w:color="auto" w:fill="auto"/>
            <w:vAlign w:val="center"/>
          </w:tcPr>
          <w:p>
            <w:pPr>
              <w:spacing w:after="0" w:line="320" w:lineRule="exact"/>
              <w:ind w:left="0" w:firstLine="0"/>
              <w:jc w:val="center"/>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收费部经理</w:t>
            </w:r>
          </w:p>
          <w:p>
            <w:pPr>
              <w:spacing w:after="0" w:line="320" w:lineRule="exact"/>
              <w:ind w:left="0" w:firstLine="0"/>
              <w:jc w:val="center"/>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工程部工程师</w:t>
            </w:r>
          </w:p>
          <w:p>
            <w:pPr>
              <w:spacing w:after="0" w:line="320" w:lineRule="exact"/>
              <w:ind w:left="0" w:firstLine="0"/>
              <w:jc w:val="center"/>
              <w:rPr>
                <w:rFonts w:hint="eastAsia" w:ascii="宋体" w:hAnsi="宋体" w:eastAsia="宋体" w:cs="宋体"/>
                <w:color w:val="auto"/>
                <w:kern w:val="0"/>
                <w:sz w:val="20"/>
                <w:szCs w:val="20"/>
                <w:lang w:eastAsia="zh-CN"/>
              </w:rPr>
            </w:pPr>
          </w:p>
          <w:p>
            <w:pPr>
              <w:spacing w:after="0" w:line="320" w:lineRule="exact"/>
              <w:ind w:left="0" w:firstLine="0"/>
              <w:jc w:val="center"/>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收费站</w:t>
            </w:r>
          </w:p>
          <w:p>
            <w:pPr>
              <w:spacing w:after="0" w:line="320" w:lineRule="exact"/>
              <w:ind w:left="0" w:firstLine="0"/>
              <w:jc w:val="center"/>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收费员</w:t>
            </w:r>
          </w:p>
          <w:p>
            <w:pPr>
              <w:spacing w:after="0" w:line="320" w:lineRule="exact"/>
              <w:ind w:left="0" w:firstLine="0"/>
              <w:jc w:val="center"/>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收费班长</w:t>
            </w:r>
          </w:p>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机电维护员</w:t>
            </w: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站前限速标志、减速带、超宽车道指示标志、照明设施齐全，存在可能坠落影响交通及人身安全的情形，应及时上报组织维修，无法及时修复时，应封闭车道、设置围挡等措施。</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60" w:type="pct"/>
            <w:shd w:val="clear" w:color="auto" w:fill="auto"/>
            <w:vAlign w:val="center"/>
          </w:tcPr>
          <w:p>
            <w:pPr>
              <w:spacing w:after="0" w:line="320" w:lineRule="exact"/>
              <w:ind w:left="0" w:firstLine="0"/>
              <w:jc w:val="center"/>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收费站</w:t>
            </w:r>
          </w:p>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工程部</w:t>
            </w:r>
          </w:p>
        </w:tc>
        <w:tc>
          <w:tcPr>
            <w:tcW w:w="267" w:type="pct"/>
            <w:shd w:val="clear" w:color="auto" w:fill="auto"/>
            <w:vAlign w:val="center"/>
          </w:tcPr>
          <w:p>
            <w:pPr>
              <w:spacing w:after="0" w:line="320" w:lineRule="exact"/>
              <w:ind w:left="0" w:firstLine="0"/>
              <w:jc w:val="center"/>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站长、班长</w:t>
            </w:r>
          </w:p>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工程师</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46</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疏导及保畅人员站位合理、着装规范。</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lang w:eastAsia="zh-CN"/>
              </w:rPr>
              <w:t>值班领导</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有情况时</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47</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横穿车道时应注意观察周边环境，执行一看二停三通过等流程规范。</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lang w:eastAsia="zh-CN"/>
              </w:rPr>
              <w:t>值班领导</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有情况时</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48</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auto" w:fill="auto"/>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对于恶意冲卡、黑名单车辆，应联络高速交警、路政等进行执法。</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lang w:eastAsia="zh-CN"/>
              </w:rPr>
              <w:t>值班领导</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有情况时</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49</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恶劣天气开启照明、设置警告标志等辅助设施，执行高速交警指令。</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lang w:eastAsia="zh-CN"/>
              </w:rPr>
              <w:t>值班领导</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有情况时</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50</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auto" w:fill="auto"/>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雨雪天气现场疏导人员应穿戴雨具、夜间反光服、肩灯等。</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lang w:eastAsia="zh-CN"/>
              </w:rPr>
              <w:t>值班领导</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有情况时</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51</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auto" w:fill="auto"/>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特殊时段做好备勤备岗工作，当发生大面积拥堵时，应及时启动通行保畅应急预案。</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lang w:eastAsia="zh-CN"/>
              </w:rPr>
              <w:t>值班领导</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有情况时</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52</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制定收费站收费站通行保畅专项应急预案，定期组织开展演练。</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lang w:eastAsia="zh-CN"/>
              </w:rPr>
              <w:t>值班领导</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有情况时</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53</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对影响交通及人员的不安全状况，及时上报，并采取封闭车道、设置围挡等措施。</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lang w:eastAsia="zh-CN"/>
              </w:rPr>
              <w:t>值班领导</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有情况时</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2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54</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保洁作业</w:t>
            </w:r>
          </w:p>
        </w:tc>
        <w:tc>
          <w:tcPr>
            <w:tcW w:w="294"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车辆伤害/高处坠落/触电/财产损失等</w:t>
            </w:r>
          </w:p>
        </w:tc>
        <w:tc>
          <w:tcPr>
            <w:tcW w:w="1063" w:type="pct"/>
            <w:vMerge w:val="restart"/>
            <w:shd w:val="clear" w:color="auto" w:fill="auto"/>
            <w:vAlign w:val="center"/>
          </w:tcPr>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1.定期排查维修，确保收费站前限速标志、减速带、超宽车道指示标志、照明设施等完好有效。</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2.车道内作业时按规定设置作业区、警示标识，关闭车道灯等。</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3.作业人员应遵守收费站安全规定，穿戴合格，穿越车道时注意观察周边环境，出现异常情形时应及时告知。</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4.车道作业时应选择合理站位。</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5.开展保洁员安全教育培训或交底。</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6.岗中开展检查，发现违章行为及时纠正。</w:t>
            </w:r>
          </w:p>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7.作业后应及时清理、恢复车道。</w:t>
            </w:r>
          </w:p>
        </w:tc>
        <w:tc>
          <w:tcPr>
            <w:tcW w:w="351" w:type="pct"/>
            <w:vMerge w:val="restart"/>
            <w:shd w:val="clear" w:color="auto" w:fill="auto"/>
            <w:vAlign w:val="center"/>
          </w:tcPr>
          <w:p>
            <w:pPr>
              <w:spacing w:after="0" w:line="320" w:lineRule="exact"/>
              <w:ind w:left="0" w:firstLine="0"/>
              <w:jc w:val="center"/>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工程部工程师</w:t>
            </w:r>
          </w:p>
          <w:p>
            <w:pPr>
              <w:spacing w:after="0" w:line="320" w:lineRule="exact"/>
              <w:ind w:left="0" w:firstLine="0"/>
              <w:jc w:val="center"/>
              <w:rPr>
                <w:rFonts w:hint="eastAsia" w:ascii="宋体" w:hAnsi="宋体" w:eastAsia="宋体" w:cs="宋体"/>
                <w:color w:val="auto"/>
                <w:kern w:val="0"/>
                <w:sz w:val="20"/>
                <w:szCs w:val="20"/>
                <w:lang w:eastAsia="zh-CN"/>
              </w:rPr>
            </w:pPr>
          </w:p>
          <w:p>
            <w:pPr>
              <w:spacing w:after="0" w:line="320" w:lineRule="exact"/>
              <w:ind w:left="0" w:firstLine="0"/>
              <w:jc w:val="center"/>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收费站</w:t>
            </w:r>
          </w:p>
          <w:p>
            <w:pPr>
              <w:spacing w:after="0" w:line="320" w:lineRule="exact"/>
              <w:ind w:left="0" w:firstLine="0"/>
              <w:jc w:val="center"/>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收费员</w:t>
            </w:r>
          </w:p>
          <w:p>
            <w:pPr>
              <w:spacing w:after="0" w:line="320" w:lineRule="exact"/>
              <w:ind w:left="0" w:firstLine="0"/>
              <w:jc w:val="center"/>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保洁员</w:t>
            </w:r>
          </w:p>
          <w:p>
            <w:pPr>
              <w:spacing w:after="0" w:line="320" w:lineRule="exact"/>
              <w:ind w:left="0" w:firstLine="0"/>
              <w:jc w:val="center"/>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收费班长</w:t>
            </w:r>
          </w:p>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站长</w:t>
            </w: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站前限速标志、减速带、超宽车道指示标志、照明设施完好。</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60" w:type="pct"/>
            <w:shd w:val="clear" w:color="auto" w:fill="auto"/>
            <w:vAlign w:val="center"/>
          </w:tcPr>
          <w:p>
            <w:pPr>
              <w:spacing w:after="0" w:line="320" w:lineRule="exact"/>
              <w:ind w:left="0" w:firstLine="0"/>
              <w:jc w:val="center"/>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收费站</w:t>
            </w:r>
          </w:p>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工程部</w:t>
            </w:r>
          </w:p>
        </w:tc>
        <w:tc>
          <w:tcPr>
            <w:tcW w:w="267" w:type="pct"/>
            <w:shd w:val="clear" w:color="auto" w:fill="auto"/>
            <w:vAlign w:val="center"/>
          </w:tcPr>
          <w:p>
            <w:pPr>
              <w:spacing w:after="0" w:line="320" w:lineRule="exact"/>
              <w:ind w:left="0" w:firstLine="0"/>
              <w:jc w:val="center"/>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站长、班长</w:t>
            </w:r>
          </w:p>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工程师</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55</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车道内作业时按规定设置作业区、警示标识，关闭车道灯等。</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班长</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有作业时</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56</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车道作业时应选择合理站位。</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班长</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有作业时</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57</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作业人员应遵守收费站安全规定，穿戴合格，穿越车道时注意观察周边环境。</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班长</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有作业时</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58</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作业后车道应恢复整洁。</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班长</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有作业时</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59</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恶劣天气作业有防护用品。</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班长</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有作业时</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60</w:t>
            </w:r>
          </w:p>
        </w:tc>
        <w:tc>
          <w:tcPr>
            <w:tcW w:w="142"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办公生活区</w:t>
            </w:r>
          </w:p>
        </w:tc>
        <w:tc>
          <w:tcPr>
            <w:tcW w:w="160"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院区</w:t>
            </w:r>
          </w:p>
        </w:tc>
        <w:tc>
          <w:tcPr>
            <w:tcW w:w="294"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车辆伤害/火灾/物体打击/高处坠落等</w:t>
            </w:r>
          </w:p>
        </w:tc>
        <w:tc>
          <w:tcPr>
            <w:tcW w:w="1063" w:type="pct"/>
            <w:vMerge w:val="restart"/>
            <w:shd w:val="clear" w:color="auto" w:fill="auto"/>
            <w:vAlign w:val="center"/>
          </w:tcPr>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1.院区入口处设置限速标志、设施，开展员工交通安全教育培训，进入院区车辆限速10km/h，车辆驾乘人员及行人注意观察周边环境。</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2.开展员工消防安全教育培训。</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3.电动车辆定点定时充电，严禁长时间、过夜充电。</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4.车辆存放点、充电处放置消防器材。</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5.安全员定期巡查，确保院内无违规易燃易爆物品存放。</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6.办公区前应划定消防禁停区域，院内消防器材配置齐全有效、位置合理。</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7.院内监控设施齐全有效、覆盖面全。</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8.夜间照明良好。</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9.结构外墙、灯具、吊顶等牢固，发现隐患及时报修处理。</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10.合理安排作业计划，恶劣天气不宜安排户外高处作业，高处作业人员应穿戴齐全，高处作业时的工具、材料应放置稳妥，高处作业人员应穿戴防护用品，严禁酒后、违章冒险作业，作业爬梯应放置稳妥，设人监护。</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11.定期排查，确保临边、洞口防护设施齐全有效。</w:t>
            </w:r>
          </w:p>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12.落实外来人员管理制度，按规定开展巡查。</w:t>
            </w:r>
          </w:p>
        </w:tc>
        <w:tc>
          <w:tcPr>
            <w:tcW w:w="351" w:type="pct"/>
            <w:vMerge w:val="restart"/>
            <w:shd w:val="clear" w:color="auto" w:fill="auto"/>
            <w:vAlign w:val="center"/>
          </w:tcPr>
          <w:p>
            <w:pPr>
              <w:spacing w:after="0" w:line="320" w:lineRule="exact"/>
              <w:ind w:left="0" w:firstLine="0"/>
              <w:jc w:val="center"/>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收费站</w:t>
            </w:r>
          </w:p>
          <w:p>
            <w:pPr>
              <w:spacing w:after="0" w:line="320" w:lineRule="exact"/>
              <w:ind w:left="0" w:firstLine="0"/>
              <w:jc w:val="center"/>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安全员</w:t>
            </w:r>
          </w:p>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站长</w:t>
            </w: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院区入口及院内限速标志、设施完好有效。</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安全员</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61</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办公区前划定消防禁停区域，无关车辆严禁占用消防通道。</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安全员</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62</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室外消火栓无遮挡，消防水带、水枪、钩子齐全，位置明显。</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安全员</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63</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电动充电设备及线路完好，定点定时充电，严禁长时间、过夜充电。</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安全员</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64</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车辆存放点、充电处消防器材齐全有效。</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安全员</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65</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易燃易爆物品应分类存放，无关物品要及时清理。</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安全员</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66</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院内消防器材配置齐全有效、位置合理。</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安全员</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67</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院内监控设施齐全有效、覆盖面全。</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安全员</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68</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夜间照明良好。</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安全员</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69</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安保人员按规定开展防火巡查和检查。</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安全员</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70</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结构外墙、灯具、吊顶等稳固，无渗漏、脱皮现象。</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bottom"/>
          </w:tcPr>
          <w:p>
            <w:pPr>
              <w:spacing w:after="0" w:line="320" w:lineRule="exact"/>
              <w:ind w:left="0" w:firstLine="0"/>
              <w:jc w:val="center"/>
              <w:rPr>
                <w:rFonts w:ascii="宋体" w:hAnsi="宋体" w:eastAsia="宋体" w:cs="宋体"/>
                <w:color w:val="auto"/>
                <w:kern w:val="0"/>
                <w:sz w:val="20"/>
                <w:szCs w:val="20"/>
              </w:rPr>
            </w:pP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安全员</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71</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临边、洞口防护设施齐全有效</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安全员</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5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72</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合理安排作业计划，恶劣天气不宜安排户外高处作业，高处作业人员应穿戴齐全，高处作业时的工具、材料应放置稳妥，高处作业人员应穿戴防护用品，严禁酒后、违章冒险作业，作业爬梯应放置稳妥，设人监护。</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安全员</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有作业时</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73</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非紧急情况，雨雪、强风天气避免室外高处作业。</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站长</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有作业时</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74</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作业爬梯应放置稳妥，设人监护。</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安全员</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有作业时</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75</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宿办楼</w:t>
            </w:r>
          </w:p>
        </w:tc>
        <w:tc>
          <w:tcPr>
            <w:tcW w:w="294"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火灾/触电/物体打击/高处坠落等</w:t>
            </w:r>
          </w:p>
        </w:tc>
        <w:tc>
          <w:tcPr>
            <w:tcW w:w="1063" w:type="pct"/>
            <w:vMerge w:val="restart"/>
            <w:shd w:val="clear" w:color="auto" w:fill="auto"/>
            <w:vAlign w:val="center"/>
          </w:tcPr>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1.制定用电安全管理制度，加强机关人员用电安全培训，定期巡查，严禁违章用电行为。</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2.使用合格的电气设备，定期巡视检查，发现电气隐患及时处理。</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3.吸烟处配置灭火器、水及烟灰缸，加强机关人员消防安全培训，提高人员防火意识。</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4.室内按规定配置消防器材，定期进行消防巡查。</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5.定期巡视检查，发现绝电气设备、线缆及其他电气隐患上报维修。</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6.使用合格的电气产品，3C认证的合格插座。</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人走电断，严禁违章用电行为。</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7.室内禁止吸烟，加强机关人员消防安全培训，提高人员防火意识。</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8.上班前应注意观察周边环境，发现隐患时应及时上报处置。</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9.定期对高处临边设施进行检查维修，确保防护设施齐全有效，加强高处作业安全监管。</w:t>
            </w:r>
          </w:p>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10.定期对消火栓进行巡查、维护保养，确保消防设施齐全有效、消防通道、安全出口畅通。</w:t>
            </w:r>
          </w:p>
        </w:tc>
        <w:tc>
          <w:tcPr>
            <w:tcW w:w="351" w:type="pct"/>
            <w:vMerge w:val="restart"/>
            <w:shd w:val="clear" w:color="auto" w:fill="auto"/>
            <w:vAlign w:val="center"/>
          </w:tcPr>
          <w:p>
            <w:pPr>
              <w:spacing w:after="0" w:line="320" w:lineRule="exact"/>
              <w:ind w:left="0" w:firstLine="0"/>
              <w:jc w:val="center"/>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收费站</w:t>
            </w:r>
          </w:p>
          <w:p>
            <w:pPr>
              <w:spacing w:after="0" w:line="320" w:lineRule="exact"/>
              <w:ind w:left="0" w:firstLine="0"/>
              <w:jc w:val="center"/>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安全员</w:t>
            </w:r>
          </w:p>
          <w:p>
            <w:pPr>
              <w:spacing w:after="0" w:line="320" w:lineRule="exact"/>
              <w:ind w:left="0" w:firstLine="0"/>
              <w:jc w:val="center"/>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电工</w:t>
            </w:r>
          </w:p>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站长</w:t>
            </w: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开展用电安全管理和培训。</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站长</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76</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办公人员应人走电断，严禁违章用电行为，电气设备、插座应远离水壶、潮湿场所。</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安全员</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77</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电气设备、插座应合格，无绝缘破损、裸露的设备及线缆。</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安全员</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78</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室内动火作业时要执行审批制度，做好防火措施。</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站长</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有作业时</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79</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汛期开展专项排查，排查门窗、电气设备及线路、排水井等。</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站长</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汛期</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80</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电气作业由专业人员操作，作业人员应穿戴齐全，使用合格的电气工具，按规程操作。</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电工</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有作业时</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81</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高处灯具、吊顶及地板结构稳固，楼道、阳台等临边防护措施齐全稳固。</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安全员</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82</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高处作业人员应穿戴防护用品，严禁酒后、违章冒险作业；高处作业时，作业爬梯应放置稳妥，设人监护；非紧急情况，雨雪、强风天气避免室外高处作业。</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安全员</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有作业时</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83</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安全出口、疏散通道等重点部位的应急照明灯、疏散指示标志齐全有效，设置正确。</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安全员</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84</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auto" w:fill="auto"/>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安全出口、疏散通道严禁被占用、堵塞。</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安全员</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85</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消火栓箱内水带、水枪等配置齐全；箱体结构、门锁及相关标志、说明完好。</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安全员</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86</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灭火器位置正确、配置齐全，外观及压力正常。</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安全员</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87</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变配电室</w:t>
            </w:r>
          </w:p>
        </w:tc>
        <w:tc>
          <w:tcPr>
            <w:tcW w:w="294"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火灾/触电/事故扩大等</w:t>
            </w:r>
          </w:p>
        </w:tc>
        <w:tc>
          <w:tcPr>
            <w:tcW w:w="1063" w:type="pct"/>
            <w:vMerge w:val="restart"/>
            <w:shd w:val="clear" w:color="auto" w:fill="auto"/>
            <w:vAlign w:val="center"/>
          </w:tcPr>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1.设备应在设计使用期限内；及时维护与保养；定期排查；条件许可时更新。</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2.柜内元器件应选型合理，配件齐全；定期排查，保证元器件选型合适，工作正常。</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3.设置断路器等保护装置；新增大功率用电设备时应进行容量计算。</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4.线型选择应合格，质量可靠，接线规范；按规定定期巡检，发现隐患及时处理。</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5.配电室及供配电设备应有防（避）雷设施。</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6.室内门窗通风装置良好；配置温湿度计；定期清扫、巡查，确保室内环境良好。</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7.设置挡鼠板、粘鼠板、鼠药等措施。</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8.室内严禁吸烟，室外张贴安全警示标识；动火作业时应执行审批制度。</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9.室内严禁堆放杂物，室外张贴安全警示标识；定期排查，保证室内整洁。</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10.室内按规定配置消防器材，定期巡查、维保。</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11.设备应在设计使用期限内；及时维护与保养；定期排查；条件许可时更新。</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12.按规范设置防火门窗，开启方向与疏散方向一致。</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13.室内应急照明齐全，使用功能正常。</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14.配电设备及外壳按规定接地，定期检查接地装置有效性；供配电设备绝缘胶垫齐全有效。</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15.配足配齐电工；合理安排值班计划；制定安全操作规程并加强电工安全和业务培训。</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16.加强配电室管理，无关人员严禁进入配电室操作电气设备。</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17.为电工配备绝缘鞋、绝缘手套等劳保用品及质量合格的操作工具；按规定进行检测和存放。</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18.加强巡视、维护人员的业务和安全培训；加强相关人员的安全教育培训，发现违章人员按公司制度处罚。</w:t>
            </w:r>
          </w:p>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19.线路及开关标志、安全警示标识齐全有效；定期巡视检查，发现缺损时及时更换，</w:t>
            </w:r>
          </w:p>
        </w:tc>
        <w:tc>
          <w:tcPr>
            <w:tcW w:w="351" w:type="pct"/>
            <w:vMerge w:val="restart"/>
            <w:shd w:val="clear" w:color="auto" w:fill="auto"/>
            <w:vAlign w:val="center"/>
          </w:tcPr>
          <w:p>
            <w:pPr>
              <w:spacing w:after="0" w:line="320" w:lineRule="exact"/>
              <w:ind w:left="0" w:firstLine="0"/>
              <w:jc w:val="center"/>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收费站</w:t>
            </w:r>
          </w:p>
          <w:p>
            <w:pPr>
              <w:spacing w:after="0" w:line="320" w:lineRule="exact"/>
              <w:ind w:left="0" w:firstLine="0"/>
              <w:jc w:val="center"/>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安全员</w:t>
            </w:r>
          </w:p>
          <w:p>
            <w:pPr>
              <w:spacing w:after="0" w:line="320" w:lineRule="exact"/>
              <w:ind w:left="0" w:firstLine="0"/>
              <w:jc w:val="center"/>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电工</w:t>
            </w:r>
          </w:p>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站长</w:t>
            </w: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门窗合格，无渗漏迹象，周边无积水现象；变配电室关闭严密，标志齐全，无关人员严禁进入，室内无吸烟、明火等现象。</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电工</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88</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变配电室内温湿度正常，环境整洁，无杂物堆放。</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电工</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89</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供配电装置及设备应质量可靠，无异常报警、异味，指示灯显示正确。</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电工</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90</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按规定对变配电设备进行维修保养。</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电工</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91</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定期检查断路器有无异响、异味、过热。</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电工</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92</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室内线缆接线规范，严禁私拉乱接，超负荷用电。</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电工</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93</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线路及设备无老化、破损、虚接，无异味、过热等现象。</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电工</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94</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设置挡鼠板、粘鼠板、鼠药、纱窗等，门窗孔洞关闭严密，无虫鼠踪迹。</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电工</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95</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配电设备及外壳按规定接地，定期检查接地装置有效性。</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电工</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96</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变配电设备周边按规定配置绝缘胶垫。</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电工</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97</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配齐合格的劳保用品、绝缘工具，定期检测，电气作业工具存放位置和方式得当，使用规范。</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电工</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98</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电气作业时按规定停送电、悬挂标志，设置专人监护，执行安全操作规程。</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电工</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有作业时</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99</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电气作业由专业人员操作，作业人员应穿戴齐全，使用合格的电气工具，按规程操作。</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电工</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有作业时</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100</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配电室、配电箱及带电设备设置安全警示标识。</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电工</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101</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室内应急照明、消防器材齐全有效。</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电工</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102</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发电机房</w:t>
            </w:r>
          </w:p>
        </w:tc>
        <w:tc>
          <w:tcPr>
            <w:tcW w:w="294"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火灾/触电/事故扩大/其他伤害等</w:t>
            </w:r>
          </w:p>
        </w:tc>
        <w:tc>
          <w:tcPr>
            <w:tcW w:w="1063" w:type="pct"/>
            <w:vMerge w:val="restart"/>
            <w:shd w:val="clear" w:color="auto" w:fill="auto"/>
            <w:vAlign w:val="center"/>
          </w:tcPr>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1.使用合规产品；油箱周边设置防流散设施，供油管路敷设合规，连接牢固；定期巡视检查，启动后对管路及连接情况进行检查。</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2.按规定连接设备线路，定期排查。</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3.电缆与油管分开敷设，不得有裸露线头、电气设备，定期排查电气隐患。</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4.选择质量可靠的蓄电池产品，定期巡查维护，及时更换。蓄电池及线路连接应牢固、正确。</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5.室内及排烟口下不得存放易燃易爆物品，油污、擦布应及时清理。</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6.室外设置安全警示标识，加强相关人员安全教育培训，发电机房严禁烟火。</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7.室内按规定配置消防器材，定期进行消防巡查。</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8.加强日常维修保养；定期排查，确保油量充足、电瓶电源正常；定期测试。</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9.室内设置应急照明；定期巡视检查，发现隐患时及时维修。</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10.制定安全操作规程，加强操作人员业务培训。</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11.发电设备、蓄电池及外壳按规定接地，定期检查接地装置有效性。</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12.加强发电机房管理，无关人员严禁进入，启动或操作发电机。</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13.配齐劳保用品、绝缘工具。加强相关人员的安全教育培训，发现违章人员按公司制度处罚。</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14.确保室内通风良好。</w:t>
            </w:r>
          </w:p>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15.加强操作人员业务培训，知悉灼烫部位；设备运行时，应远离机身。</w:t>
            </w:r>
          </w:p>
        </w:tc>
        <w:tc>
          <w:tcPr>
            <w:tcW w:w="351" w:type="pct"/>
            <w:vMerge w:val="restart"/>
            <w:shd w:val="clear" w:color="auto" w:fill="auto"/>
            <w:vAlign w:val="center"/>
          </w:tcPr>
          <w:p>
            <w:pPr>
              <w:spacing w:after="0" w:line="320" w:lineRule="exact"/>
              <w:ind w:left="0" w:firstLine="0"/>
              <w:jc w:val="center"/>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收费站</w:t>
            </w:r>
          </w:p>
          <w:p>
            <w:pPr>
              <w:spacing w:after="0" w:line="320" w:lineRule="exact"/>
              <w:ind w:left="0" w:firstLine="0"/>
              <w:jc w:val="center"/>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安全员</w:t>
            </w:r>
          </w:p>
          <w:p>
            <w:pPr>
              <w:spacing w:after="0" w:line="320" w:lineRule="exact"/>
              <w:ind w:left="0" w:firstLine="0"/>
              <w:jc w:val="center"/>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电工</w:t>
            </w:r>
          </w:p>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站长</w:t>
            </w:r>
          </w:p>
        </w:tc>
        <w:tc>
          <w:tcPr>
            <w:tcW w:w="1530" w:type="pct"/>
            <w:shd w:val="clear" w:color="auto" w:fill="auto"/>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发电机房闭门管理，室内整洁，无渗漏、杂物，通风良好。</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电工</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103</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auto" w:fill="auto"/>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使用合规产品；油箱周边设置防流散设施，供油管路敷设合规，连接牢固；油量充足。</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电工</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104</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auto" w:fill="auto"/>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设备电气线路整齐，按规定进行接地。</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电工</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105</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auto" w:fill="auto"/>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电缆与油管分开敷设，不得有裸露线头、电气设备，定期排查电气隐患。</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电工</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106</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auto" w:fill="auto"/>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蓄电池质量可靠，蓄电池及线路连接应牢固、正确，电流、电压正常。</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电工</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107</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auto" w:fill="auto"/>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发电机定期启动测试，启动正常。</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电工</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根据操作规程</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108</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auto" w:fill="auto"/>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室内及排烟口下不得存放易燃易爆物品，油污、擦布应及时清理。</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电工</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109</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auto" w:fill="auto"/>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室内外及设备安全防护设施及警示标识齐全。</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电工</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110</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auto" w:fill="auto"/>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应急照明、消防设施齐全有效。</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电工</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111</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auto" w:fill="auto"/>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发电机由专人操作，无关人员严禁进入，启动或操作发电机。</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电工</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有作业时</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112</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auto" w:fill="auto"/>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配齐劳保用品、绝缘工具。加强相关人员的安全教育培训，发现违章人员按公司制度处罚。</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电工</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113</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通信机房</w:t>
            </w:r>
          </w:p>
        </w:tc>
        <w:tc>
          <w:tcPr>
            <w:tcW w:w="294"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财产损失/火灾</w:t>
            </w:r>
          </w:p>
        </w:tc>
        <w:tc>
          <w:tcPr>
            <w:tcW w:w="1063" w:type="pct"/>
            <w:vMerge w:val="restart"/>
            <w:shd w:val="clear" w:color="auto" w:fill="auto"/>
            <w:vAlign w:val="center"/>
          </w:tcPr>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1.每日巡查，发现故障、老化时及时更换。</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2.定期升级杀毒软件、防火墙，非专业人员不得进入和操作。</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3.作业人员严格按照操作规程作业。</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4.防雷设备设施有效。</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5.定期对设备机房进行清尘，机房内设置空调、温湿度计，保证室内温湿度满足使用要求。</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6.加强机房日常安全管理，无关人员、设备不得进入。</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7.制定机电设备故障应急处置方案，加强演练。</w:t>
            </w:r>
          </w:p>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8.加强培训，提高作业人员业务和安全技能。</w:t>
            </w:r>
          </w:p>
        </w:tc>
        <w:tc>
          <w:tcPr>
            <w:tcW w:w="351" w:type="pct"/>
            <w:vMerge w:val="restart"/>
            <w:shd w:val="clear" w:color="auto" w:fill="auto"/>
            <w:vAlign w:val="center"/>
          </w:tcPr>
          <w:p>
            <w:pPr>
              <w:spacing w:after="0" w:line="320" w:lineRule="exact"/>
              <w:ind w:left="0" w:firstLine="0"/>
              <w:jc w:val="center"/>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收费站</w:t>
            </w:r>
          </w:p>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机电维护员</w:t>
            </w: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室内门窗、孔洞封闭严密，无渗漏水等现象，消防设施、应急照明、警示标识齐全有效。灯管、灯管架、天花装饰板、玻璃、地板、机柜等设施稳固，无缺损、破坏等现象。</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机电维护员</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114</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机房内无私拉乱接、无关电气设备接入等现象，电气线路应顺直，有明显标签。</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机电维护员</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115</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机房及设备清洁、温湿度正常，无积尘、污染、积水等现象。</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机电维护员</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116</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室内无异味、异响、过热、吸烟、堆放杂物、虫鼠踪迹等现象。</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机电维护员</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117</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UPS电源系统自动告警与自动维护功能无异常，设备运行状态正常，运作与故障指示处于正常状态，定期进行充放电与切换试验。</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bottom"/>
          </w:tcPr>
          <w:p>
            <w:pPr>
              <w:spacing w:after="0" w:line="320" w:lineRule="exact"/>
              <w:ind w:left="0" w:firstLine="0"/>
              <w:jc w:val="center"/>
              <w:rPr>
                <w:rFonts w:ascii="宋体" w:hAnsi="宋体" w:eastAsia="宋体" w:cs="宋体"/>
                <w:color w:val="auto"/>
                <w:kern w:val="0"/>
                <w:sz w:val="20"/>
                <w:szCs w:val="20"/>
              </w:rPr>
            </w:pP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机电维护员</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根据操作规程</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118</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主机、蓄电池、配电部分的引线以及端子连接牢固。</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机电维护员</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根据操作规程</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119</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柜门、电气设备及外壳接地到位、电气线路及设备绝缘可靠。</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机电维护员</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根据操作规程</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120</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设备除尘、清扫应由专业人员使用专业设备。电气作业时，应与电工配合作业，使用合格劳动保护用品，按规程操作。</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机电维护员</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根据操作规程</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121</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收款室</w:t>
            </w:r>
          </w:p>
        </w:tc>
        <w:tc>
          <w:tcPr>
            <w:tcW w:w="294"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火灾/票款损失</w:t>
            </w:r>
          </w:p>
        </w:tc>
        <w:tc>
          <w:tcPr>
            <w:tcW w:w="1063" w:type="pct"/>
            <w:vMerge w:val="restart"/>
            <w:shd w:val="clear" w:color="auto" w:fill="auto"/>
            <w:vAlign w:val="center"/>
          </w:tcPr>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1.每日班前检查，发现问题及时上报。</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2.制定票证、收款室相关管理规定，开展票证业务和安全教育培训，提高人员业务和安全技能。</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3.执行班前交底、班中稽查检查制度，对发现的不规范行为及时纠正。</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4.确保“三铁一器”、“三专六防”完好有效。</w:t>
            </w:r>
          </w:p>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5.定期对灭火器外观、压力等进行巡查，发现的问题及时上报。</w:t>
            </w:r>
          </w:p>
        </w:tc>
        <w:tc>
          <w:tcPr>
            <w:tcW w:w="351" w:type="pct"/>
            <w:vMerge w:val="restart"/>
            <w:shd w:val="clear" w:color="auto" w:fill="auto"/>
            <w:vAlign w:val="center"/>
          </w:tcPr>
          <w:p>
            <w:pPr>
              <w:spacing w:after="0" w:line="320" w:lineRule="exact"/>
              <w:ind w:left="0" w:firstLine="0"/>
              <w:jc w:val="center"/>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营运部经理</w:t>
            </w:r>
          </w:p>
          <w:p>
            <w:pPr>
              <w:spacing w:after="0" w:line="320" w:lineRule="exact"/>
              <w:ind w:left="0" w:firstLine="0"/>
              <w:jc w:val="center"/>
              <w:rPr>
                <w:rFonts w:hint="eastAsia" w:ascii="宋体" w:hAnsi="宋体" w:eastAsia="宋体" w:cs="宋体"/>
                <w:color w:val="auto"/>
                <w:kern w:val="0"/>
                <w:sz w:val="20"/>
                <w:szCs w:val="20"/>
                <w:lang w:eastAsia="zh-CN"/>
              </w:rPr>
            </w:pPr>
          </w:p>
          <w:p>
            <w:pPr>
              <w:spacing w:after="0" w:line="320" w:lineRule="exact"/>
              <w:ind w:left="0" w:firstLine="0"/>
              <w:jc w:val="center"/>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收费站</w:t>
            </w:r>
          </w:p>
          <w:p>
            <w:pPr>
              <w:spacing w:after="0" w:line="320" w:lineRule="exact"/>
              <w:ind w:left="0" w:firstLine="0"/>
              <w:jc w:val="center"/>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票证员</w:t>
            </w:r>
          </w:p>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站长</w:t>
            </w: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闭门作业、门窗关闭严密，钥匙随身携带。</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票证员</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122</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票款存放安全，保管妥当。</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票证员</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123</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保险柜、密码锁、报警器正常，钥匙、密码分别存放，“三铁一器”、“三专六防”完好有效。</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票证员</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124</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灭火器数量、外观、压力正常。</w:t>
            </w:r>
          </w:p>
        </w:tc>
        <w:tc>
          <w:tcPr>
            <w:tcW w:w="129" w:type="pct"/>
            <w:shd w:val="clear" w:color="auto" w:fill="auto"/>
            <w:vAlign w:val="bottom"/>
          </w:tcPr>
          <w:p>
            <w:pPr>
              <w:spacing w:after="0" w:line="320" w:lineRule="exact"/>
              <w:ind w:left="0" w:firstLine="0"/>
              <w:rPr>
                <w:rFonts w:ascii="宋体" w:hAnsi="宋体" w:eastAsia="宋体" w:cs="宋体"/>
                <w:color w:val="auto"/>
                <w:kern w:val="0"/>
                <w:sz w:val="20"/>
                <w:szCs w:val="20"/>
              </w:rPr>
            </w:pP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票证员</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125</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定期检查，组织业务安全培训、应急演练等，确保作业人员按规范操作。</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bottom"/>
          </w:tcPr>
          <w:p>
            <w:pPr>
              <w:spacing w:after="0" w:line="320" w:lineRule="exact"/>
              <w:ind w:left="0" w:firstLine="0"/>
              <w:jc w:val="center"/>
              <w:rPr>
                <w:rFonts w:ascii="宋体" w:hAnsi="宋体" w:eastAsia="宋体" w:cs="宋体"/>
                <w:color w:val="auto"/>
                <w:kern w:val="0"/>
                <w:sz w:val="20"/>
                <w:szCs w:val="20"/>
              </w:rPr>
            </w:pP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60" w:type="pct"/>
            <w:shd w:val="clear" w:color="auto" w:fill="auto"/>
            <w:vAlign w:val="center"/>
          </w:tcPr>
          <w:p>
            <w:pPr>
              <w:spacing w:after="0" w:line="320" w:lineRule="exact"/>
              <w:ind w:left="0" w:firstLine="0"/>
              <w:jc w:val="center"/>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运营部</w:t>
            </w:r>
          </w:p>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主任</w:t>
            </w:r>
          </w:p>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站长</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126</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水泵房</w:t>
            </w:r>
          </w:p>
        </w:tc>
        <w:tc>
          <w:tcPr>
            <w:tcW w:w="294"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高处坠落/触电/事故扩大等</w:t>
            </w:r>
          </w:p>
        </w:tc>
        <w:tc>
          <w:tcPr>
            <w:tcW w:w="1063" w:type="pct"/>
            <w:vMerge w:val="restart"/>
            <w:shd w:val="clear" w:color="auto" w:fill="auto"/>
            <w:vAlign w:val="center"/>
          </w:tcPr>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1.超过2m作业平台应设置护栏，加强日常巡查维护，确保护栏齐全稳固。</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2.消防泵房应设置常规照明、应急照明，加强日常巡检，发现问题及时解决上报。</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3.楼梯边缘处张贴安全警示带，存在漏雨、漏水等现象时及时维修。</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4.带电操作设备外壳应接地良好，门体跨接。</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5.为操作人员配备合格的劳动保护用品和作业工具，严格要求职工遵守作业规程、加强安全教育。</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6.水泵房门窗锁闭，室外张贴水房重地闲人免进警示标志。</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7.按规定对水泵启动试验，确保设备正常使用。</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8.阀门、控制开关应处于正确位置，加强作业人员业务培训。</w:t>
            </w:r>
          </w:p>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9.加强从业人员培训，确保相关人员熟悉作业流程。</w:t>
            </w:r>
          </w:p>
        </w:tc>
        <w:tc>
          <w:tcPr>
            <w:tcW w:w="351" w:type="pct"/>
            <w:vMerge w:val="restart"/>
            <w:shd w:val="clear" w:color="auto" w:fill="auto"/>
            <w:vAlign w:val="center"/>
          </w:tcPr>
          <w:p>
            <w:pPr>
              <w:spacing w:after="0" w:line="320" w:lineRule="exact"/>
              <w:ind w:left="0" w:firstLine="0"/>
              <w:jc w:val="center"/>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收费站</w:t>
            </w:r>
          </w:p>
          <w:p>
            <w:pPr>
              <w:spacing w:after="0" w:line="320" w:lineRule="exact"/>
              <w:ind w:left="0" w:firstLine="0"/>
              <w:jc w:val="center"/>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安全员</w:t>
            </w:r>
          </w:p>
          <w:p>
            <w:pPr>
              <w:spacing w:after="0" w:line="320" w:lineRule="exact"/>
              <w:ind w:left="0" w:firstLine="0"/>
              <w:jc w:val="center"/>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电工</w:t>
            </w:r>
          </w:p>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站长</w:t>
            </w:r>
          </w:p>
        </w:tc>
        <w:tc>
          <w:tcPr>
            <w:tcW w:w="1530" w:type="pct"/>
            <w:shd w:val="clear" w:color="auto" w:fill="auto"/>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闭门作业，门窗完好无漏水，设备及管路无泄漏。</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安全员</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127</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超过2m作业平台、楼梯应设置护栏，加强日常巡查维护，确保护栏齐全稳固。</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安全员</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128</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水泵控制箱/柜接地齐全有效，设置警示标志。</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安全员</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129</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水泵运转部位保护罩应齐全牢固，设置警示标志。</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安全员</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130</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电气线缆及带电设备无破损现象，线缆处无积水。</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安全员</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131</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水池（箱）有防护措施，上下爬梯稳固,水位及监测、补水设备正常。</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安全员</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132</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泵房内常规照明、应急照明齐全有效。</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安全员</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133</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按规定开展人员培训和应急演练，确保相关人员熟悉作业流程。</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安全员</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134</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按规定对水泵维修保养，定期对消防泵启动试验，消防泵运转正常。</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安全员</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根据操作规程</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135</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阀门、开关处于正确位置，压力处于正常范围。</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安全员</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136</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食堂</w:t>
            </w:r>
          </w:p>
        </w:tc>
        <w:tc>
          <w:tcPr>
            <w:tcW w:w="294"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火灾爆炸/中毒窒息/食物中毒/触电等</w:t>
            </w:r>
          </w:p>
        </w:tc>
        <w:tc>
          <w:tcPr>
            <w:tcW w:w="1063" w:type="pct"/>
            <w:vMerge w:val="restart"/>
            <w:shd w:val="clear" w:color="auto" w:fill="auto"/>
            <w:vAlign w:val="center"/>
          </w:tcPr>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1.采用质量合格且在有效期的燃油燃气设备、阀门、管道，并设置专用房间，防水、防暴晒、通风良好；室内安装泄漏报警装置；定期开展隐患排查，发现隐患及时治理；管道穿墙处应封堵严密。</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2.室内严禁堆放杂物，定期排查室内环境。</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3.加强消防安全管理，按规定配备灭火器、灭火毯等。</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4.室内及炉灶旁严禁堆放杂物，定期排查室内环境。</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5.按规定定期清洗油烟机及烟道。</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6.烹饪设备应有防割伤、防触电、防烫伤保护措施与标志。</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7.加强安全用电管理，严禁违规使用超负荷用电、使用大功率电气、私拉乱接等现象。后厨用电应有防潮、防水、防溅措施，定期维修更换损坏的电气设备与线路。</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8.出台食堂卫生管理规定，做好防鼠、防疫工作。</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9.严格执行食材采购制度，定点采购合格的食品原材料。</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10.确保消毒柜完好有效；餐具应按时清洁，定期消毒。</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11.确保冷藏柜完好有效，食品原材料按规定冷藏、储存。</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12.选择可靠的食堂管理和操作人员，无关人员不得进入后厨。</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13.定期开展厨师管理人员业务培训，食堂工作人员应取得相关证书；14.按规定开展食品留样工作。</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15.地面有水时应及时墩干，食堂人员穿防滑鞋。</w:t>
            </w:r>
          </w:p>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16.加强操作间通风，做好个人防护；夏天时配备防暑降温食品，条件许可时配备空调设施。</w:t>
            </w:r>
          </w:p>
        </w:tc>
        <w:tc>
          <w:tcPr>
            <w:tcW w:w="351" w:type="pct"/>
            <w:vMerge w:val="restart"/>
            <w:shd w:val="clear" w:color="auto" w:fill="auto"/>
            <w:vAlign w:val="center"/>
          </w:tcPr>
          <w:p>
            <w:pPr>
              <w:spacing w:after="0" w:line="320" w:lineRule="exact"/>
              <w:ind w:left="0" w:firstLine="0"/>
              <w:jc w:val="center"/>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行政人事部</w:t>
            </w:r>
          </w:p>
          <w:p>
            <w:pPr>
              <w:spacing w:after="0" w:line="320" w:lineRule="exact"/>
              <w:ind w:left="0" w:firstLine="0"/>
              <w:jc w:val="center"/>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电工</w:t>
            </w:r>
          </w:p>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食堂管理员</w:t>
            </w: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食用油、酒精单独存放，远离火源。</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食堂管理员</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137</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后厨配备灭火器和灭火毯。</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安全员</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138</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炉灶使用状态稳定、良好，周边无易燃易爆物品。</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食堂管理员</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139</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对后厨人员开展消防安全教育培训和应急演练。</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站长</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140</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燃油燃气罐体、管道及阀门使用状态良好，无破损、变形、腐蚀等现象，泄漏报警装置运行正常，无报警。</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食堂管理员</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141</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油烟机及烟道按规定清理干净。</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食堂管理员</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142</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食堂电气线路、灯具、插座防潮性能良好，电气线路、插座及设备连接可靠，无裸露、破损、挤压、超负荷用电、违章使用大功率电器等现象。</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食堂管理员</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143</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食堂配置防鼠器材，无虫鼠踪迹。</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食堂管理员</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144</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食堂环境卫生良好，定期消杀。</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食堂管理员</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145</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高温灼烫部位有防护措施或张贴安全警示标识。</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食堂管理员</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146</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定点采购治理合格的食品、原材料。</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食堂管理员</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147</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食材分类储存并及时清理过期变质食品及原材料。</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食堂管理员</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148</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冷藏设施、消毒柜、留样柜完好有效。</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食堂管理员</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149</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餐具应按时清洁，定期消毒。</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食堂管理员</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150</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食堂操作人员穿戴合格，严格按规定作业，按规定留样。</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食堂管理员</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151</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地面保持干净整洁。</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食堂管理员</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152</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设备转动部位防护装置完好有效。</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食堂管理员</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153</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刀具放置稳妥，刀具、案板应生熟分开，张贴标识。</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食堂管理员</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154</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操作间应通风良好，空调设施良好。</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食堂管理员</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155</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夏天时配备防暑降温用品。</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食堂管理员</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156</w:t>
            </w:r>
          </w:p>
        </w:tc>
        <w:tc>
          <w:tcPr>
            <w:tcW w:w="142"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维修作业</w:t>
            </w:r>
          </w:p>
        </w:tc>
        <w:tc>
          <w:tcPr>
            <w:tcW w:w="160"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高处维修作业</w:t>
            </w:r>
          </w:p>
        </w:tc>
        <w:tc>
          <w:tcPr>
            <w:tcW w:w="294"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高处坠落/物体打击</w:t>
            </w:r>
          </w:p>
        </w:tc>
        <w:tc>
          <w:tcPr>
            <w:tcW w:w="1063" w:type="pct"/>
            <w:vMerge w:val="restart"/>
            <w:shd w:val="clear" w:color="auto" w:fill="auto"/>
            <w:vAlign w:val="center"/>
          </w:tcPr>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1.楼梯及超过2m作业平台应设置护栏，作业爬梯应放置稳妥，设人监护，除抢险作业外，恶劣天气不得室外高处作业。</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2.高处作业人员应佩戴安全带、防滑鞋。</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3.作业时开展现场检查，及时纠正违章行为。</w:t>
            </w:r>
          </w:p>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4.高处作业平台上或临边位置的工具、材料放置应放置稳妥。</w:t>
            </w:r>
          </w:p>
        </w:tc>
        <w:tc>
          <w:tcPr>
            <w:tcW w:w="351"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行政人事部兼职安全员</w:t>
            </w: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作业爬梯应放置稳妥，设人监护。</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安全员</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有作业时</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157</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除抢险作业外，恶劣天气不得室外高处作业。</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安全员</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有作业时</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158</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高处作业人员应佩戴安全带、防滑鞋。</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安全员</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有作业时</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159</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作业时开展现场检查，及时纠正违章行为。</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安全员</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有作业时</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160</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高处作业平台上或临边位置的工具、材料放置应放置稳妥。</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安全员</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有作业时</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161</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有限空间作业</w:t>
            </w:r>
          </w:p>
        </w:tc>
        <w:tc>
          <w:tcPr>
            <w:tcW w:w="294"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中毒窒息/高处坠落/物体打击</w:t>
            </w:r>
          </w:p>
        </w:tc>
        <w:tc>
          <w:tcPr>
            <w:tcW w:w="1063" w:type="pct"/>
            <w:vMerge w:val="restart"/>
            <w:shd w:val="clear" w:color="auto" w:fill="auto"/>
            <w:vAlign w:val="center"/>
          </w:tcPr>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1.作业前应告知相关人员井下基本情况，作业前进行风险及应急处置告知，避免盲目施救。</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2.作业前先进行通风，设专人监护。</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3.井下作业人员宜佩戴呼吸器。</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4.井口周边设置围挡，设置下井专用爬梯。</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5.作业时设置围挡，工具、材料应与井口保持安全距离。</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6.作业人员应穿戴防滑鞋，临边人员应与井口保持安全距离。</w:t>
            </w:r>
          </w:p>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7.作业时开展现场检查，及时纠正违章行为。</w:t>
            </w:r>
          </w:p>
        </w:tc>
        <w:tc>
          <w:tcPr>
            <w:tcW w:w="351"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行政人事部经理、兼职安全员</w:t>
            </w: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作业前应进行作业审批，确保人员、设备及安全措施符合规定。</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站长</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有作业时</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162</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作业前应告知相关人员井下基本情况，作业前进行风险及应急处置告知，避免盲目施救。</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站长</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有作业时</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163</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作业前先进行通风及检测，设专人监护。</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站长</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有作业时</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164</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井下作业人员应佩戴呼吸器、安全带、安全帽。</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站长</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有作业时</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165</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井口周边设置围挡及标志，设置下井专用爬梯。</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站长</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有作业时</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166</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临边人员、工具、材料应与井口保持安全距离。</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站长</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有作业时</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167</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水电维修作业</w:t>
            </w:r>
          </w:p>
        </w:tc>
        <w:tc>
          <w:tcPr>
            <w:tcW w:w="294" w:type="pct"/>
            <w:vMerge w:val="restar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触电/机械伤害</w:t>
            </w:r>
          </w:p>
        </w:tc>
        <w:tc>
          <w:tcPr>
            <w:tcW w:w="1063" w:type="pct"/>
            <w:vMerge w:val="restart"/>
            <w:shd w:val="clear" w:color="auto" w:fill="auto"/>
            <w:vAlign w:val="center"/>
          </w:tcPr>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1.作业前检查设备、线路接地及连接情况，进行安全确认后方可作业。</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2.制定并严格落实机电设备检修安全操作规程。</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3.作业前先进行断电，带电作业应使用绝缘工具，设专人监护。</w:t>
            </w:r>
          </w:p>
          <w:p>
            <w:pPr>
              <w:spacing w:after="0" w:line="320" w:lineRule="exact"/>
              <w:ind w:left="0" w:firstLine="0"/>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4.作业前进行停机，设备运转时检修时应保持安全间距，避免穿松散服装。</w:t>
            </w:r>
          </w:p>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5.使用质量合格的小型作业工具，作业人员佩戴防护手套、护目镜等劳保用品。</w:t>
            </w:r>
          </w:p>
        </w:tc>
        <w:tc>
          <w:tcPr>
            <w:tcW w:w="351" w:type="pct"/>
            <w:vMerge w:val="restart"/>
            <w:shd w:val="clear" w:color="auto" w:fill="auto"/>
            <w:vAlign w:val="center"/>
          </w:tcPr>
          <w:p>
            <w:pPr>
              <w:spacing w:after="0" w:line="320" w:lineRule="exact"/>
              <w:ind w:left="0" w:firstLine="0"/>
              <w:jc w:val="center"/>
              <w:rPr>
                <w:rFonts w:hint="eastAsia" w:ascii="宋体" w:hAnsi="宋体" w:eastAsia="宋体" w:cs="宋体"/>
                <w:color w:val="auto"/>
                <w:kern w:val="0"/>
                <w:sz w:val="20"/>
                <w:szCs w:val="20"/>
                <w:lang w:eastAsia="zh-CN"/>
              </w:rPr>
            </w:pPr>
            <w:r>
              <w:rPr>
                <w:rFonts w:hint="eastAsia" w:ascii="宋体" w:hAnsi="宋体" w:eastAsia="宋体" w:cs="宋体"/>
                <w:color w:val="auto"/>
                <w:kern w:val="0"/>
                <w:sz w:val="20"/>
                <w:szCs w:val="20"/>
              </w:rPr>
              <w:t>行政人事部</w:t>
            </w:r>
          </w:p>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电工</w:t>
            </w: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作业前检查设备、线路接地及连接情况，进行安全确认后方可作业。</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安全员</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有作业时</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168</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作业前先进行断电，带电作业应使用绝缘工具，设专人监护。</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安全员</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有作业时</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169</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作业前进行停机，设备运转时检修时应保持安全间距，避免穿松散服装。</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安全员</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有作业时</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170</w:t>
            </w:r>
          </w:p>
        </w:tc>
        <w:tc>
          <w:tcPr>
            <w:tcW w:w="142"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60"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294"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063"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351" w:type="pct"/>
            <w:vMerge w:val="continue"/>
            <w:vAlign w:val="center"/>
          </w:tcPr>
          <w:p>
            <w:pPr>
              <w:spacing w:after="0" w:line="320" w:lineRule="exact"/>
              <w:ind w:left="0" w:firstLine="0"/>
              <w:rPr>
                <w:rFonts w:ascii="宋体" w:hAnsi="宋体" w:eastAsia="宋体" w:cs="宋体"/>
                <w:color w:val="auto"/>
                <w:kern w:val="0"/>
                <w:sz w:val="20"/>
                <w:szCs w:val="20"/>
              </w:rPr>
            </w:pPr>
          </w:p>
        </w:tc>
        <w:tc>
          <w:tcPr>
            <w:tcW w:w="1530" w:type="pct"/>
            <w:shd w:val="clear" w:color="000000" w:fill="FFFFFF"/>
            <w:vAlign w:val="center"/>
          </w:tcPr>
          <w:p>
            <w:pPr>
              <w:spacing w:after="0" w:line="320" w:lineRule="exact"/>
              <w:ind w:left="0" w:firstLine="0"/>
              <w:rPr>
                <w:rFonts w:ascii="宋体" w:hAnsi="宋体" w:eastAsia="宋体" w:cs="宋体"/>
                <w:color w:val="auto"/>
                <w:kern w:val="0"/>
                <w:sz w:val="20"/>
                <w:szCs w:val="20"/>
              </w:rPr>
            </w:pPr>
            <w:r>
              <w:rPr>
                <w:rFonts w:hint="eastAsia" w:ascii="宋体" w:hAnsi="宋体" w:eastAsia="宋体" w:cs="宋体"/>
                <w:color w:val="auto"/>
                <w:kern w:val="0"/>
                <w:sz w:val="20"/>
                <w:szCs w:val="20"/>
              </w:rPr>
              <w:t>使用质量合格的小型作业工具，作业人员佩戴防护手套、护目镜等劳保用品。</w:t>
            </w:r>
          </w:p>
        </w:tc>
        <w:tc>
          <w:tcPr>
            <w:tcW w:w="129"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5"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　</w:t>
            </w:r>
          </w:p>
        </w:tc>
        <w:tc>
          <w:tcPr>
            <w:tcW w:w="12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w:t>
            </w:r>
          </w:p>
        </w:tc>
        <w:tc>
          <w:tcPr>
            <w:tcW w:w="360"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收费站</w:t>
            </w:r>
          </w:p>
        </w:tc>
        <w:tc>
          <w:tcPr>
            <w:tcW w:w="267"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安全员</w:t>
            </w:r>
          </w:p>
        </w:tc>
        <w:tc>
          <w:tcPr>
            <w:tcW w:w="214" w:type="pct"/>
            <w:shd w:val="clear" w:color="auto" w:fill="auto"/>
            <w:vAlign w:val="center"/>
          </w:tcPr>
          <w:p>
            <w:pPr>
              <w:spacing w:after="0" w:line="320" w:lineRule="exact"/>
              <w:ind w:left="0" w:firstLine="0"/>
              <w:jc w:val="center"/>
              <w:rPr>
                <w:rFonts w:ascii="宋体" w:hAnsi="宋体" w:eastAsia="宋体" w:cs="宋体"/>
                <w:color w:val="auto"/>
                <w:kern w:val="0"/>
                <w:sz w:val="20"/>
                <w:szCs w:val="20"/>
              </w:rPr>
            </w:pPr>
            <w:r>
              <w:rPr>
                <w:rFonts w:hint="eastAsia" w:ascii="宋体" w:hAnsi="宋体" w:eastAsia="宋体" w:cs="宋体"/>
                <w:color w:val="auto"/>
                <w:kern w:val="0"/>
                <w:sz w:val="20"/>
                <w:szCs w:val="20"/>
              </w:rPr>
              <w:t>有作业时</w:t>
            </w:r>
          </w:p>
        </w:tc>
      </w:tr>
    </w:tbl>
    <w:p>
      <w:pPr>
        <w:widowControl w:val="0"/>
        <w:spacing w:after="0" w:line="360" w:lineRule="auto"/>
        <w:ind w:left="0" w:firstLine="0"/>
        <w:jc w:val="both"/>
        <w:rPr>
          <w:rFonts w:cs="Calibri" w:asciiTheme="minorEastAsia" w:hAnsiTheme="minorEastAsia" w:eastAsiaTheme="minorEastAsia"/>
          <w:b/>
          <w:color w:val="auto"/>
          <w:szCs w:val="24"/>
        </w:rPr>
      </w:pPr>
    </w:p>
    <w:p>
      <w:pPr>
        <w:widowControl w:val="0"/>
        <w:spacing w:after="0" w:line="360" w:lineRule="auto"/>
        <w:ind w:left="0" w:firstLine="482"/>
        <w:jc w:val="both"/>
        <w:outlineLvl w:val="2"/>
        <w:rPr>
          <w:rFonts w:cs="Calibri" w:asciiTheme="minorEastAsia" w:hAnsiTheme="minorEastAsia" w:eastAsiaTheme="minorEastAsia"/>
          <w:b/>
          <w:color w:val="auto"/>
          <w:szCs w:val="24"/>
        </w:rPr>
        <w:sectPr>
          <w:headerReference r:id="rId13" w:type="default"/>
          <w:pgSz w:w="16838" w:h="11906" w:orient="landscape"/>
          <w:pgMar w:top="1531" w:right="1985" w:bottom="1531" w:left="1985" w:header="1134" w:footer="1531" w:gutter="0"/>
          <w:cols w:space="720" w:num="1"/>
          <w:docGrid w:type="linesAndChars" w:linePitch="584" w:charSpace="-849"/>
        </w:sectPr>
      </w:pPr>
    </w:p>
    <w:p>
      <w:pPr>
        <w:widowControl w:val="0"/>
        <w:spacing w:beforeLines="50" w:afterLines="50" w:line="560" w:lineRule="exact"/>
        <w:ind w:left="0" w:hanging="11"/>
        <w:outlineLvl w:val="1"/>
        <w:rPr>
          <w:rFonts w:cs="Calibri" w:asciiTheme="minorEastAsia" w:hAnsiTheme="minorEastAsia" w:eastAsiaTheme="minorEastAsia"/>
          <w:b/>
          <w:color w:val="auto"/>
          <w:sz w:val="28"/>
          <w:szCs w:val="24"/>
        </w:rPr>
      </w:pPr>
      <w:bookmarkStart w:id="22" w:name="_Toc80301755"/>
      <w:r>
        <w:rPr>
          <w:rFonts w:hint="eastAsia" w:cs="Calibri" w:asciiTheme="minorEastAsia" w:hAnsiTheme="minorEastAsia" w:eastAsiaTheme="minorEastAsia"/>
          <w:b/>
          <w:color w:val="auto"/>
          <w:sz w:val="28"/>
          <w:szCs w:val="24"/>
        </w:rPr>
        <w:t>3.2日常隐患排查</w:t>
      </w:r>
      <w:bookmarkEnd w:id="22"/>
    </w:p>
    <w:p>
      <w:pPr>
        <w:widowControl w:val="0"/>
        <w:spacing w:after="0" w:line="560" w:lineRule="exact"/>
        <w:ind w:left="0" w:firstLine="472" w:firstLineChars="200"/>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按照中电建冀交高速公路投资发展有限公司隐患排查治理制度及收费站设备设施、人员配置，制定隐患排查记录。各收费站至少每周进行一次安全隐患排查，具体排查要求如下：</w:t>
      </w:r>
    </w:p>
    <w:p>
      <w:pPr>
        <w:widowControl w:val="0"/>
        <w:spacing w:after="0" w:line="560" w:lineRule="exact"/>
        <w:ind w:left="0" w:firstLine="412" w:firstLineChars="200"/>
        <w:jc w:val="center"/>
        <w:rPr>
          <w:rFonts w:cs="Calibri" w:asciiTheme="minorEastAsia" w:hAnsiTheme="minorEastAsia" w:eastAsiaTheme="minorEastAsia"/>
          <w:b/>
          <w:color w:val="auto"/>
          <w:sz w:val="21"/>
          <w:szCs w:val="24"/>
        </w:rPr>
      </w:pPr>
      <w:r>
        <w:rPr>
          <w:rFonts w:hint="eastAsia" w:cs="Calibri" w:asciiTheme="minorEastAsia" w:hAnsiTheme="minorEastAsia" w:eastAsiaTheme="minorEastAsia"/>
          <w:b/>
          <w:color w:val="auto"/>
          <w:sz w:val="21"/>
          <w:szCs w:val="24"/>
        </w:rPr>
        <w:t>表3-2 收费站隐患排查治理要求</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77"/>
        <w:gridCol w:w="2410"/>
        <w:gridCol w:w="5528"/>
        <w:gridCol w:w="3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7" w:type="dxa"/>
            <w:vAlign w:val="center"/>
          </w:tcPr>
          <w:p>
            <w:pPr>
              <w:widowControl w:val="0"/>
              <w:spacing w:after="0" w:line="560" w:lineRule="exact"/>
              <w:ind w:left="0" w:firstLine="0"/>
              <w:jc w:val="center"/>
              <w:rPr>
                <w:rFonts w:cs="Calibri" w:asciiTheme="minorEastAsia" w:hAnsiTheme="minorEastAsia" w:eastAsiaTheme="minorEastAsia"/>
                <w:color w:val="auto"/>
                <w:sz w:val="21"/>
                <w:szCs w:val="24"/>
              </w:rPr>
            </w:pPr>
            <w:r>
              <w:rPr>
                <w:rFonts w:cs="Calibri" w:asciiTheme="minorEastAsia" w:hAnsiTheme="minorEastAsia" w:eastAsiaTheme="minorEastAsia"/>
                <w:color w:val="auto"/>
                <w:sz w:val="21"/>
                <w:szCs w:val="24"/>
              </w:rPr>
              <w:t>场所部位</w:t>
            </w:r>
            <w:r>
              <w:rPr>
                <w:rFonts w:hint="eastAsia" w:cs="Calibri" w:asciiTheme="minorEastAsia" w:hAnsiTheme="minorEastAsia" w:eastAsiaTheme="minorEastAsia"/>
                <w:color w:val="auto"/>
                <w:sz w:val="21"/>
                <w:szCs w:val="24"/>
              </w:rPr>
              <w:t>/设备设施</w:t>
            </w:r>
          </w:p>
        </w:tc>
        <w:tc>
          <w:tcPr>
            <w:tcW w:w="2410" w:type="dxa"/>
            <w:vAlign w:val="center"/>
          </w:tcPr>
          <w:p>
            <w:pPr>
              <w:widowControl w:val="0"/>
              <w:spacing w:after="0" w:line="560" w:lineRule="exact"/>
              <w:ind w:left="0" w:firstLine="0"/>
              <w:jc w:val="center"/>
              <w:rPr>
                <w:rFonts w:cs="Calibri" w:asciiTheme="minorEastAsia" w:hAnsiTheme="minorEastAsia" w:eastAsiaTheme="minorEastAsia"/>
                <w:color w:val="auto"/>
                <w:sz w:val="21"/>
                <w:szCs w:val="24"/>
              </w:rPr>
            </w:pPr>
            <w:r>
              <w:rPr>
                <w:rFonts w:cs="Calibri" w:asciiTheme="minorEastAsia" w:hAnsiTheme="minorEastAsia" w:eastAsiaTheme="minorEastAsia"/>
                <w:color w:val="auto"/>
                <w:sz w:val="21"/>
                <w:szCs w:val="24"/>
              </w:rPr>
              <w:t>排查频次</w:t>
            </w:r>
          </w:p>
        </w:tc>
        <w:tc>
          <w:tcPr>
            <w:tcW w:w="5528" w:type="dxa"/>
            <w:vAlign w:val="center"/>
          </w:tcPr>
          <w:p>
            <w:pPr>
              <w:widowControl w:val="0"/>
              <w:spacing w:after="0" w:line="560" w:lineRule="exact"/>
              <w:ind w:left="0" w:firstLine="0"/>
              <w:jc w:val="center"/>
              <w:rPr>
                <w:rFonts w:cs="Calibri" w:asciiTheme="minorEastAsia" w:hAnsiTheme="minorEastAsia" w:eastAsiaTheme="minorEastAsia"/>
                <w:color w:val="auto"/>
                <w:sz w:val="21"/>
                <w:szCs w:val="24"/>
              </w:rPr>
            </w:pPr>
            <w:r>
              <w:rPr>
                <w:rFonts w:cs="Calibri" w:asciiTheme="minorEastAsia" w:hAnsiTheme="minorEastAsia" w:eastAsiaTheme="minorEastAsia"/>
                <w:color w:val="auto"/>
                <w:sz w:val="21"/>
                <w:szCs w:val="24"/>
              </w:rPr>
              <w:t>排查人</w:t>
            </w:r>
          </w:p>
        </w:tc>
        <w:tc>
          <w:tcPr>
            <w:tcW w:w="3599" w:type="dxa"/>
            <w:vAlign w:val="center"/>
          </w:tcPr>
          <w:p>
            <w:pPr>
              <w:widowControl w:val="0"/>
              <w:spacing w:after="0" w:line="560" w:lineRule="exact"/>
              <w:ind w:left="0" w:firstLine="0"/>
              <w:jc w:val="center"/>
              <w:rPr>
                <w:rFonts w:cs="Calibri" w:asciiTheme="minorEastAsia" w:hAnsiTheme="minorEastAsia" w:eastAsiaTheme="minorEastAsia"/>
                <w:color w:val="auto"/>
                <w:sz w:val="21"/>
                <w:szCs w:val="24"/>
              </w:rPr>
            </w:pPr>
            <w:r>
              <w:rPr>
                <w:rFonts w:cs="Calibri" w:asciiTheme="minorEastAsia" w:hAnsiTheme="minorEastAsia" w:eastAsiaTheme="minorEastAsia"/>
                <w:color w:val="auto"/>
                <w:sz w:val="21"/>
                <w:szCs w:val="24"/>
              </w:rPr>
              <w:t>排查要求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7" w:type="dxa"/>
            <w:vAlign w:val="center"/>
          </w:tcPr>
          <w:p>
            <w:pPr>
              <w:widowControl w:val="0"/>
              <w:spacing w:after="0" w:line="560" w:lineRule="exact"/>
              <w:ind w:left="0" w:firstLine="0"/>
              <w:jc w:val="center"/>
              <w:rPr>
                <w:rFonts w:cs="Calibri" w:asciiTheme="minorEastAsia" w:hAnsiTheme="minorEastAsia" w:eastAsiaTheme="minorEastAsia"/>
                <w:color w:val="auto"/>
                <w:sz w:val="21"/>
                <w:szCs w:val="24"/>
              </w:rPr>
            </w:pPr>
            <w:r>
              <w:rPr>
                <w:rFonts w:cs="Calibri" w:asciiTheme="minorEastAsia" w:hAnsiTheme="minorEastAsia" w:eastAsiaTheme="minorEastAsia"/>
                <w:color w:val="auto"/>
                <w:sz w:val="21"/>
                <w:szCs w:val="24"/>
              </w:rPr>
              <w:t>发电机房</w:t>
            </w:r>
          </w:p>
        </w:tc>
        <w:tc>
          <w:tcPr>
            <w:tcW w:w="2410" w:type="dxa"/>
            <w:vAlign w:val="center"/>
          </w:tcPr>
          <w:p>
            <w:pPr>
              <w:widowControl w:val="0"/>
              <w:spacing w:after="0" w:line="560" w:lineRule="exact"/>
              <w:ind w:left="0" w:firstLine="0"/>
              <w:jc w:val="center"/>
              <w:rPr>
                <w:rFonts w:cs="Calibri" w:asciiTheme="minorEastAsia" w:hAnsiTheme="minorEastAsia" w:eastAsiaTheme="minorEastAsia"/>
                <w:color w:val="auto"/>
                <w:sz w:val="21"/>
                <w:szCs w:val="24"/>
              </w:rPr>
            </w:pPr>
            <w:r>
              <w:rPr>
                <w:rFonts w:cs="Calibri" w:asciiTheme="minorEastAsia" w:hAnsiTheme="minorEastAsia" w:eastAsiaTheme="minorEastAsia"/>
                <w:color w:val="auto"/>
                <w:sz w:val="21"/>
                <w:szCs w:val="24"/>
              </w:rPr>
              <w:t>每日一次</w:t>
            </w:r>
          </w:p>
        </w:tc>
        <w:tc>
          <w:tcPr>
            <w:tcW w:w="5528" w:type="dxa"/>
            <w:vMerge w:val="restart"/>
            <w:vAlign w:val="center"/>
          </w:tcPr>
          <w:p>
            <w:pPr>
              <w:widowControl w:val="0"/>
              <w:spacing w:after="0" w:line="560" w:lineRule="exact"/>
              <w:ind w:left="0" w:firstLine="0"/>
              <w:jc w:val="center"/>
              <w:rPr>
                <w:rFonts w:cs="Calibri" w:asciiTheme="minorEastAsia" w:hAnsiTheme="minorEastAsia" w:eastAsiaTheme="minorEastAsia"/>
                <w:color w:val="auto"/>
                <w:sz w:val="21"/>
                <w:szCs w:val="24"/>
              </w:rPr>
            </w:pPr>
            <w:r>
              <w:rPr>
                <w:rFonts w:cs="Calibri" w:asciiTheme="minorEastAsia" w:hAnsiTheme="minorEastAsia" w:eastAsiaTheme="minorEastAsia"/>
                <w:color w:val="auto"/>
                <w:sz w:val="21"/>
                <w:szCs w:val="24"/>
              </w:rPr>
              <w:t>各收费站根据本站人员配置情况确定</w:t>
            </w:r>
            <w:r>
              <w:rPr>
                <w:rFonts w:hint="eastAsia" w:cs="Calibri" w:asciiTheme="minorEastAsia" w:hAnsiTheme="minorEastAsia" w:eastAsiaTheme="minorEastAsia"/>
                <w:color w:val="auto"/>
                <w:sz w:val="21"/>
                <w:szCs w:val="24"/>
              </w:rPr>
              <w:t>。</w:t>
            </w:r>
          </w:p>
        </w:tc>
        <w:tc>
          <w:tcPr>
            <w:tcW w:w="3599" w:type="dxa"/>
            <w:vMerge w:val="restart"/>
            <w:vAlign w:val="center"/>
          </w:tcPr>
          <w:p>
            <w:pPr>
              <w:widowControl w:val="0"/>
              <w:spacing w:after="0" w:line="560" w:lineRule="exact"/>
              <w:ind w:left="0" w:firstLine="0"/>
              <w:jc w:val="center"/>
              <w:rPr>
                <w:rFonts w:cs="Calibri" w:asciiTheme="minorEastAsia" w:hAnsiTheme="minorEastAsia" w:eastAsiaTheme="minorEastAsia"/>
                <w:color w:val="auto"/>
                <w:sz w:val="21"/>
                <w:szCs w:val="24"/>
              </w:rPr>
            </w:pPr>
            <w:r>
              <w:rPr>
                <w:rFonts w:cs="Calibri" w:asciiTheme="minorEastAsia" w:hAnsiTheme="minorEastAsia" w:eastAsiaTheme="minorEastAsia"/>
                <w:color w:val="auto"/>
                <w:sz w:val="21"/>
                <w:szCs w:val="24"/>
              </w:rPr>
              <w:t>隐患排查记录表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7" w:type="dxa"/>
            <w:vAlign w:val="center"/>
          </w:tcPr>
          <w:p>
            <w:pPr>
              <w:widowControl w:val="0"/>
              <w:spacing w:after="0" w:line="560" w:lineRule="exact"/>
              <w:ind w:left="0" w:firstLine="0"/>
              <w:jc w:val="center"/>
              <w:rPr>
                <w:rFonts w:cs="Calibri" w:asciiTheme="minorEastAsia" w:hAnsiTheme="minorEastAsia" w:eastAsiaTheme="minorEastAsia"/>
                <w:color w:val="auto"/>
                <w:sz w:val="21"/>
                <w:szCs w:val="24"/>
              </w:rPr>
            </w:pPr>
            <w:r>
              <w:rPr>
                <w:rFonts w:cs="Calibri" w:asciiTheme="minorEastAsia" w:hAnsiTheme="minorEastAsia" w:eastAsiaTheme="minorEastAsia"/>
                <w:color w:val="auto"/>
                <w:sz w:val="21"/>
                <w:szCs w:val="24"/>
              </w:rPr>
              <w:t>消防泵房</w:t>
            </w:r>
          </w:p>
        </w:tc>
        <w:tc>
          <w:tcPr>
            <w:tcW w:w="2410" w:type="dxa"/>
            <w:vAlign w:val="center"/>
          </w:tcPr>
          <w:p>
            <w:pPr>
              <w:widowControl w:val="0"/>
              <w:spacing w:after="0" w:line="560" w:lineRule="exact"/>
              <w:ind w:left="0" w:firstLine="0"/>
              <w:jc w:val="center"/>
              <w:rPr>
                <w:rFonts w:cs="Calibri" w:asciiTheme="minorEastAsia" w:hAnsiTheme="minorEastAsia" w:eastAsiaTheme="minorEastAsia"/>
                <w:color w:val="auto"/>
                <w:sz w:val="21"/>
                <w:szCs w:val="24"/>
              </w:rPr>
            </w:pPr>
            <w:r>
              <w:rPr>
                <w:rFonts w:cs="Calibri" w:asciiTheme="minorEastAsia" w:hAnsiTheme="minorEastAsia" w:eastAsiaTheme="minorEastAsia"/>
                <w:color w:val="auto"/>
                <w:sz w:val="21"/>
                <w:szCs w:val="24"/>
              </w:rPr>
              <w:t>每日一次</w:t>
            </w:r>
          </w:p>
        </w:tc>
        <w:tc>
          <w:tcPr>
            <w:tcW w:w="5528" w:type="dxa"/>
            <w:vMerge w:val="continue"/>
            <w:vAlign w:val="center"/>
          </w:tcPr>
          <w:p>
            <w:pPr>
              <w:widowControl w:val="0"/>
              <w:spacing w:after="0" w:line="560" w:lineRule="exact"/>
              <w:ind w:left="0" w:firstLine="0"/>
              <w:jc w:val="both"/>
              <w:rPr>
                <w:rFonts w:cs="Calibri" w:asciiTheme="minorEastAsia" w:hAnsiTheme="minorEastAsia" w:eastAsiaTheme="minorEastAsia"/>
                <w:color w:val="auto"/>
                <w:sz w:val="21"/>
                <w:szCs w:val="24"/>
              </w:rPr>
            </w:pPr>
          </w:p>
        </w:tc>
        <w:tc>
          <w:tcPr>
            <w:tcW w:w="3599" w:type="dxa"/>
            <w:vMerge w:val="continue"/>
            <w:vAlign w:val="center"/>
          </w:tcPr>
          <w:p>
            <w:pPr>
              <w:widowControl w:val="0"/>
              <w:spacing w:after="0" w:line="560" w:lineRule="exact"/>
              <w:ind w:left="0" w:firstLine="0"/>
              <w:jc w:val="both"/>
              <w:rPr>
                <w:rFonts w:cs="Calibri" w:asciiTheme="minorEastAsia" w:hAnsiTheme="minorEastAsia" w:eastAsiaTheme="minorEastAsia"/>
                <w:color w:val="auto"/>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7" w:type="dxa"/>
            <w:vAlign w:val="center"/>
          </w:tcPr>
          <w:p>
            <w:pPr>
              <w:widowControl w:val="0"/>
              <w:spacing w:after="0" w:line="560" w:lineRule="exact"/>
              <w:ind w:left="0" w:firstLine="0"/>
              <w:jc w:val="center"/>
              <w:rPr>
                <w:rFonts w:cs="Calibri" w:asciiTheme="minorEastAsia" w:hAnsiTheme="minorEastAsia" w:eastAsiaTheme="minorEastAsia"/>
                <w:color w:val="auto"/>
                <w:sz w:val="21"/>
                <w:szCs w:val="24"/>
              </w:rPr>
            </w:pPr>
            <w:r>
              <w:rPr>
                <w:rFonts w:cs="Calibri" w:asciiTheme="minorEastAsia" w:hAnsiTheme="minorEastAsia" w:eastAsiaTheme="minorEastAsia"/>
                <w:color w:val="auto"/>
                <w:sz w:val="21"/>
                <w:szCs w:val="24"/>
              </w:rPr>
              <w:t>配电室</w:t>
            </w:r>
          </w:p>
        </w:tc>
        <w:tc>
          <w:tcPr>
            <w:tcW w:w="2410" w:type="dxa"/>
            <w:vAlign w:val="center"/>
          </w:tcPr>
          <w:p>
            <w:pPr>
              <w:widowControl w:val="0"/>
              <w:spacing w:after="0" w:line="560" w:lineRule="exact"/>
              <w:ind w:left="0" w:firstLine="0"/>
              <w:jc w:val="center"/>
              <w:rPr>
                <w:rFonts w:cs="Calibri" w:asciiTheme="minorEastAsia" w:hAnsiTheme="minorEastAsia" w:eastAsiaTheme="minorEastAsia"/>
                <w:color w:val="auto"/>
                <w:sz w:val="21"/>
                <w:szCs w:val="24"/>
              </w:rPr>
            </w:pPr>
            <w:r>
              <w:rPr>
                <w:rFonts w:cs="Calibri" w:asciiTheme="minorEastAsia" w:hAnsiTheme="minorEastAsia" w:eastAsiaTheme="minorEastAsia"/>
                <w:color w:val="auto"/>
                <w:sz w:val="21"/>
                <w:szCs w:val="24"/>
              </w:rPr>
              <w:t>每日一次</w:t>
            </w:r>
          </w:p>
        </w:tc>
        <w:tc>
          <w:tcPr>
            <w:tcW w:w="5528" w:type="dxa"/>
            <w:vMerge w:val="continue"/>
            <w:vAlign w:val="center"/>
          </w:tcPr>
          <w:p>
            <w:pPr>
              <w:widowControl w:val="0"/>
              <w:spacing w:after="0" w:line="560" w:lineRule="exact"/>
              <w:ind w:left="0" w:firstLine="0"/>
              <w:jc w:val="both"/>
              <w:rPr>
                <w:rFonts w:cs="Calibri" w:asciiTheme="minorEastAsia" w:hAnsiTheme="minorEastAsia" w:eastAsiaTheme="minorEastAsia"/>
                <w:color w:val="auto"/>
                <w:sz w:val="21"/>
                <w:szCs w:val="24"/>
              </w:rPr>
            </w:pPr>
          </w:p>
        </w:tc>
        <w:tc>
          <w:tcPr>
            <w:tcW w:w="3599" w:type="dxa"/>
            <w:vMerge w:val="continue"/>
            <w:vAlign w:val="center"/>
          </w:tcPr>
          <w:p>
            <w:pPr>
              <w:widowControl w:val="0"/>
              <w:spacing w:after="0" w:line="560" w:lineRule="exact"/>
              <w:ind w:left="0" w:firstLine="0"/>
              <w:jc w:val="both"/>
              <w:rPr>
                <w:rFonts w:cs="Calibri" w:asciiTheme="minorEastAsia" w:hAnsiTheme="minorEastAsia" w:eastAsiaTheme="minorEastAsia"/>
                <w:color w:val="auto"/>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7" w:type="dxa"/>
            <w:vAlign w:val="center"/>
          </w:tcPr>
          <w:p>
            <w:pPr>
              <w:widowControl w:val="0"/>
              <w:spacing w:after="0" w:line="560" w:lineRule="exact"/>
              <w:ind w:left="0" w:firstLine="0"/>
              <w:jc w:val="center"/>
              <w:rPr>
                <w:rFonts w:cs="Calibri" w:asciiTheme="minorEastAsia" w:hAnsiTheme="minorEastAsia" w:eastAsiaTheme="minorEastAsia"/>
                <w:color w:val="auto"/>
                <w:sz w:val="21"/>
                <w:szCs w:val="24"/>
              </w:rPr>
            </w:pPr>
            <w:r>
              <w:rPr>
                <w:rFonts w:cs="Calibri" w:asciiTheme="minorEastAsia" w:hAnsiTheme="minorEastAsia" w:eastAsiaTheme="minorEastAsia"/>
                <w:color w:val="auto"/>
                <w:sz w:val="21"/>
                <w:szCs w:val="24"/>
              </w:rPr>
              <w:t>通信机房</w:t>
            </w:r>
          </w:p>
        </w:tc>
        <w:tc>
          <w:tcPr>
            <w:tcW w:w="2410" w:type="dxa"/>
            <w:vAlign w:val="center"/>
          </w:tcPr>
          <w:p>
            <w:pPr>
              <w:widowControl w:val="0"/>
              <w:spacing w:after="0" w:line="560" w:lineRule="exact"/>
              <w:ind w:left="0" w:firstLine="0"/>
              <w:jc w:val="center"/>
              <w:rPr>
                <w:rFonts w:cs="Calibri" w:asciiTheme="minorEastAsia" w:hAnsiTheme="minorEastAsia" w:eastAsiaTheme="minorEastAsia"/>
                <w:color w:val="auto"/>
                <w:sz w:val="21"/>
                <w:szCs w:val="24"/>
              </w:rPr>
            </w:pPr>
            <w:r>
              <w:rPr>
                <w:rFonts w:cs="Calibri" w:asciiTheme="minorEastAsia" w:hAnsiTheme="minorEastAsia" w:eastAsiaTheme="minorEastAsia"/>
                <w:color w:val="auto"/>
                <w:sz w:val="21"/>
                <w:szCs w:val="24"/>
              </w:rPr>
              <w:t>每日一次</w:t>
            </w:r>
          </w:p>
        </w:tc>
        <w:tc>
          <w:tcPr>
            <w:tcW w:w="5528" w:type="dxa"/>
            <w:vMerge w:val="continue"/>
            <w:vAlign w:val="center"/>
          </w:tcPr>
          <w:p>
            <w:pPr>
              <w:widowControl w:val="0"/>
              <w:spacing w:after="0" w:line="560" w:lineRule="exact"/>
              <w:ind w:left="0" w:firstLine="0"/>
              <w:jc w:val="both"/>
              <w:rPr>
                <w:rFonts w:cs="Calibri" w:asciiTheme="minorEastAsia" w:hAnsiTheme="minorEastAsia" w:eastAsiaTheme="minorEastAsia"/>
                <w:color w:val="auto"/>
                <w:sz w:val="21"/>
                <w:szCs w:val="24"/>
              </w:rPr>
            </w:pPr>
          </w:p>
        </w:tc>
        <w:tc>
          <w:tcPr>
            <w:tcW w:w="3599" w:type="dxa"/>
            <w:vMerge w:val="continue"/>
            <w:vAlign w:val="center"/>
          </w:tcPr>
          <w:p>
            <w:pPr>
              <w:widowControl w:val="0"/>
              <w:spacing w:after="0" w:line="560" w:lineRule="exact"/>
              <w:ind w:left="0" w:firstLine="0"/>
              <w:jc w:val="both"/>
              <w:rPr>
                <w:rFonts w:cs="Calibri" w:asciiTheme="minorEastAsia" w:hAnsiTheme="minorEastAsia" w:eastAsiaTheme="minorEastAsia"/>
                <w:color w:val="auto"/>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7" w:type="dxa"/>
            <w:vAlign w:val="center"/>
          </w:tcPr>
          <w:p>
            <w:pPr>
              <w:widowControl w:val="0"/>
              <w:spacing w:after="0" w:line="560" w:lineRule="exact"/>
              <w:ind w:left="0" w:firstLine="0"/>
              <w:jc w:val="center"/>
              <w:rPr>
                <w:rFonts w:cs="Calibri" w:asciiTheme="minorEastAsia" w:hAnsiTheme="minorEastAsia" w:eastAsiaTheme="minorEastAsia"/>
                <w:color w:val="auto"/>
                <w:sz w:val="21"/>
                <w:szCs w:val="24"/>
              </w:rPr>
            </w:pPr>
            <w:r>
              <w:rPr>
                <w:rFonts w:cs="Calibri" w:asciiTheme="minorEastAsia" w:hAnsiTheme="minorEastAsia" w:eastAsiaTheme="minorEastAsia"/>
                <w:color w:val="auto"/>
                <w:sz w:val="21"/>
                <w:szCs w:val="24"/>
              </w:rPr>
              <w:t>食堂</w:t>
            </w:r>
          </w:p>
        </w:tc>
        <w:tc>
          <w:tcPr>
            <w:tcW w:w="2410" w:type="dxa"/>
            <w:vAlign w:val="center"/>
          </w:tcPr>
          <w:p>
            <w:pPr>
              <w:widowControl w:val="0"/>
              <w:spacing w:after="0" w:line="560" w:lineRule="exact"/>
              <w:ind w:left="0" w:firstLine="0"/>
              <w:jc w:val="center"/>
              <w:rPr>
                <w:rFonts w:cs="Calibri" w:asciiTheme="minorEastAsia" w:hAnsiTheme="minorEastAsia" w:eastAsiaTheme="minorEastAsia"/>
                <w:color w:val="auto"/>
                <w:sz w:val="21"/>
                <w:szCs w:val="24"/>
              </w:rPr>
            </w:pPr>
            <w:r>
              <w:rPr>
                <w:rFonts w:cs="Calibri" w:asciiTheme="minorEastAsia" w:hAnsiTheme="minorEastAsia" w:eastAsiaTheme="minorEastAsia"/>
                <w:color w:val="auto"/>
                <w:sz w:val="21"/>
                <w:szCs w:val="24"/>
              </w:rPr>
              <w:t>每日一次</w:t>
            </w:r>
          </w:p>
        </w:tc>
        <w:tc>
          <w:tcPr>
            <w:tcW w:w="5528" w:type="dxa"/>
            <w:vMerge w:val="continue"/>
            <w:vAlign w:val="center"/>
          </w:tcPr>
          <w:p>
            <w:pPr>
              <w:widowControl w:val="0"/>
              <w:spacing w:after="0" w:line="560" w:lineRule="exact"/>
              <w:ind w:left="0" w:firstLine="0"/>
              <w:jc w:val="both"/>
              <w:rPr>
                <w:rFonts w:cs="Calibri" w:asciiTheme="minorEastAsia" w:hAnsiTheme="minorEastAsia" w:eastAsiaTheme="minorEastAsia"/>
                <w:color w:val="auto"/>
                <w:sz w:val="21"/>
                <w:szCs w:val="24"/>
              </w:rPr>
            </w:pPr>
          </w:p>
        </w:tc>
        <w:tc>
          <w:tcPr>
            <w:tcW w:w="3599" w:type="dxa"/>
            <w:vMerge w:val="continue"/>
            <w:vAlign w:val="center"/>
          </w:tcPr>
          <w:p>
            <w:pPr>
              <w:widowControl w:val="0"/>
              <w:spacing w:after="0" w:line="560" w:lineRule="exact"/>
              <w:ind w:left="0" w:firstLine="0"/>
              <w:jc w:val="both"/>
              <w:rPr>
                <w:rFonts w:cs="Calibri" w:asciiTheme="minorEastAsia" w:hAnsiTheme="minorEastAsia" w:eastAsiaTheme="minorEastAsia"/>
                <w:color w:val="auto"/>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7" w:type="dxa"/>
            <w:vAlign w:val="center"/>
          </w:tcPr>
          <w:p>
            <w:pPr>
              <w:widowControl w:val="0"/>
              <w:spacing w:after="0" w:line="560" w:lineRule="exact"/>
              <w:ind w:left="0" w:firstLine="0"/>
              <w:jc w:val="center"/>
              <w:rPr>
                <w:rFonts w:cs="Calibri" w:asciiTheme="minorEastAsia" w:hAnsiTheme="minorEastAsia" w:eastAsiaTheme="minorEastAsia"/>
                <w:color w:val="auto"/>
                <w:sz w:val="21"/>
                <w:szCs w:val="24"/>
              </w:rPr>
            </w:pPr>
            <w:r>
              <w:rPr>
                <w:rFonts w:cs="Calibri" w:asciiTheme="minorEastAsia" w:hAnsiTheme="minorEastAsia" w:eastAsiaTheme="minorEastAsia"/>
                <w:color w:val="auto"/>
                <w:sz w:val="21"/>
                <w:szCs w:val="24"/>
              </w:rPr>
              <w:t>收费广场</w:t>
            </w:r>
          </w:p>
        </w:tc>
        <w:tc>
          <w:tcPr>
            <w:tcW w:w="2410" w:type="dxa"/>
            <w:vAlign w:val="center"/>
          </w:tcPr>
          <w:p>
            <w:pPr>
              <w:widowControl w:val="0"/>
              <w:spacing w:after="0" w:line="560" w:lineRule="exact"/>
              <w:ind w:left="0" w:firstLine="0"/>
              <w:jc w:val="center"/>
              <w:rPr>
                <w:rFonts w:cs="Calibri" w:asciiTheme="minorEastAsia" w:hAnsiTheme="minorEastAsia" w:eastAsiaTheme="minorEastAsia"/>
                <w:color w:val="auto"/>
                <w:sz w:val="21"/>
                <w:szCs w:val="24"/>
              </w:rPr>
            </w:pPr>
            <w:r>
              <w:rPr>
                <w:rFonts w:cs="Calibri" w:asciiTheme="minorEastAsia" w:hAnsiTheme="minorEastAsia" w:eastAsiaTheme="minorEastAsia"/>
                <w:color w:val="auto"/>
                <w:sz w:val="21"/>
                <w:szCs w:val="24"/>
              </w:rPr>
              <w:t>每日一次</w:t>
            </w:r>
          </w:p>
        </w:tc>
        <w:tc>
          <w:tcPr>
            <w:tcW w:w="5528" w:type="dxa"/>
            <w:vMerge w:val="continue"/>
            <w:vAlign w:val="center"/>
          </w:tcPr>
          <w:p>
            <w:pPr>
              <w:widowControl w:val="0"/>
              <w:spacing w:after="0" w:line="560" w:lineRule="exact"/>
              <w:ind w:left="0" w:firstLine="0"/>
              <w:jc w:val="both"/>
              <w:rPr>
                <w:rFonts w:cs="Calibri" w:asciiTheme="minorEastAsia" w:hAnsiTheme="minorEastAsia" w:eastAsiaTheme="minorEastAsia"/>
                <w:color w:val="auto"/>
                <w:sz w:val="21"/>
                <w:szCs w:val="24"/>
              </w:rPr>
            </w:pPr>
          </w:p>
        </w:tc>
        <w:tc>
          <w:tcPr>
            <w:tcW w:w="3599" w:type="dxa"/>
            <w:vMerge w:val="continue"/>
            <w:vAlign w:val="center"/>
          </w:tcPr>
          <w:p>
            <w:pPr>
              <w:widowControl w:val="0"/>
              <w:spacing w:after="0" w:line="560" w:lineRule="exact"/>
              <w:ind w:left="0" w:firstLine="0"/>
              <w:jc w:val="both"/>
              <w:rPr>
                <w:rFonts w:cs="Calibri" w:asciiTheme="minorEastAsia" w:hAnsiTheme="minorEastAsia" w:eastAsiaTheme="minorEastAsia"/>
                <w:color w:val="auto"/>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7" w:type="dxa"/>
            <w:vAlign w:val="center"/>
          </w:tcPr>
          <w:p>
            <w:pPr>
              <w:widowControl w:val="0"/>
              <w:spacing w:after="0" w:line="560" w:lineRule="exact"/>
              <w:ind w:left="0" w:firstLine="0"/>
              <w:jc w:val="center"/>
              <w:rPr>
                <w:rFonts w:cs="Calibri" w:asciiTheme="minorEastAsia" w:hAnsiTheme="minorEastAsia" w:eastAsiaTheme="minorEastAsia"/>
                <w:color w:val="auto"/>
                <w:sz w:val="21"/>
                <w:szCs w:val="24"/>
              </w:rPr>
            </w:pPr>
            <w:r>
              <w:rPr>
                <w:rFonts w:cs="Calibri" w:asciiTheme="minorEastAsia" w:hAnsiTheme="minorEastAsia" w:eastAsiaTheme="minorEastAsia"/>
                <w:color w:val="auto"/>
                <w:sz w:val="21"/>
                <w:szCs w:val="24"/>
              </w:rPr>
              <w:t>收费站所有区域</w:t>
            </w:r>
          </w:p>
        </w:tc>
        <w:tc>
          <w:tcPr>
            <w:tcW w:w="2410" w:type="dxa"/>
            <w:vAlign w:val="center"/>
          </w:tcPr>
          <w:p>
            <w:pPr>
              <w:widowControl w:val="0"/>
              <w:spacing w:after="0" w:line="560" w:lineRule="exact"/>
              <w:ind w:left="0" w:firstLine="0"/>
              <w:jc w:val="center"/>
              <w:rPr>
                <w:rFonts w:cs="Calibri" w:asciiTheme="minorEastAsia" w:hAnsiTheme="minorEastAsia" w:eastAsiaTheme="minorEastAsia"/>
                <w:color w:val="auto"/>
                <w:sz w:val="21"/>
                <w:szCs w:val="24"/>
              </w:rPr>
            </w:pPr>
            <w:r>
              <w:rPr>
                <w:rFonts w:cs="Calibri" w:asciiTheme="minorEastAsia" w:hAnsiTheme="minorEastAsia" w:eastAsiaTheme="minorEastAsia"/>
                <w:color w:val="auto"/>
                <w:sz w:val="21"/>
                <w:szCs w:val="24"/>
              </w:rPr>
              <w:t>每周一次</w:t>
            </w:r>
          </w:p>
        </w:tc>
        <w:tc>
          <w:tcPr>
            <w:tcW w:w="5528" w:type="dxa"/>
            <w:vAlign w:val="center"/>
          </w:tcPr>
          <w:p>
            <w:pPr>
              <w:widowControl w:val="0"/>
              <w:spacing w:after="0" w:line="560" w:lineRule="exact"/>
              <w:ind w:left="0" w:firstLine="0"/>
              <w:jc w:val="center"/>
              <w:rPr>
                <w:rFonts w:cs="Calibri" w:asciiTheme="minorEastAsia" w:hAnsiTheme="minorEastAsia" w:eastAsiaTheme="minorEastAsia"/>
                <w:color w:val="auto"/>
                <w:sz w:val="21"/>
                <w:szCs w:val="24"/>
              </w:rPr>
            </w:pPr>
            <w:r>
              <w:rPr>
                <w:rFonts w:cs="Calibri" w:asciiTheme="minorEastAsia" w:hAnsiTheme="minorEastAsia" w:eastAsiaTheme="minorEastAsia"/>
                <w:color w:val="auto"/>
                <w:sz w:val="21"/>
                <w:szCs w:val="24"/>
              </w:rPr>
              <w:t>收费站站长</w:t>
            </w:r>
            <w:r>
              <w:rPr>
                <w:rFonts w:hint="eastAsia" w:cs="Calibri" w:asciiTheme="minorEastAsia" w:hAnsiTheme="minorEastAsia" w:eastAsiaTheme="minorEastAsia"/>
                <w:color w:val="auto"/>
                <w:sz w:val="21"/>
                <w:szCs w:val="24"/>
              </w:rPr>
              <w:t>、副站长组织，其中站长每两周至少组织一次。</w:t>
            </w:r>
          </w:p>
        </w:tc>
        <w:tc>
          <w:tcPr>
            <w:tcW w:w="3599" w:type="dxa"/>
            <w:vMerge w:val="continue"/>
            <w:vAlign w:val="center"/>
          </w:tcPr>
          <w:p>
            <w:pPr>
              <w:widowControl w:val="0"/>
              <w:spacing w:after="0" w:line="560" w:lineRule="exact"/>
              <w:ind w:left="0" w:firstLine="0"/>
              <w:jc w:val="both"/>
              <w:rPr>
                <w:rFonts w:cs="Calibri" w:asciiTheme="minorEastAsia" w:hAnsiTheme="minorEastAsia" w:eastAsiaTheme="minorEastAsia"/>
                <w:color w:val="auto"/>
                <w:sz w:val="21"/>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15" w:type="dxa"/>
            <w:gridSpan w:val="3"/>
            <w:vAlign w:val="center"/>
          </w:tcPr>
          <w:p>
            <w:pPr>
              <w:widowControl w:val="0"/>
              <w:spacing w:after="0" w:line="560" w:lineRule="exact"/>
              <w:ind w:left="0" w:firstLine="0"/>
              <w:jc w:val="left"/>
              <w:rPr>
                <w:rFonts w:cs="Calibri" w:asciiTheme="minorEastAsia" w:hAnsiTheme="minorEastAsia" w:eastAsiaTheme="minorEastAsia"/>
                <w:b/>
                <w:color w:val="auto"/>
                <w:sz w:val="21"/>
                <w:szCs w:val="24"/>
              </w:rPr>
            </w:pPr>
            <w:r>
              <w:rPr>
                <w:rFonts w:cs="Calibri" w:asciiTheme="minorEastAsia" w:hAnsiTheme="minorEastAsia" w:eastAsiaTheme="minorEastAsia"/>
                <w:b/>
                <w:color w:val="auto"/>
                <w:sz w:val="21"/>
                <w:szCs w:val="24"/>
              </w:rPr>
              <w:t>注</w:t>
            </w:r>
            <w:r>
              <w:rPr>
                <w:rFonts w:hint="eastAsia" w:cs="Calibri" w:asciiTheme="minorEastAsia" w:hAnsiTheme="minorEastAsia" w:eastAsiaTheme="minorEastAsia"/>
                <w:b/>
                <w:color w:val="auto"/>
                <w:sz w:val="21"/>
                <w:szCs w:val="24"/>
              </w:rPr>
              <w:t>：</w:t>
            </w:r>
            <w:r>
              <w:rPr>
                <w:rFonts w:cs="Calibri" w:asciiTheme="minorEastAsia" w:hAnsiTheme="minorEastAsia" w:eastAsiaTheme="minorEastAsia"/>
                <w:b/>
                <w:color w:val="auto"/>
                <w:sz w:val="21"/>
                <w:szCs w:val="24"/>
              </w:rPr>
              <w:t>收费站</w:t>
            </w:r>
            <w:r>
              <w:rPr>
                <w:rFonts w:hint="eastAsia" w:cs="Calibri" w:asciiTheme="minorEastAsia" w:hAnsiTheme="minorEastAsia" w:eastAsiaTheme="minorEastAsia"/>
                <w:b/>
                <w:color w:val="auto"/>
                <w:sz w:val="21"/>
                <w:szCs w:val="24"/>
              </w:rPr>
              <w:t>每月</w:t>
            </w:r>
            <w:r>
              <w:rPr>
                <w:rFonts w:cs="Calibri" w:asciiTheme="minorEastAsia" w:hAnsiTheme="minorEastAsia" w:eastAsiaTheme="minorEastAsia"/>
                <w:b/>
                <w:color w:val="auto"/>
                <w:sz w:val="21"/>
                <w:szCs w:val="24"/>
              </w:rPr>
              <w:t>上报隐患排查治理台账</w:t>
            </w:r>
          </w:p>
        </w:tc>
        <w:tc>
          <w:tcPr>
            <w:tcW w:w="3599" w:type="dxa"/>
            <w:vAlign w:val="center"/>
          </w:tcPr>
          <w:p>
            <w:pPr>
              <w:widowControl w:val="0"/>
              <w:spacing w:after="0" w:line="560" w:lineRule="exact"/>
              <w:ind w:left="0" w:firstLine="0"/>
              <w:jc w:val="center"/>
              <w:rPr>
                <w:rFonts w:cs="Calibri" w:asciiTheme="minorEastAsia" w:hAnsiTheme="minorEastAsia" w:eastAsiaTheme="minorEastAsia"/>
                <w:color w:val="auto"/>
                <w:sz w:val="21"/>
                <w:szCs w:val="24"/>
              </w:rPr>
            </w:pPr>
            <w:r>
              <w:rPr>
                <w:rFonts w:cs="Calibri" w:asciiTheme="minorEastAsia" w:hAnsiTheme="minorEastAsia" w:eastAsiaTheme="minorEastAsia"/>
                <w:color w:val="auto"/>
                <w:sz w:val="21"/>
                <w:szCs w:val="24"/>
              </w:rPr>
              <w:t>隐患排查治理台账</w:t>
            </w:r>
          </w:p>
        </w:tc>
      </w:tr>
    </w:tbl>
    <w:p>
      <w:pPr>
        <w:widowControl w:val="0"/>
        <w:spacing w:after="0" w:line="560" w:lineRule="exact"/>
        <w:ind w:left="0" w:firstLine="472" w:firstLineChars="200"/>
        <w:rPr>
          <w:rFonts w:cs="Calibri" w:asciiTheme="minorEastAsia" w:hAnsiTheme="minorEastAsia" w:eastAsiaTheme="minorEastAsia"/>
          <w:color w:val="auto"/>
          <w:szCs w:val="24"/>
        </w:rPr>
      </w:pPr>
    </w:p>
    <w:p>
      <w:pPr>
        <w:spacing w:after="0" w:line="240" w:lineRule="auto"/>
        <w:ind w:left="0" w:firstLine="0"/>
        <w:rPr>
          <w:rFonts w:cs="Calibri" w:asciiTheme="minorEastAsia" w:hAnsiTheme="minorEastAsia" w:eastAsiaTheme="minorEastAsia"/>
          <w:color w:val="auto"/>
          <w:szCs w:val="24"/>
        </w:rPr>
      </w:pPr>
      <w:r>
        <w:rPr>
          <w:rFonts w:cs="Calibri" w:asciiTheme="minorEastAsia" w:hAnsiTheme="minorEastAsia" w:eastAsiaTheme="minorEastAsia"/>
          <w:color w:val="auto"/>
          <w:szCs w:val="24"/>
        </w:rPr>
        <w:br w:type="page"/>
      </w:r>
    </w:p>
    <w:p>
      <w:pPr>
        <w:widowControl w:val="0"/>
        <w:spacing w:after="0" w:line="560" w:lineRule="exact"/>
        <w:ind w:left="0" w:firstLine="412" w:firstLineChars="200"/>
        <w:jc w:val="center"/>
        <w:rPr>
          <w:rFonts w:cs="Calibri" w:asciiTheme="minorEastAsia" w:hAnsiTheme="minorEastAsia" w:eastAsiaTheme="minorEastAsia"/>
          <w:b/>
          <w:color w:val="auto"/>
          <w:sz w:val="21"/>
          <w:szCs w:val="24"/>
        </w:rPr>
      </w:pPr>
      <w:r>
        <w:rPr>
          <w:rFonts w:hint="eastAsia" w:cs="Calibri" w:asciiTheme="minorEastAsia" w:hAnsiTheme="minorEastAsia" w:eastAsiaTheme="minorEastAsia"/>
          <w:b/>
          <w:color w:val="auto"/>
          <w:sz w:val="21"/>
          <w:szCs w:val="24"/>
        </w:rPr>
        <w:t>表3-</w:t>
      </w:r>
      <w:r>
        <w:rPr>
          <w:rFonts w:cs="Calibri" w:asciiTheme="minorEastAsia" w:hAnsiTheme="minorEastAsia" w:eastAsiaTheme="minorEastAsia"/>
          <w:b/>
          <w:color w:val="auto"/>
          <w:sz w:val="21"/>
          <w:szCs w:val="24"/>
        </w:rPr>
        <w:t>3</w:t>
      </w:r>
      <w:r>
        <w:rPr>
          <w:rFonts w:hint="eastAsia" w:cs="Calibri" w:asciiTheme="minorEastAsia" w:hAnsiTheme="minorEastAsia" w:eastAsiaTheme="minorEastAsia"/>
          <w:b/>
          <w:color w:val="auto"/>
          <w:sz w:val="21"/>
          <w:szCs w:val="24"/>
        </w:rPr>
        <w:t xml:space="preserve"> 收费广场隐患排查记录表</w:t>
      </w:r>
    </w:p>
    <w:tbl>
      <w:tblPr>
        <w:tblStyle w:val="30"/>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4693"/>
        <w:gridCol w:w="1558"/>
        <w:gridCol w:w="1558"/>
        <w:gridCol w:w="1561"/>
        <w:gridCol w:w="1558"/>
        <w:gridCol w:w="1558"/>
        <w:gridCol w:w="1420"/>
        <w:gridCol w:w="15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35" w:hRule="atLeast"/>
        </w:trPr>
        <w:tc>
          <w:tcPr>
            <w:tcW w:w="1521" w:type="pct"/>
            <w:vMerge w:val="restart"/>
            <w:shd w:val="clear" w:color="auto" w:fill="F1F1F1" w:themeFill="background1" w:themeFillShade="F2"/>
            <w:tcMar>
              <w:top w:w="15" w:type="dxa"/>
              <w:left w:w="15" w:type="dxa"/>
              <w:right w:w="15" w:type="dxa"/>
            </w:tcMar>
            <w:vAlign w:val="center"/>
          </w:tcPr>
          <w:p>
            <w:pPr>
              <w:spacing w:beforeLines="20" w:afterLines="20" w:line="320" w:lineRule="exact"/>
              <w:ind w:left="128" w:leftChars="50" w:right="118" w:rightChars="50"/>
              <w:jc w:val="center"/>
              <w:textAlignment w:val="center"/>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kern w:val="0"/>
                <w:sz w:val="21"/>
                <w:szCs w:val="21"/>
              </w:rPr>
              <w:t>排查内容</w:t>
            </w:r>
          </w:p>
        </w:tc>
        <w:tc>
          <w:tcPr>
            <w:tcW w:w="3479" w:type="pct"/>
            <w:gridSpan w:val="7"/>
            <w:shd w:val="clear" w:color="auto" w:fill="F1F1F1" w:themeFill="background1" w:themeFillShade="F2"/>
            <w:tcMar>
              <w:top w:w="15" w:type="dxa"/>
              <w:left w:w="15" w:type="dxa"/>
              <w:right w:w="15" w:type="dxa"/>
            </w:tcMar>
            <w:vAlign w:val="center"/>
          </w:tcPr>
          <w:p>
            <w:pPr>
              <w:spacing w:beforeLines="20" w:afterLines="20" w:line="320" w:lineRule="exact"/>
              <w:ind w:left="128" w:leftChars="50" w:right="118" w:rightChars="50"/>
              <w:jc w:val="center"/>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排查结果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1521" w:type="pct"/>
            <w:vMerge w:val="continue"/>
            <w:shd w:val="clear" w:color="auto" w:fill="F1F1F1" w:themeFill="background1" w:themeFillShade="F2"/>
            <w:tcMar>
              <w:top w:w="15" w:type="dxa"/>
              <w:left w:w="15" w:type="dxa"/>
              <w:right w:w="15" w:type="dxa"/>
            </w:tcMar>
            <w:vAlign w:val="center"/>
          </w:tcPr>
          <w:p>
            <w:pPr>
              <w:spacing w:beforeLines="20" w:afterLines="20" w:line="320" w:lineRule="exact"/>
              <w:ind w:left="128" w:leftChars="50" w:right="118" w:rightChars="50"/>
              <w:jc w:val="center"/>
              <w:textAlignment w:val="center"/>
              <w:rPr>
                <w:rFonts w:cs="宋体" w:asciiTheme="minorEastAsia" w:hAnsiTheme="minorEastAsia" w:eastAsiaTheme="minorEastAsia"/>
                <w:color w:val="auto"/>
                <w:kern w:val="0"/>
                <w:sz w:val="21"/>
                <w:szCs w:val="21"/>
              </w:rPr>
            </w:pPr>
          </w:p>
        </w:tc>
        <w:tc>
          <w:tcPr>
            <w:tcW w:w="505" w:type="pct"/>
            <w:shd w:val="clear" w:color="auto" w:fill="F1F1F1" w:themeFill="background1" w:themeFillShade="F2"/>
            <w:tcMar>
              <w:top w:w="15" w:type="dxa"/>
              <w:left w:w="15" w:type="dxa"/>
              <w:right w:w="15" w:type="dxa"/>
            </w:tcMar>
            <w:vAlign w:val="center"/>
          </w:tcPr>
          <w:p>
            <w:pPr>
              <w:spacing w:beforeLines="20" w:afterLines="20" w:line="320" w:lineRule="exact"/>
              <w:ind w:left="128" w:leftChars="50" w:right="118" w:rightChars="50"/>
              <w:jc w:val="center"/>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周一</w:t>
            </w:r>
          </w:p>
        </w:tc>
        <w:tc>
          <w:tcPr>
            <w:tcW w:w="505" w:type="pct"/>
            <w:shd w:val="clear" w:color="auto" w:fill="F1F1F1" w:themeFill="background1" w:themeFillShade="F2"/>
            <w:vAlign w:val="center"/>
          </w:tcPr>
          <w:p>
            <w:pPr>
              <w:spacing w:beforeLines="20" w:afterLines="20" w:line="320" w:lineRule="exact"/>
              <w:ind w:left="128" w:leftChars="50" w:right="118" w:rightChars="50"/>
              <w:jc w:val="center"/>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周二</w:t>
            </w:r>
          </w:p>
        </w:tc>
        <w:tc>
          <w:tcPr>
            <w:tcW w:w="506" w:type="pct"/>
            <w:shd w:val="clear" w:color="auto" w:fill="F1F1F1" w:themeFill="background1" w:themeFillShade="F2"/>
            <w:vAlign w:val="center"/>
          </w:tcPr>
          <w:p>
            <w:pPr>
              <w:spacing w:beforeLines="20" w:afterLines="20" w:line="320" w:lineRule="exact"/>
              <w:ind w:left="128" w:leftChars="50" w:right="118" w:rightChars="50"/>
              <w:jc w:val="center"/>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周三</w:t>
            </w:r>
          </w:p>
        </w:tc>
        <w:tc>
          <w:tcPr>
            <w:tcW w:w="505" w:type="pct"/>
            <w:shd w:val="clear" w:color="auto" w:fill="F1F1F1" w:themeFill="background1" w:themeFillShade="F2"/>
            <w:vAlign w:val="center"/>
          </w:tcPr>
          <w:p>
            <w:pPr>
              <w:spacing w:beforeLines="20" w:afterLines="20" w:line="320" w:lineRule="exact"/>
              <w:ind w:left="128" w:leftChars="50" w:right="118" w:rightChars="50"/>
              <w:jc w:val="center"/>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周四</w:t>
            </w:r>
          </w:p>
        </w:tc>
        <w:tc>
          <w:tcPr>
            <w:tcW w:w="505" w:type="pct"/>
            <w:shd w:val="clear" w:color="auto" w:fill="F1F1F1" w:themeFill="background1" w:themeFillShade="F2"/>
            <w:vAlign w:val="center"/>
          </w:tcPr>
          <w:p>
            <w:pPr>
              <w:spacing w:beforeLines="20" w:afterLines="20" w:line="320" w:lineRule="exact"/>
              <w:ind w:left="128" w:leftChars="50" w:right="118" w:rightChars="50"/>
              <w:jc w:val="center"/>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周五</w:t>
            </w:r>
          </w:p>
        </w:tc>
        <w:tc>
          <w:tcPr>
            <w:tcW w:w="460" w:type="pct"/>
            <w:shd w:val="clear" w:color="auto" w:fill="F1F1F1" w:themeFill="background1" w:themeFillShade="F2"/>
            <w:vAlign w:val="center"/>
          </w:tcPr>
          <w:p>
            <w:pPr>
              <w:spacing w:beforeLines="20" w:afterLines="20" w:line="320" w:lineRule="exact"/>
              <w:ind w:left="128" w:leftChars="50" w:right="118" w:rightChars="50"/>
              <w:jc w:val="center"/>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周六</w:t>
            </w:r>
          </w:p>
        </w:tc>
        <w:tc>
          <w:tcPr>
            <w:tcW w:w="493" w:type="pct"/>
            <w:shd w:val="clear" w:color="auto" w:fill="F1F1F1" w:themeFill="background1" w:themeFillShade="F2"/>
            <w:vAlign w:val="center"/>
          </w:tcPr>
          <w:p>
            <w:pPr>
              <w:spacing w:beforeLines="20" w:afterLines="20" w:line="320" w:lineRule="exact"/>
              <w:ind w:left="128" w:leftChars="50" w:right="118" w:rightChars="50"/>
              <w:jc w:val="center"/>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周日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1521" w:type="pct"/>
            <w:shd w:val="clear" w:color="auto" w:fill="auto"/>
            <w:tcMar>
              <w:top w:w="15" w:type="dxa"/>
              <w:left w:w="15" w:type="dxa"/>
              <w:right w:w="15" w:type="dxa"/>
            </w:tcMar>
            <w:vAlign w:val="center"/>
          </w:tcPr>
          <w:p>
            <w:pPr>
              <w:spacing w:beforeLines="20" w:afterLines="20" w:line="320" w:lineRule="exact"/>
              <w:ind w:left="128" w:leftChars="50" w:right="118" w:rightChars="50"/>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1</w:t>
            </w:r>
            <w:r>
              <w:rPr>
                <w:rFonts w:cs="宋体" w:asciiTheme="minorEastAsia" w:hAnsiTheme="minorEastAsia" w:eastAsiaTheme="minorEastAsia"/>
                <w:color w:val="auto"/>
                <w:kern w:val="0"/>
                <w:sz w:val="21"/>
                <w:szCs w:val="21"/>
              </w:rPr>
              <w:t>.</w:t>
            </w:r>
            <w:r>
              <w:rPr>
                <w:rFonts w:hint="eastAsia" w:cs="宋体" w:asciiTheme="minorEastAsia" w:hAnsiTheme="minorEastAsia" w:eastAsiaTheme="minorEastAsia"/>
                <w:color w:val="auto"/>
                <w:kern w:val="0"/>
                <w:sz w:val="21"/>
                <w:szCs w:val="21"/>
              </w:rPr>
              <w:t>照明灯具、车道指示灯、信号灯、栏杆机等设施功能正常。</w:t>
            </w:r>
          </w:p>
          <w:p>
            <w:pPr>
              <w:spacing w:beforeLines="20" w:afterLines="20" w:line="320" w:lineRule="exact"/>
              <w:ind w:left="128" w:leftChars="50" w:right="118" w:rightChars="50"/>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2</w:t>
            </w:r>
            <w:r>
              <w:rPr>
                <w:rFonts w:cs="宋体" w:asciiTheme="minorEastAsia" w:hAnsiTheme="minorEastAsia" w:eastAsiaTheme="minorEastAsia"/>
                <w:color w:val="auto"/>
                <w:kern w:val="0"/>
                <w:sz w:val="21"/>
                <w:szCs w:val="21"/>
              </w:rPr>
              <w:t>.</w:t>
            </w:r>
            <w:r>
              <w:rPr>
                <w:rFonts w:hint="eastAsia" w:cs="宋体" w:asciiTheme="minorEastAsia" w:hAnsiTheme="minorEastAsia" w:eastAsiaTheme="minorEastAsia"/>
                <w:color w:val="auto"/>
                <w:kern w:val="0"/>
                <w:sz w:val="21"/>
                <w:szCs w:val="21"/>
              </w:rPr>
              <w:t>消防器材配置无缺损、位置正确无遮挡、压力正常。</w:t>
            </w:r>
          </w:p>
          <w:p>
            <w:pPr>
              <w:spacing w:beforeLines="20" w:afterLines="20" w:line="320" w:lineRule="exact"/>
              <w:ind w:left="128" w:leftChars="50" w:right="118" w:rightChars="50"/>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3</w:t>
            </w:r>
            <w:r>
              <w:rPr>
                <w:rFonts w:cs="宋体" w:asciiTheme="minorEastAsia" w:hAnsiTheme="minorEastAsia" w:eastAsiaTheme="minorEastAsia"/>
                <w:color w:val="auto"/>
                <w:kern w:val="0"/>
                <w:sz w:val="21"/>
                <w:szCs w:val="21"/>
              </w:rPr>
              <w:t>.</w:t>
            </w:r>
            <w:r>
              <w:rPr>
                <w:rFonts w:hint="eastAsia" w:cs="宋体" w:asciiTheme="minorEastAsia" w:hAnsiTheme="minorEastAsia" w:eastAsiaTheme="minorEastAsia"/>
                <w:color w:val="auto"/>
                <w:kern w:val="0"/>
                <w:sz w:val="21"/>
                <w:szCs w:val="21"/>
              </w:rPr>
              <w:t>广场及岗亭内无私拉乱接、异味、异响，各类机电控制柜门锁关闭。</w:t>
            </w:r>
          </w:p>
          <w:p>
            <w:pPr>
              <w:spacing w:beforeLines="20" w:afterLines="20" w:line="320" w:lineRule="exact"/>
              <w:ind w:left="128" w:leftChars="50" w:right="118" w:rightChars="50"/>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4</w:t>
            </w:r>
            <w:r>
              <w:rPr>
                <w:rFonts w:cs="宋体" w:asciiTheme="minorEastAsia" w:hAnsiTheme="minorEastAsia" w:eastAsiaTheme="minorEastAsia"/>
                <w:color w:val="auto"/>
                <w:kern w:val="0"/>
                <w:sz w:val="21"/>
                <w:szCs w:val="21"/>
              </w:rPr>
              <w:t>.</w:t>
            </w:r>
            <w:r>
              <w:rPr>
                <w:rFonts w:hint="eastAsia" w:cs="宋体" w:asciiTheme="minorEastAsia" w:hAnsiTheme="minorEastAsia" w:eastAsiaTheme="minorEastAsia"/>
                <w:color w:val="auto"/>
                <w:kern w:val="0"/>
                <w:sz w:val="21"/>
                <w:szCs w:val="21"/>
              </w:rPr>
              <w:t>车道路面、标志、减速带、标线、防撞杆、岛头设施等齐全完好，车道无积水、结冰、坑槽等现象。</w:t>
            </w:r>
          </w:p>
          <w:p>
            <w:pPr>
              <w:spacing w:beforeLines="20" w:afterLines="20" w:line="320" w:lineRule="exact"/>
              <w:ind w:left="128" w:leftChars="50" w:right="118" w:rightChars="50"/>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5</w:t>
            </w:r>
            <w:r>
              <w:rPr>
                <w:rFonts w:cs="宋体" w:asciiTheme="minorEastAsia" w:hAnsiTheme="minorEastAsia" w:eastAsiaTheme="minorEastAsia"/>
                <w:color w:val="auto"/>
                <w:kern w:val="0"/>
                <w:sz w:val="21"/>
                <w:szCs w:val="21"/>
              </w:rPr>
              <w:t>.</w:t>
            </w:r>
            <w:r>
              <w:rPr>
                <w:rFonts w:hint="eastAsia" w:cs="宋体" w:asciiTheme="minorEastAsia" w:hAnsiTheme="minorEastAsia" w:eastAsiaTheme="minorEastAsia"/>
                <w:color w:val="auto"/>
                <w:kern w:val="0"/>
                <w:sz w:val="21"/>
                <w:szCs w:val="21"/>
              </w:rPr>
              <w:t>收费岗亭内物品摆放整齐合规。</w:t>
            </w:r>
          </w:p>
          <w:p>
            <w:pPr>
              <w:spacing w:beforeLines="20" w:afterLines="20" w:line="320" w:lineRule="exact"/>
              <w:ind w:left="128" w:leftChars="50" w:right="118" w:rightChars="50"/>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6</w:t>
            </w:r>
            <w:r>
              <w:rPr>
                <w:rFonts w:cs="宋体" w:asciiTheme="minorEastAsia" w:hAnsiTheme="minorEastAsia" w:eastAsiaTheme="minorEastAsia"/>
                <w:color w:val="auto"/>
                <w:kern w:val="0"/>
                <w:sz w:val="21"/>
                <w:szCs w:val="21"/>
              </w:rPr>
              <w:t>.</w:t>
            </w:r>
            <w:r>
              <w:rPr>
                <w:rFonts w:hint="eastAsia" w:cs="宋体" w:asciiTheme="minorEastAsia" w:hAnsiTheme="minorEastAsia" w:eastAsiaTheme="minorEastAsia"/>
                <w:color w:val="auto"/>
                <w:kern w:val="0"/>
                <w:sz w:val="21"/>
                <w:szCs w:val="21"/>
              </w:rPr>
              <w:t>收费人员穿戴反光服，穿越车道时一停二看三通过。</w:t>
            </w:r>
          </w:p>
          <w:p>
            <w:pPr>
              <w:spacing w:beforeLines="20" w:afterLines="20" w:line="320" w:lineRule="exact"/>
              <w:ind w:left="128" w:leftChars="50" w:right="118" w:rightChars="50"/>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7</w:t>
            </w:r>
            <w:r>
              <w:rPr>
                <w:rFonts w:cs="宋体" w:asciiTheme="minorEastAsia" w:hAnsiTheme="minorEastAsia" w:eastAsiaTheme="minorEastAsia"/>
                <w:color w:val="auto"/>
                <w:kern w:val="0"/>
                <w:sz w:val="21"/>
                <w:szCs w:val="21"/>
              </w:rPr>
              <w:t>.</w:t>
            </w:r>
            <w:r>
              <w:rPr>
                <w:rFonts w:hint="eastAsia" w:cs="宋体" w:asciiTheme="minorEastAsia" w:hAnsiTheme="minorEastAsia" w:eastAsiaTheme="minorEastAsia"/>
                <w:color w:val="auto"/>
                <w:kern w:val="0"/>
                <w:sz w:val="21"/>
                <w:szCs w:val="21"/>
              </w:rPr>
              <w:t>收费人员无睡岗、脱岗现象，疏导及保畅人员站位合理、着装规范。</w:t>
            </w:r>
          </w:p>
          <w:p>
            <w:pPr>
              <w:spacing w:beforeLines="20" w:afterLines="20" w:line="320" w:lineRule="exact"/>
              <w:ind w:left="128" w:leftChars="50" w:right="118" w:rightChars="50"/>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8</w:t>
            </w:r>
            <w:r>
              <w:rPr>
                <w:rFonts w:cs="宋体" w:asciiTheme="minorEastAsia" w:hAnsiTheme="minorEastAsia" w:eastAsiaTheme="minorEastAsia"/>
                <w:color w:val="auto"/>
                <w:kern w:val="0"/>
                <w:sz w:val="21"/>
                <w:szCs w:val="21"/>
              </w:rPr>
              <w:t>.</w:t>
            </w:r>
            <w:r>
              <w:rPr>
                <w:rFonts w:hint="eastAsia" w:cs="宋体" w:asciiTheme="minorEastAsia" w:hAnsiTheme="minorEastAsia" w:eastAsiaTheme="minorEastAsia"/>
                <w:color w:val="auto"/>
                <w:kern w:val="0"/>
                <w:sz w:val="21"/>
                <w:szCs w:val="21"/>
              </w:rPr>
              <w:t>车道内作业时按规定设置作业区、警示标识、关闭车道灯，无影响设备设施和交通安全行为。</w:t>
            </w:r>
          </w:p>
          <w:p>
            <w:pPr>
              <w:spacing w:beforeLines="20" w:afterLines="20" w:line="320" w:lineRule="exact"/>
              <w:ind w:left="128" w:leftChars="50" w:right="118" w:rightChars="50"/>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9</w:t>
            </w:r>
            <w:r>
              <w:rPr>
                <w:rFonts w:cs="宋体" w:asciiTheme="minorEastAsia" w:hAnsiTheme="minorEastAsia" w:eastAsiaTheme="minorEastAsia"/>
                <w:color w:val="auto"/>
                <w:kern w:val="0"/>
                <w:sz w:val="21"/>
                <w:szCs w:val="21"/>
              </w:rPr>
              <w:t>.</w:t>
            </w:r>
            <w:r>
              <w:rPr>
                <w:rFonts w:hint="eastAsia" w:cs="宋体" w:asciiTheme="minorEastAsia" w:hAnsiTheme="minorEastAsia" w:eastAsiaTheme="minorEastAsia"/>
                <w:color w:val="auto"/>
                <w:kern w:val="0"/>
                <w:sz w:val="21"/>
                <w:szCs w:val="21"/>
              </w:rPr>
              <w:t>其他</w:t>
            </w:r>
          </w:p>
        </w:tc>
        <w:tc>
          <w:tcPr>
            <w:tcW w:w="505" w:type="pct"/>
            <w:shd w:val="clear" w:color="auto" w:fill="auto"/>
            <w:tcMar>
              <w:top w:w="15" w:type="dxa"/>
              <w:left w:w="15" w:type="dxa"/>
              <w:right w:w="15" w:type="dxa"/>
            </w:tcMar>
            <w:vAlign w:val="center"/>
          </w:tcPr>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正常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异常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隐患</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排查人</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rPr>
              <w:t xml:space="preserve">  </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日期：</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p>
        </w:tc>
        <w:tc>
          <w:tcPr>
            <w:tcW w:w="505" w:type="pct"/>
            <w:vAlign w:val="center"/>
          </w:tcPr>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正常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异常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隐患</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排查人</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rPr>
              <w:t xml:space="preserve">  </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日期：</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p>
        </w:tc>
        <w:tc>
          <w:tcPr>
            <w:tcW w:w="506" w:type="pct"/>
            <w:vAlign w:val="center"/>
          </w:tcPr>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正常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异常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隐患</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排查人</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rPr>
              <w:t xml:space="preserve">  </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日期：</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p>
        </w:tc>
        <w:tc>
          <w:tcPr>
            <w:tcW w:w="505" w:type="pct"/>
            <w:vAlign w:val="center"/>
          </w:tcPr>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正常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异常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隐患</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排查人</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rPr>
              <w:t xml:space="preserve">  </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日期：</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p>
        </w:tc>
        <w:tc>
          <w:tcPr>
            <w:tcW w:w="505" w:type="pct"/>
            <w:vAlign w:val="center"/>
          </w:tcPr>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正常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异常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隐患</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排查人</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rPr>
              <w:t xml:space="preserve">  </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日期：</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p>
        </w:tc>
        <w:tc>
          <w:tcPr>
            <w:tcW w:w="460" w:type="pct"/>
            <w:vAlign w:val="center"/>
          </w:tcPr>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正常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异常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隐患</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排查人</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rPr>
              <w:t xml:space="preserve">  </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日期：</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p>
        </w:tc>
        <w:tc>
          <w:tcPr>
            <w:tcW w:w="493" w:type="pct"/>
            <w:vAlign w:val="center"/>
          </w:tcPr>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正常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异常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隐患</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排查人</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rPr>
              <w:t xml:space="preserve">  </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日期：</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p>
        </w:tc>
      </w:tr>
    </w:tbl>
    <w:p>
      <w:pPr>
        <w:widowControl w:val="0"/>
        <w:spacing w:after="0" w:line="560" w:lineRule="exact"/>
        <w:ind w:left="0" w:firstLine="412" w:firstLineChars="200"/>
        <w:jc w:val="center"/>
        <w:rPr>
          <w:rFonts w:cs="Calibri" w:asciiTheme="minorEastAsia" w:hAnsiTheme="minorEastAsia" w:eastAsiaTheme="minorEastAsia"/>
          <w:b/>
          <w:color w:val="auto"/>
          <w:sz w:val="21"/>
          <w:szCs w:val="24"/>
        </w:rPr>
      </w:pPr>
    </w:p>
    <w:p>
      <w:pPr>
        <w:widowControl w:val="0"/>
        <w:spacing w:after="0" w:line="560" w:lineRule="exact"/>
        <w:ind w:left="0" w:firstLine="412" w:firstLineChars="200"/>
        <w:jc w:val="center"/>
        <w:rPr>
          <w:rFonts w:cs="Calibri" w:asciiTheme="minorEastAsia" w:hAnsiTheme="minorEastAsia" w:eastAsiaTheme="minorEastAsia"/>
          <w:b/>
          <w:color w:val="auto"/>
          <w:sz w:val="21"/>
          <w:szCs w:val="24"/>
        </w:rPr>
      </w:pPr>
    </w:p>
    <w:p>
      <w:pPr>
        <w:spacing w:after="0" w:line="240" w:lineRule="auto"/>
        <w:ind w:left="0" w:firstLine="0"/>
        <w:rPr>
          <w:rFonts w:cs="Calibri" w:asciiTheme="minorEastAsia" w:hAnsiTheme="minorEastAsia" w:eastAsiaTheme="minorEastAsia"/>
          <w:b/>
          <w:color w:val="auto"/>
          <w:sz w:val="21"/>
          <w:szCs w:val="24"/>
        </w:rPr>
      </w:pPr>
      <w:r>
        <w:rPr>
          <w:rFonts w:cs="Calibri" w:asciiTheme="minorEastAsia" w:hAnsiTheme="minorEastAsia" w:eastAsiaTheme="minorEastAsia"/>
          <w:b/>
          <w:color w:val="auto"/>
          <w:sz w:val="21"/>
          <w:szCs w:val="24"/>
        </w:rPr>
        <w:br w:type="page"/>
      </w:r>
    </w:p>
    <w:p>
      <w:pPr>
        <w:widowControl w:val="0"/>
        <w:spacing w:after="0" w:line="560" w:lineRule="exact"/>
        <w:ind w:left="0" w:firstLine="412" w:firstLineChars="200"/>
        <w:jc w:val="center"/>
        <w:rPr>
          <w:rFonts w:cs="Calibri" w:asciiTheme="minorEastAsia" w:hAnsiTheme="minorEastAsia" w:eastAsiaTheme="minorEastAsia"/>
          <w:b/>
          <w:color w:val="auto"/>
          <w:sz w:val="21"/>
          <w:szCs w:val="24"/>
        </w:rPr>
      </w:pPr>
      <w:r>
        <w:rPr>
          <w:rFonts w:hint="eastAsia" w:cs="Calibri" w:asciiTheme="minorEastAsia" w:hAnsiTheme="minorEastAsia" w:eastAsiaTheme="minorEastAsia"/>
          <w:b/>
          <w:color w:val="auto"/>
          <w:sz w:val="21"/>
          <w:szCs w:val="24"/>
        </w:rPr>
        <w:t>表3-</w:t>
      </w:r>
      <w:r>
        <w:rPr>
          <w:rFonts w:cs="Calibri" w:asciiTheme="minorEastAsia" w:hAnsiTheme="minorEastAsia" w:eastAsiaTheme="minorEastAsia"/>
          <w:b/>
          <w:color w:val="auto"/>
          <w:sz w:val="21"/>
          <w:szCs w:val="24"/>
        </w:rPr>
        <w:t>4</w:t>
      </w:r>
      <w:r>
        <w:rPr>
          <w:rFonts w:hint="eastAsia" w:cs="Calibri" w:asciiTheme="minorEastAsia" w:hAnsiTheme="minorEastAsia" w:eastAsiaTheme="minorEastAsia"/>
          <w:b/>
          <w:color w:val="auto"/>
          <w:sz w:val="21"/>
          <w:szCs w:val="24"/>
        </w:rPr>
        <w:t xml:space="preserve"> 发电机房隐患排查记录表</w:t>
      </w:r>
    </w:p>
    <w:tbl>
      <w:tblPr>
        <w:tblStyle w:val="30"/>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4125"/>
        <w:gridCol w:w="1842"/>
        <w:gridCol w:w="1842"/>
        <w:gridCol w:w="1561"/>
        <w:gridCol w:w="1558"/>
        <w:gridCol w:w="1558"/>
        <w:gridCol w:w="1420"/>
        <w:gridCol w:w="15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1337" w:type="pct"/>
            <w:vMerge w:val="restart"/>
            <w:shd w:val="clear" w:color="auto" w:fill="F1F1F1" w:themeFill="background1" w:themeFillShade="F2"/>
            <w:tcMar>
              <w:top w:w="15" w:type="dxa"/>
              <w:left w:w="15" w:type="dxa"/>
              <w:right w:w="15" w:type="dxa"/>
            </w:tcMar>
            <w:vAlign w:val="center"/>
          </w:tcPr>
          <w:p>
            <w:pPr>
              <w:spacing w:beforeLines="20" w:afterLines="20" w:line="320" w:lineRule="exact"/>
              <w:ind w:left="128" w:leftChars="50" w:right="118" w:rightChars="50"/>
              <w:jc w:val="center"/>
              <w:textAlignment w:val="center"/>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kern w:val="0"/>
                <w:sz w:val="21"/>
                <w:szCs w:val="21"/>
              </w:rPr>
              <w:t>排查内容</w:t>
            </w:r>
          </w:p>
        </w:tc>
        <w:tc>
          <w:tcPr>
            <w:tcW w:w="3663" w:type="pct"/>
            <w:gridSpan w:val="7"/>
            <w:shd w:val="clear" w:color="auto" w:fill="F1F1F1" w:themeFill="background1" w:themeFillShade="F2"/>
            <w:tcMar>
              <w:top w:w="15" w:type="dxa"/>
              <w:left w:w="15" w:type="dxa"/>
              <w:right w:w="15" w:type="dxa"/>
            </w:tcMar>
            <w:vAlign w:val="center"/>
          </w:tcPr>
          <w:p>
            <w:pPr>
              <w:spacing w:beforeLines="20" w:afterLines="20" w:line="320" w:lineRule="exact"/>
              <w:ind w:left="128" w:leftChars="50" w:right="118" w:rightChars="50"/>
              <w:jc w:val="center"/>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排查结果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1337" w:type="pct"/>
            <w:vMerge w:val="continue"/>
            <w:shd w:val="clear" w:color="auto" w:fill="F1F1F1" w:themeFill="background1" w:themeFillShade="F2"/>
            <w:tcMar>
              <w:top w:w="15" w:type="dxa"/>
              <w:left w:w="15" w:type="dxa"/>
              <w:right w:w="15" w:type="dxa"/>
            </w:tcMar>
            <w:vAlign w:val="center"/>
          </w:tcPr>
          <w:p>
            <w:pPr>
              <w:spacing w:beforeLines="20" w:afterLines="20" w:line="320" w:lineRule="exact"/>
              <w:ind w:left="128" w:leftChars="50" w:right="118" w:rightChars="50"/>
              <w:jc w:val="center"/>
              <w:textAlignment w:val="center"/>
              <w:rPr>
                <w:rFonts w:cs="宋体" w:asciiTheme="minorEastAsia" w:hAnsiTheme="minorEastAsia" w:eastAsiaTheme="minorEastAsia"/>
                <w:color w:val="auto"/>
                <w:kern w:val="0"/>
                <w:sz w:val="21"/>
                <w:szCs w:val="21"/>
              </w:rPr>
            </w:pPr>
          </w:p>
        </w:tc>
        <w:tc>
          <w:tcPr>
            <w:tcW w:w="597" w:type="pct"/>
            <w:shd w:val="clear" w:color="auto" w:fill="F1F1F1" w:themeFill="background1" w:themeFillShade="F2"/>
            <w:tcMar>
              <w:top w:w="15" w:type="dxa"/>
              <w:left w:w="15" w:type="dxa"/>
              <w:right w:w="15" w:type="dxa"/>
            </w:tcMar>
            <w:vAlign w:val="center"/>
          </w:tcPr>
          <w:p>
            <w:pPr>
              <w:spacing w:beforeLines="20" w:afterLines="20" w:line="320" w:lineRule="exact"/>
              <w:ind w:left="128" w:leftChars="50" w:right="118" w:rightChars="50"/>
              <w:jc w:val="center"/>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周一</w:t>
            </w:r>
          </w:p>
        </w:tc>
        <w:tc>
          <w:tcPr>
            <w:tcW w:w="597" w:type="pct"/>
            <w:shd w:val="clear" w:color="auto" w:fill="F1F1F1" w:themeFill="background1" w:themeFillShade="F2"/>
            <w:vAlign w:val="center"/>
          </w:tcPr>
          <w:p>
            <w:pPr>
              <w:spacing w:beforeLines="20" w:afterLines="20" w:line="320" w:lineRule="exact"/>
              <w:ind w:left="128" w:leftChars="50" w:right="118" w:rightChars="50"/>
              <w:jc w:val="center"/>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周二</w:t>
            </w:r>
          </w:p>
        </w:tc>
        <w:tc>
          <w:tcPr>
            <w:tcW w:w="506" w:type="pct"/>
            <w:shd w:val="clear" w:color="auto" w:fill="F1F1F1" w:themeFill="background1" w:themeFillShade="F2"/>
            <w:vAlign w:val="center"/>
          </w:tcPr>
          <w:p>
            <w:pPr>
              <w:spacing w:beforeLines="20" w:afterLines="20" w:line="320" w:lineRule="exact"/>
              <w:ind w:left="128" w:leftChars="50" w:right="118" w:rightChars="50"/>
              <w:jc w:val="center"/>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周三</w:t>
            </w:r>
          </w:p>
        </w:tc>
        <w:tc>
          <w:tcPr>
            <w:tcW w:w="505" w:type="pct"/>
            <w:shd w:val="clear" w:color="auto" w:fill="F1F1F1" w:themeFill="background1" w:themeFillShade="F2"/>
            <w:vAlign w:val="center"/>
          </w:tcPr>
          <w:p>
            <w:pPr>
              <w:spacing w:beforeLines="20" w:afterLines="20" w:line="320" w:lineRule="exact"/>
              <w:ind w:left="128" w:leftChars="50" w:right="118" w:rightChars="50"/>
              <w:jc w:val="center"/>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周四</w:t>
            </w:r>
          </w:p>
        </w:tc>
        <w:tc>
          <w:tcPr>
            <w:tcW w:w="505" w:type="pct"/>
            <w:shd w:val="clear" w:color="auto" w:fill="F1F1F1" w:themeFill="background1" w:themeFillShade="F2"/>
            <w:vAlign w:val="center"/>
          </w:tcPr>
          <w:p>
            <w:pPr>
              <w:spacing w:beforeLines="20" w:afterLines="20" w:line="320" w:lineRule="exact"/>
              <w:ind w:left="128" w:leftChars="50" w:right="118" w:rightChars="50"/>
              <w:jc w:val="center"/>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周五</w:t>
            </w:r>
          </w:p>
        </w:tc>
        <w:tc>
          <w:tcPr>
            <w:tcW w:w="460" w:type="pct"/>
            <w:shd w:val="clear" w:color="auto" w:fill="F1F1F1" w:themeFill="background1" w:themeFillShade="F2"/>
            <w:vAlign w:val="center"/>
          </w:tcPr>
          <w:p>
            <w:pPr>
              <w:spacing w:beforeLines="20" w:afterLines="20" w:line="320" w:lineRule="exact"/>
              <w:ind w:left="128" w:leftChars="50" w:right="118" w:rightChars="50"/>
              <w:jc w:val="center"/>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周六</w:t>
            </w:r>
          </w:p>
        </w:tc>
        <w:tc>
          <w:tcPr>
            <w:tcW w:w="493" w:type="pct"/>
            <w:shd w:val="clear" w:color="auto" w:fill="F1F1F1" w:themeFill="background1" w:themeFillShade="F2"/>
            <w:vAlign w:val="center"/>
          </w:tcPr>
          <w:p>
            <w:pPr>
              <w:spacing w:beforeLines="20" w:afterLines="20" w:line="320" w:lineRule="exact"/>
              <w:ind w:left="128" w:leftChars="50" w:right="118" w:rightChars="50"/>
              <w:jc w:val="center"/>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周日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1337" w:type="pct"/>
            <w:shd w:val="clear" w:color="auto" w:fill="auto"/>
            <w:tcMar>
              <w:top w:w="15" w:type="dxa"/>
              <w:left w:w="15" w:type="dxa"/>
              <w:right w:w="15" w:type="dxa"/>
            </w:tcMar>
            <w:vAlign w:val="center"/>
          </w:tcPr>
          <w:p>
            <w:pPr>
              <w:pStyle w:val="301"/>
              <w:numPr>
                <w:ilvl w:val="0"/>
                <w:numId w:val="1"/>
              </w:numPr>
              <w:spacing w:beforeLines="20" w:afterLines="20" w:line="320" w:lineRule="exact"/>
              <w:ind w:right="118" w:rightChars="50" w:firstLineChars="0"/>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门窗及孔洞关闭严密，室内无杂物、油污、虫鼠踪迹、私拉乱接等。</w:t>
            </w:r>
          </w:p>
          <w:p>
            <w:pPr>
              <w:pStyle w:val="301"/>
              <w:numPr>
                <w:ilvl w:val="0"/>
                <w:numId w:val="1"/>
              </w:numPr>
              <w:spacing w:beforeLines="20" w:afterLines="20" w:line="320" w:lineRule="exact"/>
              <w:ind w:right="118" w:rightChars="50" w:firstLineChars="0"/>
              <w:textAlignment w:val="center"/>
              <w:rPr>
                <w:rFonts w:cs="宋体" w:asciiTheme="minorEastAsia" w:hAnsiTheme="minorEastAsia" w:eastAsiaTheme="minorEastAsia"/>
                <w:color w:val="auto"/>
                <w:kern w:val="0"/>
                <w:sz w:val="21"/>
                <w:szCs w:val="21"/>
              </w:rPr>
            </w:pPr>
            <w:r>
              <w:rPr>
                <w:rFonts w:cs="宋体" w:asciiTheme="minorEastAsia" w:hAnsiTheme="minorEastAsia" w:eastAsiaTheme="minorEastAsia"/>
                <w:color w:val="auto"/>
                <w:kern w:val="0"/>
                <w:sz w:val="21"/>
                <w:szCs w:val="21"/>
              </w:rPr>
              <w:t>室内</w:t>
            </w:r>
            <w:r>
              <w:rPr>
                <w:rFonts w:hint="eastAsia" w:cs="宋体" w:asciiTheme="minorEastAsia" w:hAnsiTheme="minorEastAsia" w:eastAsiaTheme="minorEastAsia"/>
                <w:color w:val="auto"/>
                <w:kern w:val="0"/>
                <w:sz w:val="21"/>
                <w:szCs w:val="21"/>
              </w:rPr>
              <w:t>环境良好，温湿度正常。</w:t>
            </w:r>
          </w:p>
          <w:p>
            <w:pPr>
              <w:pStyle w:val="301"/>
              <w:numPr>
                <w:ilvl w:val="0"/>
                <w:numId w:val="1"/>
              </w:numPr>
              <w:spacing w:beforeLines="20" w:afterLines="20" w:line="320" w:lineRule="exact"/>
              <w:ind w:right="118" w:rightChars="50" w:firstLineChars="0"/>
              <w:textAlignment w:val="center"/>
              <w:rPr>
                <w:rFonts w:cs="宋体" w:asciiTheme="minorEastAsia" w:hAnsiTheme="minorEastAsia" w:eastAsiaTheme="minorEastAsia"/>
                <w:color w:val="auto"/>
                <w:kern w:val="0"/>
                <w:sz w:val="21"/>
                <w:szCs w:val="21"/>
              </w:rPr>
            </w:pPr>
            <w:r>
              <w:rPr>
                <w:rFonts w:ascii="宋体" w:hAnsi="宋体" w:eastAsia="宋体" w:cs="宋体"/>
                <w:color w:val="auto"/>
                <w:kern w:val="0"/>
                <w:sz w:val="21"/>
                <w:szCs w:val="21"/>
              </w:rPr>
              <w:t>启动电池电压正常</w:t>
            </w:r>
            <w:r>
              <w:rPr>
                <w:rFonts w:hint="eastAsia" w:ascii="宋体" w:hAnsi="宋体" w:eastAsia="宋体" w:cs="宋体"/>
                <w:color w:val="auto"/>
                <w:kern w:val="0"/>
                <w:sz w:val="21"/>
                <w:szCs w:val="21"/>
              </w:rPr>
              <w:t>、档位正常、</w:t>
            </w:r>
            <w:r>
              <w:rPr>
                <w:rFonts w:ascii="宋体" w:hAnsi="宋体" w:eastAsia="宋体" w:cs="宋体"/>
                <w:color w:val="auto"/>
                <w:kern w:val="0"/>
                <w:sz w:val="21"/>
                <w:szCs w:val="21"/>
              </w:rPr>
              <w:t>无故障告警</w:t>
            </w:r>
            <w:r>
              <w:rPr>
                <w:rFonts w:hint="eastAsia" w:ascii="宋体" w:hAnsi="宋体" w:eastAsia="宋体" w:cs="宋体"/>
                <w:color w:val="auto"/>
                <w:kern w:val="0"/>
                <w:sz w:val="21"/>
                <w:szCs w:val="21"/>
              </w:rPr>
              <w:t>。</w:t>
            </w:r>
          </w:p>
          <w:p>
            <w:pPr>
              <w:pStyle w:val="301"/>
              <w:numPr>
                <w:ilvl w:val="0"/>
                <w:numId w:val="1"/>
              </w:numPr>
              <w:spacing w:beforeLines="20" w:afterLines="20" w:line="320" w:lineRule="exact"/>
              <w:ind w:right="118" w:rightChars="50" w:firstLineChars="0"/>
              <w:textAlignment w:val="center"/>
              <w:rPr>
                <w:rFonts w:cs="宋体" w:asciiTheme="minorEastAsia" w:hAnsiTheme="minorEastAsia" w:eastAsiaTheme="minorEastAsia"/>
                <w:color w:val="auto"/>
                <w:kern w:val="0"/>
                <w:sz w:val="21"/>
                <w:szCs w:val="21"/>
              </w:rPr>
            </w:pPr>
            <w:r>
              <w:rPr>
                <w:rFonts w:cs="宋体" w:asciiTheme="minorEastAsia" w:hAnsiTheme="minorEastAsia" w:eastAsiaTheme="minorEastAsia"/>
                <w:color w:val="auto"/>
                <w:kern w:val="0"/>
                <w:sz w:val="21"/>
                <w:szCs w:val="21"/>
              </w:rPr>
              <w:t>油箱油量</w:t>
            </w:r>
            <w:r>
              <w:rPr>
                <w:rFonts w:ascii="宋体" w:hAnsi="宋体" w:eastAsia="宋体" w:cs="宋体"/>
                <w:color w:val="auto"/>
                <w:kern w:val="0"/>
                <w:sz w:val="21"/>
                <w:szCs w:val="21"/>
              </w:rPr>
              <w:t>储备足够</w:t>
            </w:r>
            <w:r>
              <w:rPr>
                <w:rFonts w:hint="eastAsia" w:ascii="宋体" w:hAnsi="宋体" w:eastAsia="宋体" w:cs="宋体"/>
                <w:color w:val="auto"/>
                <w:kern w:val="0"/>
                <w:sz w:val="21"/>
                <w:szCs w:val="21"/>
              </w:rPr>
              <w:t>，管道、油箱</w:t>
            </w:r>
            <w:r>
              <w:rPr>
                <w:rFonts w:ascii="宋体" w:hAnsi="宋体" w:eastAsia="宋体" w:cs="宋体"/>
                <w:color w:val="auto"/>
                <w:kern w:val="0"/>
                <w:sz w:val="21"/>
                <w:szCs w:val="21"/>
              </w:rPr>
              <w:t>无变形</w:t>
            </w:r>
            <w:r>
              <w:rPr>
                <w:rFonts w:hint="eastAsia" w:ascii="宋体" w:hAnsi="宋体" w:eastAsia="宋体" w:cs="宋体"/>
                <w:color w:val="auto"/>
                <w:kern w:val="0"/>
                <w:sz w:val="21"/>
                <w:szCs w:val="21"/>
              </w:rPr>
              <w:t>、</w:t>
            </w:r>
            <w:r>
              <w:rPr>
                <w:rFonts w:ascii="宋体" w:hAnsi="宋体" w:eastAsia="宋体" w:cs="宋体"/>
                <w:color w:val="auto"/>
                <w:kern w:val="0"/>
                <w:sz w:val="21"/>
                <w:szCs w:val="21"/>
              </w:rPr>
              <w:t>泄露</w:t>
            </w:r>
            <w:r>
              <w:rPr>
                <w:rFonts w:hint="eastAsia" w:ascii="宋体" w:hAnsi="宋体" w:eastAsia="宋体" w:cs="宋体"/>
                <w:color w:val="auto"/>
                <w:kern w:val="0"/>
                <w:sz w:val="21"/>
                <w:szCs w:val="21"/>
              </w:rPr>
              <w:t>、</w:t>
            </w:r>
            <w:r>
              <w:rPr>
                <w:rFonts w:ascii="宋体" w:hAnsi="宋体" w:eastAsia="宋体" w:cs="宋体"/>
                <w:color w:val="auto"/>
                <w:kern w:val="0"/>
                <w:sz w:val="21"/>
                <w:szCs w:val="21"/>
              </w:rPr>
              <w:t>破损等</w:t>
            </w:r>
            <w:r>
              <w:rPr>
                <w:rFonts w:hint="eastAsia" w:ascii="宋体" w:hAnsi="宋体" w:eastAsia="宋体" w:cs="宋体"/>
                <w:color w:val="auto"/>
                <w:kern w:val="0"/>
                <w:sz w:val="21"/>
                <w:szCs w:val="21"/>
              </w:rPr>
              <w:t>。</w:t>
            </w:r>
          </w:p>
          <w:p>
            <w:pPr>
              <w:pStyle w:val="301"/>
              <w:numPr>
                <w:ilvl w:val="0"/>
                <w:numId w:val="1"/>
              </w:numPr>
              <w:spacing w:beforeLines="20" w:afterLines="20" w:line="320" w:lineRule="exact"/>
              <w:ind w:right="118" w:rightChars="50" w:firstLineChars="0"/>
              <w:textAlignment w:val="center"/>
              <w:rPr>
                <w:rFonts w:cs="宋体" w:asciiTheme="minorEastAsia" w:hAnsiTheme="minorEastAsia" w:eastAsiaTheme="minorEastAsia"/>
                <w:color w:val="auto"/>
                <w:kern w:val="0"/>
                <w:sz w:val="21"/>
                <w:szCs w:val="21"/>
              </w:rPr>
            </w:pPr>
            <w:r>
              <w:rPr>
                <w:rFonts w:cs="宋体" w:asciiTheme="minorEastAsia" w:hAnsiTheme="minorEastAsia" w:eastAsiaTheme="minorEastAsia"/>
                <w:color w:val="auto"/>
                <w:kern w:val="0"/>
                <w:sz w:val="21"/>
                <w:szCs w:val="21"/>
              </w:rPr>
              <w:t>线缆连接</w:t>
            </w:r>
            <w:r>
              <w:rPr>
                <w:rFonts w:hint="eastAsia" w:cs="宋体" w:asciiTheme="minorEastAsia" w:hAnsiTheme="minorEastAsia" w:eastAsiaTheme="minorEastAsia"/>
                <w:color w:val="auto"/>
                <w:kern w:val="0"/>
                <w:sz w:val="21"/>
                <w:szCs w:val="21"/>
              </w:rPr>
              <w:t>、</w:t>
            </w:r>
            <w:r>
              <w:rPr>
                <w:rFonts w:cs="宋体" w:asciiTheme="minorEastAsia" w:hAnsiTheme="minorEastAsia" w:eastAsiaTheme="minorEastAsia"/>
                <w:color w:val="auto"/>
                <w:kern w:val="0"/>
                <w:sz w:val="21"/>
                <w:szCs w:val="21"/>
              </w:rPr>
              <w:t>接地连接正常</w:t>
            </w:r>
            <w:r>
              <w:rPr>
                <w:rFonts w:hint="eastAsia" w:cs="宋体" w:asciiTheme="minorEastAsia" w:hAnsiTheme="minorEastAsia" w:eastAsiaTheme="minorEastAsia"/>
                <w:color w:val="auto"/>
                <w:kern w:val="0"/>
                <w:sz w:val="21"/>
                <w:szCs w:val="21"/>
              </w:rPr>
              <w:t>。</w:t>
            </w:r>
          </w:p>
          <w:p>
            <w:pPr>
              <w:pStyle w:val="301"/>
              <w:numPr>
                <w:ilvl w:val="0"/>
                <w:numId w:val="1"/>
              </w:numPr>
              <w:spacing w:beforeLines="20" w:afterLines="20" w:line="320" w:lineRule="exact"/>
              <w:ind w:right="118" w:rightChars="50" w:firstLineChars="0"/>
              <w:textAlignment w:val="center"/>
              <w:rPr>
                <w:rFonts w:cs="宋体" w:asciiTheme="minorEastAsia" w:hAnsiTheme="minorEastAsia" w:eastAsiaTheme="minorEastAsia"/>
                <w:color w:val="auto"/>
                <w:kern w:val="0"/>
                <w:sz w:val="21"/>
                <w:szCs w:val="21"/>
              </w:rPr>
            </w:pPr>
            <w:r>
              <w:rPr>
                <w:rFonts w:cs="宋体" w:asciiTheme="minorEastAsia" w:hAnsiTheme="minorEastAsia" w:eastAsiaTheme="minorEastAsia"/>
                <w:color w:val="auto"/>
                <w:kern w:val="0"/>
                <w:sz w:val="21"/>
                <w:szCs w:val="21"/>
              </w:rPr>
              <w:t>作业工具配置齐全有效</w:t>
            </w:r>
            <w:r>
              <w:rPr>
                <w:rFonts w:hint="eastAsia" w:cs="宋体" w:asciiTheme="minorEastAsia" w:hAnsiTheme="minorEastAsia" w:eastAsiaTheme="minorEastAsia"/>
                <w:color w:val="auto"/>
                <w:kern w:val="0"/>
                <w:sz w:val="21"/>
                <w:szCs w:val="21"/>
              </w:rPr>
              <w:t>。</w:t>
            </w:r>
          </w:p>
          <w:p>
            <w:pPr>
              <w:pStyle w:val="301"/>
              <w:numPr>
                <w:ilvl w:val="0"/>
                <w:numId w:val="1"/>
              </w:numPr>
              <w:spacing w:beforeLines="20" w:afterLines="20" w:line="320" w:lineRule="exact"/>
              <w:ind w:right="118" w:rightChars="50" w:firstLineChars="0"/>
              <w:textAlignment w:val="center"/>
              <w:rPr>
                <w:rFonts w:cs="宋体" w:asciiTheme="minorEastAsia" w:hAnsiTheme="minorEastAsia" w:eastAsiaTheme="minorEastAsia"/>
                <w:color w:val="auto"/>
                <w:kern w:val="0"/>
                <w:sz w:val="21"/>
                <w:szCs w:val="21"/>
              </w:rPr>
            </w:pPr>
            <w:r>
              <w:rPr>
                <w:rFonts w:cs="宋体" w:asciiTheme="minorEastAsia" w:hAnsiTheme="minorEastAsia" w:eastAsiaTheme="minorEastAsia"/>
                <w:color w:val="auto"/>
                <w:kern w:val="0"/>
                <w:sz w:val="21"/>
                <w:szCs w:val="21"/>
              </w:rPr>
              <w:t>消防器材</w:t>
            </w:r>
            <w:r>
              <w:rPr>
                <w:rFonts w:hint="eastAsia" w:cs="宋体" w:asciiTheme="minorEastAsia" w:hAnsiTheme="minorEastAsia" w:eastAsiaTheme="minorEastAsia"/>
                <w:color w:val="auto"/>
                <w:kern w:val="0"/>
                <w:sz w:val="21"/>
                <w:szCs w:val="21"/>
              </w:rPr>
              <w:t>、</w:t>
            </w:r>
            <w:r>
              <w:rPr>
                <w:rFonts w:cs="宋体" w:asciiTheme="minorEastAsia" w:hAnsiTheme="minorEastAsia" w:eastAsiaTheme="minorEastAsia"/>
                <w:color w:val="auto"/>
                <w:kern w:val="0"/>
                <w:sz w:val="21"/>
                <w:szCs w:val="21"/>
              </w:rPr>
              <w:t>应急照明配置齐全有效</w:t>
            </w:r>
            <w:r>
              <w:rPr>
                <w:rFonts w:hint="eastAsia" w:cs="宋体" w:asciiTheme="minorEastAsia" w:hAnsiTheme="minorEastAsia" w:eastAsiaTheme="minorEastAsia"/>
                <w:color w:val="auto"/>
                <w:kern w:val="0"/>
                <w:sz w:val="21"/>
                <w:szCs w:val="21"/>
              </w:rPr>
              <w:t>。</w:t>
            </w:r>
          </w:p>
          <w:p>
            <w:pPr>
              <w:pStyle w:val="301"/>
              <w:numPr>
                <w:ilvl w:val="0"/>
                <w:numId w:val="1"/>
              </w:numPr>
              <w:spacing w:beforeLines="20" w:afterLines="20" w:line="320" w:lineRule="exact"/>
              <w:ind w:right="118" w:rightChars="50" w:firstLineChars="0"/>
              <w:textAlignment w:val="center"/>
              <w:rPr>
                <w:rFonts w:cs="宋体" w:asciiTheme="minorEastAsia" w:hAnsiTheme="minorEastAsia" w:eastAsiaTheme="minorEastAsia"/>
                <w:color w:val="auto"/>
                <w:kern w:val="0"/>
                <w:sz w:val="21"/>
                <w:szCs w:val="21"/>
              </w:rPr>
            </w:pPr>
            <w:r>
              <w:rPr>
                <w:rFonts w:cs="宋体" w:asciiTheme="minorEastAsia" w:hAnsiTheme="minorEastAsia" w:eastAsiaTheme="minorEastAsia"/>
                <w:color w:val="auto"/>
                <w:kern w:val="0"/>
                <w:sz w:val="21"/>
                <w:szCs w:val="21"/>
              </w:rPr>
              <w:t>其他</w:t>
            </w:r>
            <w:r>
              <w:rPr>
                <w:rFonts w:hint="eastAsia" w:cs="宋体" w:asciiTheme="minorEastAsia" w:hAnsiTheme="minorEastAsia" w:eastAsiaTheme="minorEastAsia"/>
                <w:color w:val="auto"/>
                <w:kern w:val="0"/>
                <w:sz w:val="21"/>
                <w:szCs w:val="21"/>
              </w:rPr>
              <w:t>。</w:t>
            </w:r>
          </w:p>
        </w:tc>
        <w:tc>
          <w:tcPr>
            <w:tcW w:w="597" w:type="pct"/>
            <w:shd w:val="clear" w:color="auto" w:fill="auto"/>
            <w:tcMar>
              <w:top w:w="15" w:type="dxa"/>
              <w:left w:w="15" w:type="dxa"/>
              <w:right w:w="15" w:type="dxa"/>
            </w:tcMar>
            <w:vAlign w:val="center"/>
          </w:tcPr>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正常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异常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隐患</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排查人</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rPr>
              <w:t xml:space="preserve">  </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日期：</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p>
        </w:tc>
        <w:tc>
          <w:tcPr>
            <w:tcW w:w="597" w:type="pct"/>
            <w:vAlign w:val="center"/>
          </w:tcPr>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正常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异常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隐患</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排查人</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rPr>
              <w:t xml:space="preserve">  </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日期：</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p>
        </w:tc>
        <w:tc>
          <w:tcPr>
            <w:tcW w:w="506" w:type="pct"/>
            <w:vAlign w:val="center"/>
          </w:tcPr>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正常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异常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隐患</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排查人</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rPr>
              <w:t xml:space="preserve">  </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日期：</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p>
        </w:tc>
        <w:tc>
          <w:tcPr>
            <w:tcW w:w="505" w:type="pct"/>
            <w:vAlign w:val="center"/>
          </w:tcPr>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正常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异常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隐患</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排查人</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rPr>
              <w:t xml:space="preserve">  </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日期：</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p>
        </w:tc>
        <w:tc>
          <w:tcPr>
            <w:tcW w:w="505" w:type="pct"/>
            <w:vAlign w:val="center"/>
          </w:tcPr>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正常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异常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隐患</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排查人</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rPr>
              <w:t xml:space="preserve">  </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日期：</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p>
        </w:tc>
        <w:tc>
          <w:tcPr>
            <w:tcW w:w="460" w:type="pct"/>
            <w:vAlign w:val="center"/>
          </w:tcPr>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正常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异常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隐患</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排查人</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rPr>
              <w:t xml:space="preserve">  </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日期：</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p>
        </w:tc>
        <w:tc>
          <w:tcPr>
            <w:tcW w:w="493" w:type="pct"/>
            <w:vAlign w:val="center"/>
          </w:tcPr>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正常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异常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隐患</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排查人</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rPr>
              <w:t xml:space="preserve">  </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日期：</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p>
        </w:tc>
      </w:tr>
    </w:tbl>
    <w:p>
      <w:pPr>
        <w:widowControl w:val="0"/>
        <w:spacing w:after="0" w:line="560" w:lineRule="exact"/>
        <w:ind w:left="0" w:firstLine="412" w:firstLineChars="200"/>
        <w:jc w:val="center"/>
        <w:rPr>
          <w:rFonts w:cs="Calibri" w:asciiTheme="minorEastAsia" w:hAnsiTheme="minorEastAsia" w:eastAsiaTheme="minorEastAsia"/>
          <w:b/>
          <w:color w:val="auto"/>
          <w:sz w:val="21"/>
          <w:szCs w:val="24"/>
        </w:rPr>
      </w:pPr>
      <w:r>
        <w:rPr>
          <w:rFonts w:cs="Calibri" w:asciiTheme="minorEastAsia" w:hAnsiTheme="minorEastAsia" w:eastAsiaTheme="minorEastAsia"/>
          <w:b/>
          <w:color w:val="auto"/>
          <w:sz w:val="21"/>
          <w:szCs w:val="24"/>
        </w:rPr>
        <w:br w:type="page"/>
      </w:r>
      <w:r>
        <w:rPr>
          <w:rFonts w:hint="eastAsia" w:cs="Calibri" w:asciiTheme="minorEastAsia" w:hAnsiTheme="minorEastAsia" w:eastAsiaTheme="minorEastAsia"/>
          <w:b/>
          <w:color w:val="auto"/>
          <w:sz w:val="21"/>
          <w:szCs w:val="24"/>
        </w:rPr>
        <w:t>表3-</w:t>
      </w:r>
      <w:r>
        <w:rPr>
          <w:rFonts w:cs="Calibri" w:asciiTheme="minorEastAsia" w:hAnsiTheme="minorEastAsia" w:eastAsiaTheme="minorEastAsia"/>
          <w:b/>
          <w:color w:val="auto"/>
          <w:sz w:val="21"/>
          <w:szCs w:val="24"/>
        </w:rPr>
        <w:t>5</w:t>
      </w:r>
      <w:r>
        <w:rPr>
          <w:rFonts w:hint="eastAsia" w:cs="Calibri" w:asciiTheme="minorEastAsia" w:hAnsiTheme="minorEastAsia" w:eastAsiaTheme="minorEastAsia"/>
          <w:b/>
          <w:color w:val="auto"/>
          <w:sz w:val="21"/>
          <w:szCs w:val="24"/>
        </w:rPr>
        <w:t xml:space="preserve"> 消防泵房隐患排查记录表</w:t>
      </w:r>
    </w:p>
    <w:tbl>
      <w:tblPr>
        <w:tblStyle w:val="30"/>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4125"/>
        <w:gridCol w:w="1842"/>
        <w:gridCol w:w="1842"/>
        <w:gridCol w:w="1561"/>
        <w:gridCol w:w="1558"/>
        <w:gridCol w:w="1558"/>
        <w:gridCol w:w="1420"/>
        <w:gridCol w:w="15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1337" w:type="pct"/>
            <w:vMerge w:val="restart"/>
            <w:shd w:val="clear" w:color="auto" w:fill="F1F1F1" w:themeFill="background1" w:themeFillShade="F2"/>
            <w:tcMar>
              <w:top w:w="15" w:type="dxa"/>
              <w:left w:w="15" w:type="dxa"/>
              <w:right w:w="15" w:type="dxa"/>
            </w:tcMar>
            <w:vAlign w:val="center"/>
          </w:tcPr>
          <w:p>
            <w:pPr>
              <w:spacing w:beforeLines="20" w:afterLines="20" w:line="320" w:lineRule="exact"/>
              <w:ind w:left="128" w:leftChars="50" w:right="118" w:rightChars="50"/>
              <w:jc w:val="center"/>
              <w:textAlignment w:val="center"/>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kern w:val="0"/>
                <w:sz w:val="21"/>
                <w:szCs w:val="21"/>
              </w:rPr>
              <w:t>排查内容</w:t>
            </w:r>
          </w:p>
        </w:tc>
        <w:tc>
          <w:tcPr>
            <w:tcW w:w="3663" w:type="pct"/>
            <w:gridSpan w:val="7"/>
            <w:shd w:val="clear" w:color="auto" w:fill="F1F1F1" w:themeFill="background1" w:themeFillShade="F2"/>
            <w:tcMar>
              <w:top w:w="15" w:type="dxa"/>
              <w:left w:w="15" w:type="dxa"/>
              <w:right w:w="15" w:type="dxa"/>
            </w:tcMar>
            <w:vAlign w:val="center"/>
          </w:tcPr>
          <w:p>
            <w:pPr>
              <w:spacing w:beforeLines="20" w:afterLines="20" w:line="320" w:lineRule="exact"/>
              <w:ind w:left="128" w:leftChars="50" w:right="118" w:rightChars="50"/>
              <w:jc w:val="center"/>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排查结果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1337" w:type="pct"/>
            <w:vMerge w:val="continue"/>
            <w:shd w:val="clear" w:color="auto" w:fill="F1F1F1" w:themeFill="background1" w:themeFillShade="F2"/>
            <w:tcMar>
              <w:top w:w="15" w:type="dxa"/>
              <w:left w:w="15" w:type="dxa"/>
              <w:right w:w="15" w:type="dxa"/>
            </w:tcMar>
            <w:vAlign w:val="center"/>
          </w:tcPr>
          <w:p>
            <w:pPr>
              <w:spacing w:beforeLines="20" w:afterLines="20" w:line="320" w:lineRule="exact"/>
              <w:ind w:left="128" w:leftChars="50" w:right="118" w:rightChars="50"/>
              <w:jc w:val="center"/>
              <w:textAlignment w:val="center"/>
              <w:rPr>
                <w:rFonts w:cs="宋体" w:asciiTheme="minorEastAsia" w:hAnsiTheme="minorEastAsia" w:eastAsiaTheme="minorEastAsia"/>
                <w:color w:val="auto"/>
                <w:kern w:val="0"/>
                <w:sz w:val="21"/>
                <w:szCs w:val="21"/>
              </w:rPr>
            </w:pPr>
          </w:p>
        </w:tc>
        <w:tc>
          <w:tcPr>
            <w:tcW w:w="597" w:type="pct"/>
            <w:shd w:val="clear" w:color="auto" w:fill="F1F1F1" w:themeFill="background1" w:themeFillShade="F2"/>
            <w:tcMar>
              <w:top w:w="15" w:type="dxa"/>
              <w:left w:w="15" w:type="dxa"/>
              <w:right w:w="15" w:type="dxa"/>
            </w:tcMar>
            <w:vAlign w:val="center"/>
          </w:tcPr>
          <w:p>
            <w:pPr>
              <w:spacing w:beforeLines="20" w:afterLines="20" w:line="320" w:lineRule="exact"/>
              <w:ind w:left="128" w:leftChars="50" w:right="118" w:rightChars="50"/>
              <w:jc w:val="center"/>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周一</w:t>
            </w:r>
          </w:p>
        </w:tc>
        <w:tc>
          <w:tcPr>
            <w:tcW w:w="597" w:type="pct"/>
            <w:shd w:val="clear" w:color="auto" w:fill="F1F1F1" w:themeFill="background1" w:themeFillShade="F2"/>
            <w:vAlign w:val="center"/>
          </w:tcPr>
          <w:p>
            <w:pPr>
              <w:spacing w:beforeLines="20" w:afterLines="20" w:line="320" w:lineRule="exact"/>
              <w:ind w:left="128" w:leftChars="50" w:right="118" w:rightChars="50"/>
              <w:jc w:val="center"/>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周二</w:t>
            </w:r>
          </w:p>
        </w:tc>
        <w:tc>
          <w:tcPr>
            <w:tcW w:w="506" w:type="pct"/>
            <w:shd w:val="clear" w:color="auto" w:fill="F1F1F1" w:themeFill="background1" w:themeFillShade="F2"/>
            <w:vAlign w:val="center"/>
          </w:tcPr>
          <w:p>
            <w:pPr>
              <w:spacing w:beforeLines="20" w:afterLines="20" w:line="320" w:lineRule="exact"/>
              <w:ind w:left="128" w:leftChars="50" w:right="118" w:rightChars="50"/>
              <w:jc w:val="center"/>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周三</w:t>
            </w:r>
          </w:p>
        </w:tc>
        <w:tc>
          <w:tcPr>
            <w:tcW w:w="505" w:type="pct"/>
            <w:shd w:val="clear" w:color="auto" w:fill="F1F1F1" w:themeFill="background1" w:themeFillShade="F2"/>
            <w:vAlign w:val="center"/>
          </w:tcPr>
          <w:p>
            <w:pPr>
              <w:spacing w:beforeLines="20" w:afterLines="20" w:line="320" w:lineRule="exact"/>
              <w:ind w:left="128" w:leftChars="50" w:right="118" w:rightChars="50"/>
              <w:jc w:val="center"/>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周四</w:t>
            </w:r>
          </w:p>
        </w:tc>
        <w:tc>
          <w:tcPr>
            <w:tcW w:w="505" w:type="pct"/>
            <w:shd w:val="clear" w:color="auto" w:fill="F1F1F1" w:themeFill="background1" w:themeFillShade="F2"/>
            <w:vAlign w:val="center"/>
          </w:tcPr>
          <w:p>
            <w:pPr>
              <w:spacing w:beforeLines="20" w:afterLines="20" w:line="320" w:lineRule="exact"/>
              <w:ind w:left="128" w:leftChars="50" w:right="118" w:rightChars="50"/>
              <w:jc w:val="center"/>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周五</w:t>
            </w:r>
          </w:p>
        </w:tc>
        <w:tc>
          <w:tcPr>
            <w:tcW w:w="460" w:type="pct"/>
            <w:shd w:val="clear" w:color="auto" w:fill="F1F1F1" w:themeFill="background1" w:themeFillShade="F2"/>
            <w:vAlign w:val="center"/>
          </w:tcPr>
          <w:p>
            <w:pPr>
              <w:spacing w:beforeLines="20" w:afterLines="20" w:line="320" w:lineRule="exact"/>
              <w:ind w:left="128" w:leftChars="50" w:right="118" w:rightChars="50"/>
              <w:jc w:val="center"/>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周六</w:t>
            </w:r>
          </w:p>
        </w:tc>
        <w:tc>
          <w:tcPr>
            <w:tcW w:w="493" w:type="pct"/>
            <w:shd w:val="clear" w:color="auto" w:fill="F1F1F1" w:themeFill="background1" w:themeFillShade="F2"/>
            <w:vAlign w:val="center"/>
          </w:tcPr>
          <w:p>
            <w:pPr>
              <w:spacing w:beforeLines="20" w:afterLines="20" w:line="320" w:lineRule="exact"/>
              <w:ind w:left="128" w:leftChars="50" w:right="118" w:rightChars="50"/>
              <w:jc w:val="center"/>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周日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1337" w:type="pct"/>
            <w:shd w:val="clear" w:color="auto" w:fill="auto"/>
            <w:tcMar>
              <w:top w:w="15" w:type="dxa"/>
              <w:left w:w="15" w:type="dxa"/>
              <w:right w:w="15" w:type="dxa"/>
            </w:tcMar>
            <w:vAlign w:val="center"/>
          </w:tcPr>
          <w:p>
            <w:pPr>
              <w:pStyle w:val="301"/>
              <w:numPr>
                <w:ilvl w:val="0"/>
                <w:numId w:val="2"/>
              </w:numPr>
              <w:spacing w:beforeLines="20" w:afterLines="20" w:line="320" w:lineRule="exact"/>
              <w:ind w:right="118" w:rightChars="50" w:firstLineChars="0"/>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门窗及孔洞关闭严密，室内无杂物、泄露、虫鼠踪迹、私拉乱接等。</w:t>
            </w:r>
          </w:p>
          <w:p>
            <w:pPr>
              <w:pStyle w:val="301"/>
              <w:numPr>
                <w:ilvl w:val="0"/>
                <w:numId w:val="2"/>
              </w:numPr>
              <w:spacing w:beforeLines="20" w:afterLines="20" w:line="320" w:lineRule="exact"/>
              <w:ind w:right="118" w:rightChars="50" w:firstLineChars="0"/>
              <w:textAlignment w:val="center"/>
              <w:rPr>
                <w:rFonts w:cs="宋体" w:asciiTheme="minorEastAsia" w:hAnsiTheme="minorEastAsia" w:eastAsiaTheme="minorEastAsia"/>
                <w:color w:val="auto"/>
                <w:kern w:val="0"/>
                <w:sz w:val="21"/>
                <w:szCs w:val="21"/>
              </w:rPr>
            </w:pPr>
            <w:r>
              <w:rPr>
                <w:rFonts w:cs="宋体" w:asciiTheme="minorEastAsia" w:hAnsiTheme="minorEastAsia" w:eastAsiaTheme="minorEastAsia"/>
                <w:color w:val="auto"/>
                <w:kern w:val="0"/>
                <w:sz w:val="21"/>
                <w:szCs w:val="21"/>
              </w:rPr>
              <w:t>室内</w:t>
            </w:r>
            <w:r>
              <w:rPr>
                <w:rFonts w:hint="eastAsia" w:cs="宋体" w:asciiTheme="minorEastAsia" w:hAnsiTheme="minorEastAsia" w:eastAsiaTheme="minorEastAsia"/>
                <w:color w:val="auto"/>
                <w:kern w:val="0"/>
                <w:sz w:val="21"/>
                <w:szCs w:val="21"/>
              </w:rPr>
              <w:t>环境良好，温湿度正常。</w:t>
            </w:r>
          </w:p>
          <w:p>
            <w:pPr>
              <w:pStyle w:val="301"/>
              <w:numPr>
                <w:ilvl w:val="0"/>
                <w:numId w:val="2"/>
              </w:numPr>
              <w:spacing w:beforeLines="20" w:afterLines="20" w:line="320" w:lineRule="exact"/>
              <w:ind w:right="118" w:rightChars="50" w:firstLineChars="0"/>
              <w:textAlignment w:val="center"/>
              <w:rPr>
                <w:rFonts w:cs="宋体" w:asciiTheme="minorEastAsia" w:hAnsiTheme="minorEastAsia" w:eastAsiaTheme="minorEastAsia"/>
                <w:color w:val="auto"/>
                <w:kern w:val="0"/>
                <w:sz w:val="21"/>
                <w:szCs w:val="21"/>
              </w:rPr>
            </w:pPr>
            <w:r>
              <w:rPr>
                <w:rFonts w:hint="eastAsia" w:ascii="宋体" w:hAnsi="宋体" w:eastAsia="宋体" w:cs="宋体"/>
                <w:color w:val="auto"/>
                <w:kern w:val="0"/>
                <w:sz w:val="21"/>
                <w:szCs w:val="21"/>
              </w:rPr>
              <w:t>控制柜处于正确档位，无故障告警。</w:t>
            </w:r>
          </w:p>
          <w:p>
            <w:pPr>
              <w:pStyle w:val="301"/>
              <w:numPr>
                <w:ilvl w:val="0"/>
                <w:numId w:val="2"/>
              </w:numPr>
              <w:spacing w:beforeLines="20" w:afterLines="20" w:line="320" w:lineRule="exact"/>
              <w:ind w:right="118" w:rightChars="50" w:firstLineChars="0"/>
              <w:textAlignment w:val="center"/>
              <w:rPr>
                <w:rFonts w:cs="宋体" w:asciiTheme="minorEastAsia" w:hAnsiTheme="minorEastAsia" w:eastAsiaTheme="minorEastAsia"/>
                <w:color w:val="auto"/>
                <w:kern w:val="0"/>
                <w:sz w:val="21"/>
                <w:szCs w:val="21"/>
              </w:rPr>
            </w:pPr>
            <w:r>
              <w:rPr>
                <w:rFonts w:ascii="宋体" w:hAnsi="宋体" w:eastAsia="宋体" w:cs="宋体"/>
                <w:color w:val="auto"/>
                <w:kern w:val="0"/>
                <w:sz w:val="21"/>
                <w:szCs w:val="21"/>
              </w:rPr>
              <w:t>水泵压力</w:t>
            </w:r>
            <w:r>
              <w:rPr>
                <w:rFonts w:hint="eastAsia" w:ascii="宋体" w:hAnsi="宋体" w:eastAsia="宋体" w:cs="宋体"/>
                <w:color w:val="auto"/>
                <w:kern w:val="0"/>
                <w:sz w:val="21"/>
                <w:szCs w:val="21"/>
              </w:rPr>
              <w:t>、</w:t>
            </w:r>
            <w:r>
              <w:rPr>
                <w:rFonts w:ascii="宋体" w:hAnsi="宋体" w:eastAsia="宋体" w:cs="宋体"/>
                <w:color w:val="auto"/>
                <w:kern w:val="0"/>
                <w:sz w:val="21"/>
                <w:szCs w:val="21"/>
              </w:rPr>
              <w:t>阀门处于正常状态</w:t>
            </w:r>
            <w:r>
              <w:rPr>
                <w:rFonts w:hint="eastAsia" w:ascii="宋体" w:hAnsi="宋体" w:eastAsia="宋体" w:cs="宋体"/>
                <w:color w:val="auto"/>
                <w:kern w:val="0"/>
                <w:sz w:val="21"/>
                <w:szCs w:val="21"/>
              </w:rPr>
              <w:t>。</w:t>
            </w:r>
          </w:p>
          <w:p>
            <w:pPr>
              <w:pStyle w:val="301"/>
              <w:numPr>
                <w:ilvl w:val="0"/>
                <w:numId w:val="2"/>
              </w:numPr>
              <w:spacing w:beforeLines="20" w:afterLines="20" w:line="320" w:lineRule="exact"/>
              <w:ind w:right="118" w:rightChars="50" w:firstLineChars="0"/>
              <w:textAlignment w:val="center"/>
              <w:rPr>
                <w:rFonts w:cs="宋体" w:asciiTheme="minorEastAsia" w:hAnsiTheme="minorEastAsia" w:eastAsiaTheme="minorEastAsia"/>
                <w:color w:val="auto"/>
                <w:kern w:val="0"/>
                <w:sz w:val="21"/>
                <w:szCs w:val="21"/>
              </w:rPr>
            </w:pPr>
            <w:r>
              <w:rPr>
                <w:rFonts w:ascii="宋体" w:hAnsi="宋体" w:eastAsia="宋体" w:cs="宋体"/>
                <w:color w:val="auto"/>
                <w:kern w:val="0"/>
                <w:sz w:val="21"/>
                <w:szCs w:val="21"/>
              </w:rPr>
              <w:t>设备运转正常</w:t>
            </w:r>
            <w:r>
              <w:rPr>
                <w:rFonts w:hint="eastAsia" w:ascii="宋体" w:hAnsi="宋体" w:eastAsia="宋体" w:cs="宋体"/>
                <w:color w:val="auto"/>
                <w:kern w:val="0"/>
                <w:sz w:val="21"/>
                <w:szCs w:val="21"/>
              </w:rPr>
              <w:t>，</w:t>
            </w:r>
            <w:r>
              <w:rPr>
                <w:rFonts w:ascii="宋体" w:hAnsi="宋体" w:eastAsia="宋体" w:cs="宋体"/>
                <w:color w:val="auto"/>
                <w:kern w:val="0"/>
                <w:sz w:val="21"/>
                <w:szCs w:val="21"/>
              </w:rPr>
              <w:t>无异响</w:t>
            </w:r>
            <w:r>
              <w:rPr>
                <w:rFonts w:hint="eastAsia" w:ascii="宋体" w:hAnsi="宋体" w:eastAsia="宋体" w:cs="宋体"/>
                <w:color w:val="auto"/>
                <w:kern w:val="0"/>
                <w:sz w:val="21"/>
                <w:szCs w:val="21"/>
              </w:rPr>
              <w:t>、</w:t>
            </w:r>
            <w:r>
              <w:rPr>
                <w:rFonts w:ascii="宋体" w:hAnsi="宋体" w:eastAsia="宋体" w:cs="宋体"/>
                <w:color w:val="auto"/>
                <w:kern w:val="0"/>
                <w:sz w:val="21"/>
                <w:szCs w:val="21"/>
              </w:rPr>
              <w:t>震颤</w:t>
            </w:r>
            <w:r>
              <w:rPr>
                <w:rFonts w:hint="eastAsia" w:ascii="宋体" w:hAnsi="宋体" w:eastAsia="宋体" w:cs="宋体"/>
                <w:color w:val="auto"/>
                <w:kern w:val="0"/>
                <w:sz w:val="21"/>
                <w:szCs w:val="21"/>
              </w:rPr>
              <w:t>、</w:t>
            </w:r>
            <w:r>
              <w:rPr>
                <w:rFonts w:ascii="宋体" w:hAnsi="宋体" w:eastAsia="宋体" w:cs="宋体"/>
                <w:color w:val="auto"/>
                <w:kern w:val="0"/>
                <w:sz w:val="21"/>
                <w:szCs w:val="21"/>
              </w:rPr>
              <w:t>异味等</w:t>
            </w:r>
            <w:r>
              <w:rPr>
                <w:rFonts w:hint="eastAsia" w:ascii="宋体" w:hAnsi="宋体" w:eastAsia="宋体" w:cs="宋体"/>
                <w:color w:val="auto"/>
                <w:kern w:val="0"/>
                <w:sz w:val="21"/>
                <w:szCs w:val="21"/>
              </w:rPr>
              <w:t>。</w:t>
            </w:r>
          </w:p>
          <w:p>
            <w:pPr>
              <w:pStyle w:val="301"/>
              <w:numPr>
                <w:ilvl w:val="0"/>
                <w:numId w:val="2"/>
              </w:numPr>
              <w:spacing w:beforeLines="20" w:afterLines="20" w:line="320" w:lineRule="exact"/>
              <w:ind w:right="118" w:rightChars="50" w:firstLineChars="0"/>
              <w:textAlignment w:val="center"/>
              <w:rPr>
                <w:rFonts w:cs="宋体" w:asciiTheme="minorEastAsia" w:hAnsiTheme="minorEastAsia" w:eastAsiaTheme="minorEastAsia"/>
                <w:color w:val="auto"/>
                <w:kern w:val="0"/>
                <w:sz w:val="21"/>
                <w:szCs w:val="21"/>
              </w:rPr>
            </w:pPr>
            <w:r>
              <w:rPr>
                <w:rFonts w:hint="eastAsia" w:ascii="宋体" w:hAnsi="宋体" w:eastAsia="宋体" w:cs="宋体"/>
                <w:color w:val="auto"/>
                <w:kern w:val="0"/>
                <w:sz w:val="21"/>
                <w:szCs w:val="21"/>
              </w:rPr>
              <w:t>消防</w:t>
            </w:r>
            <w:r>
              <w:rPr>
                <w:rFonts w:ascii="宋体" w:hAnsi="宋体" w:eastAsia="宋体" w:cs="宋体"/>
                <w:color w:val="auto"/>
                <w:kern w:val="0"/>
                <w:sz w:val="21"/>
                <w:szCs w:val="21"/>
              </w:rPr>
              <w:t>水池水位正常</w:t>
            </w:r>
            <w:r>
              <w:rPr>
                <w:rFonts w:hint="eastAsia" w:ascii="宋体" w:hAnsi="宋体" w:eastAsia="宋体" w:cs="宋体"/>
                <w:color w:val="auto"/>
                <w:kern w:val="0"/>
                <w:sz w:val="21"/>
                <w:szCs w:val="21"/>
              </w:rPr>
              <w:t>，管道、水箱</w:t>
            </w:r>
            <w:r>
              <w:rPr>
                <w:rFonts w:ascii="宋体" w:hAnsi="宋体" w:eastAsia="宋体" w:cs="宋体"/>
                <w:color w:val="auto"/>
                <w:kern w:val="0"/>
                <w:sz w:val="21"/>
                <w:szCs w:val="21"/>
              </w:rPr>
              <w:t>无变形</w:t>
            </w:r>
            <w:r>
              <w:rPr>
                <w:rFonts w:hint="eastAsia" w:ascii="宋体" w:hAnsi="宋体" w:eastAsia="宋体" w:cs="宋体"/>
                <w:color w:val="auto"/>
                <w:kern w:val="0"/>
                <w:sz w:val="21"/>
                <w:szCs w:val="21"/>
              </w:rPr>
              <w:t>、</w:t>
            </w:r>
            <w:r>
              <w:rPr>
                <w:rFonts w:ascii="宋体" w:hAnsi="宋体" w:eastAsia="宋体" w:cs="宋体"/>
                <w:color w:val="auto"/>
                <w:kern w:val="0"/>
                <w:sz w:val="21"/>
                <w:szCs w:val="21"/>
              </w:rPr>
              <w:t>泄露</w:t>
            </w:r>
            <w:r>
              <w:rPr>
                <w:rFonts w:hint="eastAsia" w:ascii="宋体" w:hAnsi="宋体" w:eastAsia="宋体" w:cs="宋体"/>
                <w:color w:val="auto"/>
                <w:kern w:val="0"/>
                <w:sz w:val="21"/>
                <w:szCs w:val="21"/>
              </w:rPr>
              <w:t>、</w:t>
            </w:r>
            <w:r>
              <w:rPr>
                <w:rFonts w:ascii="宋体" w:hAnsi="宋体" w:eastAsia="宋体" w:cs="宋体"/>
                <w:color w:val="auto"/>
                <w:kern w:val="0"/>
                <w:sz w:val="21"/>
                <w:szCs w:val="21"/>
              </w:rPr>
              <w:t>破损等</w:t>
            </w:r>
            <w:r>
              <w:rPr>
                <w:rFonts w:hint="eastAsia" w:ascii="宋体" w:hAnsi="宋体" w:eastAsia="宋体" w:cs="宋体"/>
                <w:color w:val="auto"/>
                <w:kern w:val="0"/>
                <w:sz w:val="21"/>
                <w:szCs w:val="21"/>
              </w:rPr>
              <w:t>。</w:t>
            </w:r>
          </w:p>
          <w:p>
            <w:pPr>
              <w:pStyle w:val="301"/>
              <w:numPr>
                <w:ilvl w:val="0"/>
                <w:numId w:val="2"/>
              </w:numPr>
              <w:spacing w:beforeLines="20" w:afterLines="20" w:line="320" w:lineRule="exact"/>
              <w:ind w:right="118" w:rightChars="50" w:firstLineChars="0"/>
              <w:textAlignment w:val="center"/>
              <w:rPr>
                <w:rFonts w:cs="宋体" w:asciiTheme="minorEastAsia" w:hAnsiTheme="minorEastAsia" w:eastAsiaTheme="minorEastAsia"/>
                <w:color w:val="auto"/>
                <w:kern w:val="0"/>
                <w:sz w:val="21"/>
                <w:szCs w:val="21"/>
              </w:rPr>
            </w:pPr>
            <w:r>
              <w:rPr>
                <w:rFonts w:cs="宋体" w:asciiTheme="minorEastAsia" w:hAnsiTheme="minorEastAsia" w:eastAsiaTheme="minorEastAsia"/>
                <w:color w:val="auto"/>
                <w:kern w:val="0"/>
                <w:sz w:val="21"/>
                <w:szCs w:val="21"/>
              </w:rPr>
              <w:t>控制柜配电箱线缆</w:t>
            </w:r>
            <w:r>
              <w:rPr>
                <w:rFonts w:hint="eastAsia" w:cs="宋体" w:asciiTheme="minorEastAsia" w:hAnsiTheme="minorEastAsia" w:eastAsiaTheme="minorEastAsia"/>
                <w:color w:val="auto"/>
                <w:kern w:val="0"/>
                <w:sz w:val="21"/>
                <w:szCs w:val="21"/>
              </w:rPr>
              <w:t>、</w:t>
            </w:r>
            <w:r>
              <w:rPr>
                <w:rFonts w:cs="宋体" w:asciiTheme="minorEastAsia" w:hAnsiTheme="minorEastAsia" w:eastAsiaTheme="minorEastAsia"/>
                <w:color w:val="auto"/>
                <w:kern w:val="0"/>
                <w:sz w:val="21"/>
                <w:szCs w:val="21"/>
              </w:rPr>
              <w:t>接地连接正常</w:t>
            </w:r>
            <w:r>
              <w:rPr>
                <w:rFonts w:hint="eastAsia" w:cs="宋体" w:asciiTheme="minorEastAsia" w:hAnsiTheme="minorEastAsia" w:eastAsiaTheme="minorEastAsia"/>
                <w:color w:val="auto"/>
                <w:kern w:val="0"/>
                <w:sz w:val="21"/>
                <w:szCs w:val="21"/>
              </w:rPr>
              <w:t>。</w:t>
            </w:r>
          </w:p>
          <w:p>
            <w:pPr>
              <w:pStyle w:val="301"/>
              <w:numPr>
                <w:ilvl w:val="0"/>
                <w:numId w:val="2"/>
              </w:numPr>
              <w:spacing w:beforeLines="20" w:afterLines="20" w:line="320" w:lineRule="exact"/>
              <w:ind w:right="118" w:rightChars="50" w:firstLineChars="0"/>
              <w:textAlignment w:val="center"/>
              <w:rPr>
                <w:rFonts w:cs="宋体" w:asciiTheme="minorEastAsia" w:hAnsiTheme="minorEastAsia" w:eastAsiaTheme="minorEastAsia"/>
                <w:color w:val="auto"/>
                <w:kern w:val="0"/>
                <w:sz w:val="21"/>
                <w:szCs w:val="21"/>
              </w:rPr>
            </w:pPr>
            <w:r>
              <w:rPr>
                <w:rFonts w:cs="宋体" w:asciiTheme="minorEastAsia" w:hAnsiTheme="minorEastAsia" w:eastAsiaTheme="minorEastAsia"/>
                <w:color w:val="auto"/>
                <w:kern w:val="0"/>
                <w:sz w:val="21"/>
                <w:szCs w:val="21"/>
              </w:rPr>
              <w:t>作业工具配置齐全有效</w:t>
            </w:r>
            <w:r>
              <w:rPr>
                <w:rFonts w:hint="eastAsia" w:cs="宋体" w:asciiTheme="minorEastAsia" w:hAnsiTheme="minorEastAsia" w:eastAsiaTheme="minorEastAsia"/>
                <w:color w:val="auto"/>
                <w:kern w:val="0"/>
                <w:sz w:val="21"/>
                <w:szCs w:val="21"/>
              </w:rPr>
              <w:t>。</w:t>
            </w:r>
          </w:p>
          <w:p>
            <w:pPr>
              <w:pStyle w:val="301"/>
              <w:numPr>
                <w:ilvl w:val="0"/>
                <w:numId w:val="2"/>
              </w:numPr>
              <w:spacing w:beforeLines="20" w:afterLines="20" w:line="320" w:lineRule="exact"/>
              <w:ind w:right="118" w:rightChars="50" w:firstLineChars="0"/>
              <w:textAlignment w:val="center"/>
              <w:rPr>
                <w:rFonts w:cs="宋体" w:asciiTheme="minorEastAsia" w:hAnsiTheme="minorEastAsia" w:eastAsiaTheme="minorEastAsia"/>
                <w:color w:val="auto"/>
                <w:kern w:val="0"/>
                <w:sz w:val="21"/>
                <w:szCs w:val="21"/>
              </w:rPr>
            </w:pPr>
            <w:r>
              <w:rPr>
                <w:rFonts w:cs="宋体" w:asciiTheme="minorEastAsia" w:hAnsiTheme="minorEastAsia" w:eastAsiaTheme="minorEastAsia"/>
                <w:color w:val="auto"/>
                <w:kern w:val="0"/>
                <w:sz w:val="21"/>
                <w:szCs w:val="21"/>
              </w:rPr>
              <w:t>消防器材</w:t>
            </w:r>
            <w:r>
              <w:rPr>
                <w:rFonts w:hint="eastAsia" w:cs="宋体" w:asciiTheme="minorEastAsia" w:hAnsiTheme="minorEastAsia" w:eastAsiaTheme="minorEastAsia"/>
                <w:color w:val="auto"/>
                <w:kern w:val="0"/>
                <w:sz w:val="21"/>
                <w:szCs w:val="21"/>
              </w:rPr>
              <w:t>、</w:t>
            </w:r>
            <w:r>
              <w:rPr>
                <w:rFonts w:cs="宋体" w:asciiTheme="minorEastAsia" w:hAnsiTheme="minorEastAsia" w:eastAsiaTheme="minorEastAsia"/>
                <w:color w:val="auto"/>
                <w:kern w:val="0"/>
                <w:sz w:val="21"/>
                <w:szCs w:val="21"/>
              </w:rPr>
              <w:t>应急照明配置齐全有效</w:t>
            </w:r>
            <w:r>
              <w:rPr>
                <w:rFonts w:hint="eastAsia" w:cs="宋体" w:asciiTheme="minorEastAsia" w:hAnsiTheme="minorEastAsia" w:eastAsiaTheme="minorEastAsia"/>
                <w:color w:val="auto"/>
                <w:kern w:val="0"/>
                <w:sz w:val="21"/>
                <w:szCs w:val="21"/>
              </w:rPr>
              <w:t>。</w:t>
            </w:r>
          </w:p>
          <w:p>
            <w:pPr>
              <w:pStyle w:val="301"/>
              <w:numPr>
                <w:ilvl w:val="0"/>
                <w:numId w:val="2"/>
              </w:numPr>
              <w:spacing w:beforeLines="20" w:afterLines="20" w:line="320" w:lineRule="exact"/>
              <w:ind w:right="118" w:rightChars="50" w:firstLineChars="0"/>
              <w:textAlignment w:val="center"/>
              <w:rPr>
                <w:rFonts w:cs="宋体" w:asciiTheme="minorEastAsia" w:hAnsiTheme="minorEastAsia" w:eastAsiaTheme="minorEastAsia"/>
                <w:color w:val="auto"/>
                <w:kern w:val="0"/>
                <w:sz w:val="21"/>
                <w:szCs w:val="21"/>
              </w:rPr>
            </w:pPr>
            <w:r>
              <w:rPr>
                <w:rFonts w:cs="宋体" w:asciiTheme="minorEastAsia" w:hAnsiTheme="minorEastAsia" w:eastAsiaTheme="minorEastAsia"/>
                <w:color w:val="auto"/>
                <w:kern w:val="0"/>
                <w:sz w:val="21"/>
                <w:szCs w:val="21"/>
              </w:rPr>
              <w:t>其他</w:t>
            </w:r>
            <w:r>
              <w:rPr>
                <w:rFonts w:hint="eastAsia" w:cs="宋体" w:asciiTheme="minorEastAsia" w:hAnsiTheme="minorEastAsia" w:eastAsiaTheme="minorEastAsia"/>
                <w:color w:val="auto"/>
                <w:kern w:val="0"/>
                <w:sz w:val="21"/>
                <w:szCs w:val="21"/>
              </w:rPr>
              <w:t>。</w:t>
            </w:r>
          </w:p>
        </w:tc>
        <w:tc>
          <w:tcPr>
            <w:tcW w:w="597" w:type="pct"/>
            <w:shd w:val="clear" w:color="auto" w:fill="auto"/>
            <w:tcMar>
              <w:top w:w="15" w:type="dxa"/>
              <w:left w:w="15" w:type="dxa"/>
              <w:right w:w="15" w:type="dxa"/>
            </w:tcMar>
            <w:vAlign w:val="center"/>
          </w:tcPr>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正常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异常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隐患</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排查人</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rPr>
              <w:t xml:space="preserve">  </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日期：</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p>
        </w:tc>
        <w:tc>
          <w:tcPr>
            <w:tcW w:w="597" w:type="pct"/>
            <w:vAlign w:val="center"/>
          </w:tcPr>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正常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异常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隐患</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排查人</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rPr>
              <w:t xml:space="preserve">  </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日期：</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p>
        </w:tc>
        <w:tc>
          <w:tcPr>
            <w:tcW w:w="506" w:type="pct"/>
            <w:vAlign w:val="center"/>
          </w:tcPr>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正常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异常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隐患</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排查人</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rPr>
              <w:t xml:space="preserve">  </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日期：</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p>
        </w:tc>
        <w:tc>
          <w:tcPr>
            <w:tcW w:w="505" w:type="pct"/>
            <w:vAlign w:val="center"/>
          </w:tcPr>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正常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异常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隐患</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排查人</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rPr>
              <w:t xml:space="preserve">  </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日期：</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p>
        </w:tc>
        <w:tc>
          <w:tcPr>
            <w:tcW w:w="505" w:type="pct"/>
            <w:vAlign w:val="center"/>
          </w:tcPr>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正常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异常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隐患</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排查人</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rPr>
              <w:t xml:space="preserve">  </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日期：</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p>
        </w:tc>
        <w:tc>
          <w:tcPr>
            <w:tcW w:w="460" w:type="pct"/>
            <w:vAlign w:val="center"/>
          </w:tcPr>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正常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异常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隐患</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排查人</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rPr>
              <w:t xml:space="preserve">  </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日期：</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p>
        </w:tc>
        <w:tc>
          <w:tcPr>
            <w:tcW w:w="493" w:type="pct"/>
            <w:vAlign w:val="center"/>
          </w:tcPr>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正常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异常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隐患</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排查人</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rPr>
              <w:t xml:space="preserve">  </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日期：</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p>
        </w:tc>
      </w:tr>
    </w:tbl>
    <w:p>
      <w:pPr>
        <w:widowControl w:val="0"/>
        <w:spacing w:after="0" w:line="560" w:lineRule="exact"/>
        <w:ind w:left="0" w:firstLine="412" w:firstLineChars="200"/>
        <w:jc w:val="center"/>
        <w:rPr>
          <w:rFonts w:cs="Calibri" w:asciiTheme="minorEastAsia" w:hAnsiTheme="minorEastAsia" w:eastAsiaTheme="minorEastAsia"/>
          <w:b/>
          <w:color w:val="auto"/>
          <w:sz w:val="21"/>
          <w:szCs w:val="24"/>
        </w:rPr>
      </w:pPr>
      <w:r>
        <w:rPr>
          <w:rFonts w:cs="Calibri" w:asciiTheme="minorEastAsia" w:hAnsiTheme="minorEastAsia" w:eastAsiaTheme="minorEastAsia"/>
          <w:b/>
          <w:color w:val="auto"/>
          <w:sz w:val="21"/>
          <w:szCs w:val="24"/>
        </w:rPr>
        <w:br w:type="page"/>
      </w:r>
      <w:r>
        <w:rPr>
          <w:rFonts w:hint="eastAsia" w:cs="Calibri" w:asciiTheme="minorEastAsia" w:hAnsiTheme="minorEastAsia" w:eastAsiaTheme="minorEastAsia"/>
          <w:b/>
          <w:color w:val="auto"/>
          <w:sz w:val="21"/>
          <w:szCs w:val="24"/>
        </w:rPr>
        <w:t>表3-</w:t>
      </w:r>
      <w:r>
        <w:rPr>
          <w:rFonts w:cs="Calibri" w:asciiTheme="minorEastAsia" w:hAnsiTheme="minorEastAsia" w:eastAsiaTheme="minorEastAsia"/>
          <w:b/>
          <w:color w:val="auto"/>
          <w:sz w:val="21"/>
          <w:szCs w:val="24"/>
        </w:rPr>
        <w:t>6</w:t>
      </w:r>
      <w:r>
        <w:rPr>
          <w:rFonts w:hint="eastAsia" w:cs="Calibri" w:asciiTheme="minorEastAsia" w:hAnsiTheme="minorEastAsia" w:eastAsiaTheme="minorEastAsia"/>
          <w:b/>
          <w:color w:val="auto"/>
          <w:sz w:val="21"/>
          <w:szCs w:val="24"/>
        </w:rPr>
        <w:t>配电室隐患排查记录表</w:t>
      </w:r>
    </w:p>
    <w:tbl>
      <w:tblPr>
        <w:tblStyle w:val="30"/>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4125"/>
        <w:gridCol w:w="1842"/>
        <w:gridCol w:w="1842"/>
        <w:gridCol w:w="1561"/>
        <w:gridCol w:w="1558"/>
        <w:gridCol w:w="1558"/>
        <w:gridCol w:w="1420"/>
        <w:gridCol w:w="15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1337" w:type="pct"/>
            <w:vMerge w:val="restart"/>
            <w:shd w:val="clear" w:color="auto" w:fill="F1F1F1" w:themeFill="background1" w:themeFillShade="F2"/>
            <w:tcMar>
              <w:top w:w="15" w:type="dxa"/>
              <w:left w:w="15" w:type="dxa"/>
              <w:right w:w="15" w:type="dxa"/>
            </w:tcMar>
            <w:vAlign w:val="center"/>
          </w:tcPr>
          <w:p>
            <w:pPr>
              <w:spacing w:beforeLines="20" w:afterLines="20" w:line="320" w:lineRule="exact"/>
              <w:ind w:left="128" w:leftChars="50" w:right="118" w:rightChars="50"/>
              <w:jc w:val="center"/>
              <w:textAlignment w:val="center"/>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kern w:val="0"/>
                <w:sz w:val="21"/>
                <w:szCs w:val="21"/>
              </w:rPr>
              <w:t>排查内容</w:t>
            </w:r>
          </w:p>
        </w:tc>
        <w:tc>
          <w:tcPr>
            <w:tcW w:w="3663" w:type="pct"/>
            <w:gridSpan w:val="7"/>
            <w:shd w:val="clear" w:color="auto" w:fill="F1F1F1" w:themeFill="background1" w:themeFillShade="F2"/>
            <w:tcMar>
              <w:top w:w="15" w:type="dxa"/>
              <w:left w:w="15" w:type="dxa"/>
              <w:right w:w="15" w:type="dxa"/>
            </w:tcMar>
            <w:vAlign w:val="center"/>
          </w:tcPr>
          <w:p>
            <w:pPr>
              <w:spacing w:beforeLines="20" w:afterLines="20" w:line="320" w:lineRule="exact"/>
              <w:ind w:left="128" w:leftChars="50" w:right="118" w:rightChars="50"/>
              <w:jc w:val="center"/>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排查结果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1337" w:type="pct"/>
            <w:vMerge w:val="continue"/>
            <w:shd w:val="clear" w:color="auto" w:fill="F1F1F1" w:themeFill="background1" w:themeFillShade="F2"/>
            <w:tcMar>
              <w:top w:w="15" w:type="dxa"/>
              <w:left w:w="15" w:type="dxa"/>
              <w:right w:w="15" w:type="dxa"/>
            </w:tcMar>
            <w:vAlign w:val="center"/>
          </w:tcPr>
          <w:p>
            <w:pPr>
              <w:spacing w:beforeLines="20" w:afterLines="20" w:line="320" w:lineRule="exact"/>
              <w:ind w:left="128" w:leftChars="50" w:right="118" w:rightChars="50"/>
              <w:jc w:val="center"/>
              <w:textAlignment w:val="center"/>
              <w:rPr>
                <w:rFonts w:cs="宋体" w:asciiTheme="minorEastAsia" w:hAnsiTheme="minorEastAsia" w:eastAsiaTheme="minorEastAsia"/>
                <w:color w:val="auto"/>
                <w:kern w:val="0"/>
                <w:sz w:val="21"/>
                <w:szCs w:val="21"/>
              </w:rPr>
            </w:pPr>
          </w:p>
        </w:tc>
        <w:tc>
          <w:tcPr>
            <w:tcW w:w="597" w:type="pct"/>
            <w:shd w:val="clear" w:color="auto" w:fill="F1F1F1" w:themeFill="background1" w:themeFillShade="F2"/>
            <w:tcMar>
              <w:top w:w="15" w:type="dxa"/>
              <w:left w:w="15" w:type="dxa"/>
              <w:right w:w="15" w:type="dxa"/>
            </w:tcMar>
            <w:vAlign w:val="center"/>
          </w:tcPr>
          <w:p>
            <w:pPr>
              <w:spacing w:beforeLines="20" w:afterLines="20" w:line="320" w:lineRule="exact"/>
              <w:ind w:left="128" w:leftChars="50" w:right="118" w:rightChars="50"/>
              <w:jc w:val="center"/>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周一</w:t>
            </w:r>
          </w:p>
        </w:tc>
        <w:tc>
          <w:tcPr>
            <w:tcW w:w="597" w:type="pct"/>
            <w:shd w:val="clear" w:color="auto" w:fill="F1F1F1" w:themeFill="background1" w:themeFillShade="F2"/>
            <w:vAlign w:val="center"/>
          </w:tcPr>
          <w:p>
            <w:pPr>
              <w:spacing w:beforeLines="20" w:afterLines="20" w:line="320" w:lineRule="exact"/>
              <w:ind w:left="128" w:leftChars="50" w:right="118" w:rightChars="50"/>
              <w:jc w:val="center"/>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周二</w:t>
            </w:r>
          </w:p>
        </w:tc>
        <w:tc>
          <w:tcPr>
            <w:tcW w:w="506" w:type="pct"/>
            <w:shd w:val="clear" w:color="auto" w:fill="F1F1F1" w:themeFill="background1" w:themeFillShade="F2"/>
            <w:vAlign w:val="center"/>
          </w:tcPr>
          <w:p>
            <w:pPr>
              <w:spacing w:beforeLines="20" w:afterLines="20" w:line="320" w:lineRule="exact"/>
              <w:ind w:left="128" w:leftChars="50" w:right="118" w:rightChars="50"/>
              <w:jc w:val="center"/>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周三</w:t>
            </w:r>
          </w:p>
        </w:tc>
        <w:tc>
          <w:tcPr>
            <w:tcW w:w="505" w:type="pct"/>
            <w:shd w:val="clear" w:color="auto" w:fill="F1F1F1" w:themeFill="background1" w:themeFillShade="F2"/>
            <w:vAlign w:val="center"/>
          </w:tcPr>
          <w:p>
            <w:pPr>
              <w:spacing w:beforeLines="20" w:afterLines="20" w:line="320" w:lineRule="exact"/>
              <w:ind w:left="128" w:leftChars="50" w:right="118" w:rightChars="50"/>
              <w:jc w:val="center"/>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周四</w:t>
            </w:r>
          </w:p>
        </w:tc>
        <w:tc>
          <w:tcPr>
            <w:tcW w:w="505" w:type="pct"/>
            <w:shd w:val="clear" w:color="auto" w:fill="F1F1F1" w:themeFill="background1" w:themeFillShade="F2"/>
            <w:vAlign w:val="center"/>
          </w:tcPr>
          <w:p>
            <w:pPr>
              <w:spacing w:beforeLines="20" w:afterLines="20" w:line="320" w:lineRule="exact"/>
              <w:ind w:left="128" w:leftChars="50" w:right="118" w:rightChars="50"/>
              <w:jc w:val="center"/>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周五</w:t>
            </w:r>
          </w:p>
        </w:tc>
        <w:tc>
          <w:tcPr>
            <w:tcW w:w="460" w:type="pct"/>
            <w:shd w:val="clear" w:color="auto" w:fill="F1F1F1" w:themeFill="background1" w:themeFillShade="F2"/>
            <w:vAlign w:val="center"/>
          </w:tcPr>
          <w:p>
            <w:pPr>
              <w:spacing w:beforeLines="20" w:afterLines="20" w:line="320" w:lineRule="exact"/>
              <w:ind w:left="128" w:leftChars="50" w:right="118" w:rightChars="50"/>
              <w:jc w:val="center"/>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周六</w:t>
            </w:r>
          </w:p>
        </w:tc>
        <w:tc>
          <w:tcPr>
            <w:tcW w:w="493" w:type="pct"/>
            <w:shd w:val="clear" w:color="auto" w:fill="F1F1F1" w:themeFill="background1" w:themeFillShade="F2"/>
            <w:vAlign w:val="center"/>
          </w:tcPr>
          <w:p>
            <w:pPr>
              <w:spacing w:beforeLines="20" w:afterLines="20" w:line="320" w:lineRule="exact"/>
              <w:ind w:left="128" w:leftChars="50" w:right="118" w:rightChars="50"/>
              <w:jc w:val="center"/>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周日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1337" w:type="pct"/>
            <w:shd w:val="clear" w:color="auto" w:fill="auto"/>
            <w:tcMar>
              <w:top w:w="15" w:type="dxa"/>
              <w:left w:w="15" w:type="dxa"/>
              <w:right w:w="15" w:type="dxa"/>
            </w:tcMar>
            <w:vAlign w:val="center"/>
          </w:tcPr>
          <w:p>
            <w:pPr>
              <w:pStyle w:val="301"/>
              <w:numPr>
                <w:ilvl w:val="0"/>
                <w:numId w:val="3"/>
              </w:numPr>
              <w:spacing w:beforeLines="20" w:afterLines="20" w:line="320" w:lineRule="exact"/>
              <w:ind w:right="118" w:rightChars="50" w:firstLineChars="0"/>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门窗及孔洞关闭严密，室内无杂物、虫鼠踪迹、私拉乱接等。</w:t>
            </w:r>
          </w:p>
          <w:p>
            <w:pPr>
              <w:pStyle w:val="301"/>
              <w:numPr>
                <w:ilvl w:val="0"/>
                <w:numId w:val="3"/>
              </w:numPr>
              <w:spacing w:beforeLines="20" w:afterLines="20" w:line="320" w:lineRule="exact"/>
              <w:ind w:right="118" w:rightChars="50" w:firstLineChars="0"/>
              <w:textAlignment w:val="center"/>
              <w:rPr>
                <w:rFonts w:cs="宋体" w:asciiTheme="minorEastAsia" w:hAnsiTheme="minorEastAsia" w:eastAsiaTheme="minorEastAsia"/>
                <w:color w:val="auto"/>
                <w:kern w:val="0"/>
                <w:sz w:val="21"/>
                <w:szCs w:val="21"/>
              </w:rPr>
            </w:pPr>
            <w:r>
              <w:rPr>
                <w:rFonts w:cs="宋体" w:asciiTheme="minorEastAsia" w:hAnsiTheme="minorEastAsia" w:eastAsiaTheme="minorEastAsia"/>
                <w:color w:val="auto"/>
                <w:kern w:val="0"/>
                <w:sz w:val="21"/>
                <w:szCs w:val="21"/>
              </w:rPr>
              <w:t>室内</w:t>
            </w:r>
            <w:r>
              <w:rPr>
                <w:rFonts w:hint="eastAsia" w:cs="宋体" w:asciiTheme="minorEastAsia" w:hAnsiTheme="minorEastAsia" w:eastAsiaTheme="minorEastAsia"/>
                <w:color w:val="auto"/>
                <w:kern w:val="0"/>
                <w:sz w:val="21"/>
                <w:szCs w:val="21"/>
              </w:rPr>
              <w:t>环境良好，温湿度正常。</w:t>
            </w:r>
          </w:p>
          <w:p>
            <w:pPr>
              <w:pStyle w:val="301"/>
              <w:numPr>
                <w:ilvl w:val="0"/>
                <w:numId w:val="3"/>
              </w:numPr>
              <w:spacing w:beforeLines="20" w:afterLines="20" w:line="320" w:lineRule="exact"/>
              <w:ind w:right="118" w:rightChars="50" w:firstLineChars="0"/>
              <w:textAlignment w:val="center"/>
              <w:rPr>
                <w:rFonts w:cs="宋体" w:asciiTheme="minorEastAsia" w:hAnsiTheme="minorEastAsia" w:eastAsiaTheme="minorEastAsia"/>
                <w:color w:val="auto"/>
                <w:kern w:val="0"/>
                <w:sz w:val="21"/>
                <w:szCs w:val="21"/>
              </w:rPr>
            </w:pPr>
            <w:r>
              <w:rPr>
                <w:rFonts w:hint="eastAsia" w:ascii="宋体" w:hAnsi="宋体" w:eastAsia="宋体" w:cs="宋体"/>
                <w:color w:val="auto"/>
                <w:kern w:val="0"/>
                <w:sz w:val="21"/>
                <w:szCs w:val="21"/>
              </w:rPr>
              <w:t>设备及断路器无异响、异味、过热。</w:t>
            </w:r>
          </w:p>
          <w:p>
            <w:pPr>
              <w:pStyle w:val="301"/>
              <w:numPr>
                <w:ilvl w:val="0"/>
                <w:numId w:val="3"/>
              </w:numPr>
              <w:spacing w:beforeLines="20" w:afterLines="20" w:line="320" w:lineRule="exact"/>
              <w:ind w:right="118" w:rightChars="50" w:firstLineChars="0"/>
              <w:textAlignment w:val="center"/>
              <w:rPr>
                <w:rFonts w:cs="宋体" w:asciiTheme="minorEastAsia" w:hAnsiTheme="minorEastAsia" w:eastAsiaTheme="minorEastAsia"/>
                <w:color w:val="auto"/>
                <w:kern w:val="0"/>
                <w:sz w:val="21"/>
                <w:szCs w:val="21"/>
              </w:rPr>
            </w:pPr>
            <w:r>
              <w:rPr>
                <w:rFonts w:hint="eastAsia" w:ascii="宋体" w:hAnsi="宋体" w:eastAsia="宋体" w:cs="宋体"/>
                <w:color w:val="auto"/>
                <w:kern w:val="0"/>
                <w:sz w:val="21"/>
                <w:szCs w:val="21"/>
              </w:rPr>
              <w:t>设备运转正常，无异常报警。</w:t>
            </w:r>
          </w:p>
          <w:p>
            <w:pPr>
              <w:pStyle w:val="301"/>
              <w:numPr>
                <w:ilvl w:val="0"/>
                <w:numId w:val="3"/>
              </w:numPr>
              <w:spacing w:beforeLines="20" w:afterLines="20" w:line="320" w:lineRule="exact"/>
              <w:ind w:right="118" w:rightChars="50" w:firstLineChars="0"/>
              <w:textAlignment w:val="center"/>
              <w:rPr>
                <w:rFonts w:cs="宋体" w:asciiTheme="minorEastAsia" w:hAnsiTheme="minorEastAsia" w:eastAsiaTheme="minorEastAsia"/>
                <w:color w:val="auto"/>
                <w:kern w:val="0"/>
                <w:sz w:val="21"/>
                <w:szCs w:val="21"/>
              </w:rPr>
            </w:pPr>
            <w:r>
              <w:rPr>
                <w:rFonts w:ascii="宋体" w:hAnsi="宋体" w:eastAsia="宋体" w:cs="宋体"/>
                <w:color w:val="auto"/>
                <w:kern w:val="0"/>
                <w:sz w:val="21"/>
                <w:szCs w:val="21"/>
              </w:rPr>
              <w:t>电压</w:t>
            </w:r>
            <w:r>
              <w:rPr>
                <w:rFonts w:hint="eastAsia" w:ascii="宋体" w:hAnsi="宋体" w:eastAsia="宋体" w:cs="宋体"/>
                <w:color w:val="auto"/>
                <w:kern w:val="0"/>
                <w:sz w:val="21"/>
                <w:szCs w:val="21"/>
              </w:rPr>
              <w:t>、</w:t>
            </w:r>
            <w:r>
              <w:rPr>
                <w:rFonts w:ascii="宋体" w:hAnsi="宋体" w:eastAsia="宋体" w:cs="宋体"/>
                <w:color w:val="auto"/>
                <w:kern w:val="0"/>
                <w:sz w:val="21"/>
                <w:szCs w:val="21"/>
              </w:rPr>
              <w:t>电流及</w:t>
            </w:r>
            <w:r>
              <w:rPr>
                <w:rFonts w:hint="eastAsia" w:ascii="宋体" w:hAnsi="宋体" w:eastAsia="宋体" w:cs="宋体"/>
                <w:color w:val="auto"/>
                <w:kern w:val="0"/>
                <w:sz w:val="21"/>
                <w:szCs w:val="21"/>
              </w:rPr>
              <w:t>指示灯显示正确。</w:t>
            </w:r>
          </w:p>
          <w:p>
            <w:pPr>
              <w:pStyle w:val="301"/>
              <w:numPr>
                <w:ilvl w:val="0"/>
                <w:numId w:val="3"/>
              </w:numPr>
              <w:spacing w:beforeLines="20" w:afterLines="20" w:line="320" w:lineRule="exact"/>
              <w:ind w:right="118" w:rightChars="50" w:firstLineChars="0"/>
              <w:textAlignment w:val="center"/>
              <w:rPr>
                <w:rFonts w:cs="宋体" w:asciiTheme="minorEastAsia" w:hAnsiTheme="minorEastAsia" w:eastAsiaTheme="minorEastAsia"/>
                <w:color w:val="auto"/>
                <w:kern w:val="0"/>
                <w:sz w:val="21"/>
                <w:szCs w:val="21"/>
              </w:rPr>
            </w:pPr>
            <w:r>
              <w:rPr>
                <w:rFonts w:hint="eastAsia" w:ascii="宋体" w:hAnsi="宋体" w:eastAsia="宋体" w:cs="宋体"/>
                <w:color w:val="auto"/>
                <w:kern w:val="0"/>
                <w:sz w:val="21"/>
                <w:szCs w:val="21"/>
              </w:rPr>
              <w:t>挡鼠板、粘鼠板、鼠药、纱窗齐全。</w:t>
            </w:r>
          </w:p>
          <w:p>
            <w:pPr>
              <w:pStyle w:val="301"/>
              <w:numPr>
                <w:ilvl w:val="0"/>
                <w:numId w:val="3"/>
              </w:numPr>
              <w:spacing w:beforeLines="20" w:afterLines="20" w:line="320" w:lineRule="exact"/>
              <w:ind w:right="118" w:rightChars="50" w:firstLineChars="0"/>
              <w:textAlignment w:val="center"/>
              <w:rPr>
                <w:rFonts w:cs="宋体" w:asciiTheme="minorEastAsia" w:hAnsiTheme="minorEastAsia" w:eastAsiaTheme="minorEastAsia"/>
                <w:color w:val="auto"/>
                <w:kern w:val="0"/>
                <w:sz w:val="21"/>
                <w:szCs w:val="21"/>
              </w:rPr>
            </w:pPr>
            <w:r>
              <w:rPr>
                <w:rFonts w:ascii="宋体" w:hAnsi="宋体" w:eastAsia="宋体" w:cs="宋体"/>
                <w:color w:val="auto"/>
                <w:kern w:val="0"/>
                <w:sz w:val="21"/>
                <w:szCs w:val="21"/>
              </w:rPr>
              <w:t>设备运转正常</w:t>
            </w:r>
            <w:r>
              <w:rPr>
                <w:rFonts w:hint="eastAsia" w:ascii="宋体" w:hAnsi="宋体" w:eastAsia="宋体" w:cs="宋体"/>
                <w:color w:val="auto"/>
                <w:kern w:val="0"/>
                <w:sz w:val="21"/>
                <w:szCs w:val="21"/>
              </w:rPr>
              <w:t>，</w:t>
            </w:r>
            <w:r>
              <w:rPr>
                <w:rFonts w:ascii="宋体" w:hAnsi="宋体" w:eastAsia="宋体" w:cs="宋体"/>
                <w:color w:val="auto"/>
                <w:kern w:val="0"/>
                <w:sz w:val="21"/>
                <w:szCs w:val="21"/>
              </w:rPr>
              <w:t>无异响</w:t>
            </w:r>
            <w:r>
              <w:rPr>
                <w:rFonts w:hint="eastAsia" w:ascii="宋体" w:hAnsi="宋体" w:eastAsia="宋体" w:cs="宋体"/>
                <w:color w:val="auto"/>
                <w:kern w:val="0"/>
                <w:sz w:val="21"/>
                <w:szCs w:val="21"/>
              </w:rPr>
              <w:t>、</w:t>
            </w:r>
            <w:r>
              <w:rPr>
                <w:rFonts w:ascii="宋体" w:hAnsi="宋体" w:eastAsia="宋体" w:cs="宋体"/>
                <w:color w:val="auto"/>
                <w:kern w:val="0"/>
                <w:sz w:val="21"/>
                <w:szCs w:val="21"/>
              </w:rPr>
              <w:t>震颤</w:t>
            </w:r>
            <w:r>
              <w:rPr>
                <w:rFonts w:hint="eastAsia" w:ascii="宋体" w:hAnsi="宋体" w:eastAsia="宋体" w:cs="宋体"/>
                <w:color w:val="auto"/>
                <w:kern w:val="0"/>
                <w:sz w:val="21"/>
                <w:szCs w:val="21"/>
              </w:rPr>
              <w:t>、</w:t>
            </w:r>
            <w:r>
              <w:rPr>
                <w:rFonts w:ascii="宋体" w:hAnsi="宋体" w:eastAsia="宋体" w:cs="宋体"/>
                <w:color w:val="auto"/>
                <w:kern w:val="0"/>
                <w:sz w:val="21"/>
                <w:szCs w:val="21"/>
              </w:rPr>
              <w:t>异味等</w:t>
            </w:r>
            <w:r>
              <w:rPr>
                <w:rFonts w:hint="eastAsia" w:ascii="宋体" w:hAnsi="宋体" w:eastAsia="宋体" w:cs="宋体"/>
                <w:color w:val="auto"/>
                <w:kern w:val="0"/>
                <w:sz w:val="21"/>
                <w:szCs w:val="21"/>
              </w:rPr>
              <w:t>。</w:t>
            </w:r>
          </w:p>
          <w:p>
            <w:pPr>
              <w:pStyle w:val="301"/>
              <w:numPr>
                <w:ilvl w:val="0"/>
                <w:numId w:val="3"/>
              </w:numPr>
              <w:spacing w:beforeLines="20" w:afterLines="20" w:line="320" w:lineRule="exact"/>
              <w:ind w:right="118" w:rightChars="50" w:firstLineChars="0"/>
              <w:textAlignment w:val="center"/>
              <w:rPr>
                <w:rFonts w:cs="宋体" w:asciiTheme="minorEastAsia" w:hAnsiTheme="minorEastAsia" w:eastAsiaTheme="minorEastAsia"/>
                <w:color w:val="auto"/>
                <w:kern w:val="0"/>
                <w:sz w:val="21"/>
                <w:szCs w:val="21"/>
              </w:rPr>
            </w:pPr>
            <w:r>
              <w:rPr>
                <w:rFonts w:cs="宋体" w:asciiTheme="minorEastAsia" w:hAnsiTheme="minorEastAsia" w:eastAsiaTheme="minorEastAsia"/>
                <w:color w:val="auto"/>
                <w:kern w:val="0"/>
                <w:sz w:val="21"/>
                <w:szCs w:val="21"/>
              </w:rPr>
              <w:t>配电箱线缆</w:t>
            </w:r>
            <w:r>
              <w:rPr>
                <w:rFonts w:hint="eastAsia" w:cs="宋体" w:asciiTheme="minorEastAsia" w:hAnsiTheme="minorEastAsia" w:eastAsiaTheme="minorEastAsia"/>
                <w:color w:val="auto"/>
                <w:kern w:val="0"/>
                <w:sz w:val="21"/>
                <w:szCs w:val="21"/>
              </w:rPr>
              <w:t>、</w:t>
            </w:r>
            <w:r>
              <w:rPr>
                <w:rFonts w:cs="宋体" w:asciiTheme="minorEastAsia" w:hAnsiTheme="minorEastAsia" w:eastAsiaTheme="minorEastAsia"/>
                <w:color w:val="auto"/>
                <w:kern w:val="0"/>
                <w:sz w:val="21"/>
                <w:szCs w:val="21"/>
              </w:rPr>
              <w:t>接地连接正常</w:t>
            </w:r>
            <w:r>
              <w:rPr>
                <w:rFonts w:hint="eastAsia" w:cs="宋体" w:asciiTheme="minorEastAsia" w:hAnsiTheme="minorEastAsia" w:eastAsiaTheme="minorEastAsia"/>
                <w:color w:val="auto"/>
                <w:kern w:val="0"/>
                <w:sz w:val="21"/>
                <w:szCs w:val="21"/>
              </w:rPr>
              <w:t>。</w:t>
            </w:r>
          </w:p>
          <w:p>
            <w:pPr>
              <w:pStyle w:val="301"/>
              <w:numPr>
                <w:ilvl w:val="0"/>
                <w:numId w:val="3"/>
              </w:numPr>
              <w:spacing w:beforeLines="20" w:afterLines="20" w:line="320" w:lineRule="exact"/>
              <w:ind w:right="118" w:rightChars="50" w:firstLineChars="0"/>
              <w:textAlignment w:val="center"/>
              <w:rPr>
                <w:rFonts w:cs="宋体" w:asciiTheme="minorEastAsia" w:hAnsiTheme="minorEastAsia" w:eastAsiaTheme="minorEastAsia"/>
                <w:color w:val="auto"/>
                <w:kern w:val="0"/>
                <w:sz w:val="21"/>
                <w:szCs w:val="21"/>
              </w:rPr>
            </w:pPr>
            <w:r>
              <w:rPr>
                <w:rFonts w:cs="宋体" w:asciiTheme="minorEastAsia" w:hAnsiTheme="minorEastAsia" w:eastAsiaTheme="minorEastAsia"/>
                <w:color w:val="auto"/>
                <w:kern w:val="0"/>
                <w:sz w:val="21"/>
                <w:szCs w:val="21"/>
              </w:rPr>
              <w:t>作业工具配置齐全有效</w:t>
            </w:r>
            <w:r>
              <w:rPr>
                <w:rFonts w:hint="eastAsia" w:cs="宋体" w:asciiTheme="minorEastAsia" w:hAnsiTheme="minorEastAsia" w:eastAsiaTheme="minorEastAsia"/>
                <w:color w:val="auto"/>
                <w:kern w:val="0"/>
                <w:sz w:val="21"/>
                <w:szCs w:val="21"/>
              </w:rPr>
              <w:t>。</w:t>
            </w:r>
          </w:p>
          <w:p>
            <w:pPr>
              <w:pStyle w:val="301"/>
              <w:numPr>
                <w:ilvl w:val="0"/>
                <w:numId w:val="3"/>
              </w:numPr>
              <w:spacing w:beforeLines="20" w:afterLines="20" w:line="320" w:lineRule="exact"/>
              <w:ind w:right="118" w:rightChars="50" w:firstLineChars="0"/>
              <w:textAlignment w:val="center"/>
              <w:rPr>
                <w:rFonts w:cs="宋体" w:asciiTheme="minorEastAsia" w:hAnsiTheme="minorEastAsia" w:eastAsiaTheme="minorEastAsia"/>
                <w:color w:val="auto"/>
                <w:kern w:val="0"/>
                <w:sz w:val="21"/>
                <w:szCs w:val="21"/>
              </w:rPr>
            </w:pPr>
            <w:r>
              <w:rPr>
                <w:rFonts w:cs="宋体" w:asciiTheme="minorEastAsia" w:hAnsiTheme="minorEastAsia" w:eastAsiaTheme="minorEastAsia"/>
                <w:color w:val="auto"/>
                <w:kern w:val="0"/>
                <w:sz w:val="21"/>
                <w:szCs w:val="21"/>
              </w:rPr>
              <w:t>消防器材</w:t>
            </w:r>
            <w:r>
              <w:rPr>
                <w:rFonts w:hint="eastAsia" w:cs="宋体" w:asciiTheme="minorEastAsia" w:hAnsiTheme="minorEastAsia" w:eastAsiaTheme="minorEastAsia"/>
                <w:color w:val="auto"/>
                <w:kern w:val="0"/>
                <w:sz w:val="21"/>
                <w:szCs w:val="21"/>
              </w:rPr>
              <w:t>、</w:t>
            </w:r>
            <w:r>
              <w:rPr>
                <w:rFonts w:cs="宋体" w:asciiTheme="minorEastAsia" w:hAnsiTheme="minorEastAsia" w:eastAsiaTheme="minorEastAsia"/>
                <w:color w:val="auto"/>
                <w:kern w:val="0"/>
                <w:sz w:val="21"/>
                <w:szCs w:val="21"/>
              </w:rPr>
              <w:t>应急照明配置齐全有效</w:t>
            </w:r>
            <w:r>
              <w:rPr>
                <w:rFonts w:hint="eastAsia" w:cs="宋体" w:asciiTheme="minorEastAsia" w:hAnsiTheme="minorEastAsia" w:eastAsiaTheme="minorEastAsia"/>
                <w:color w:val="auto"/>
                <w:kern w:val="0"/>
                <w:sz w:val="21"/>
                <w:szCs w:val="21"/>
              </w:rPr>
              <w:t>。</w:t>
            </w:r>
          </w:p>
          <w:p>
            <w:pPr>
              <w:pStyle w:val="301"/>
              <w:numPr>
                <w:ilvl w:val="0"/>
                <w:numId w:val="3"/>
              </w:numPr>
              <w:spacing w:beforeLines="20" w:afterLines="20" w:line="320" w:lineRule="exact"/>
              <w:ind w:right="118" w:rightChars="50" w:firstLineChars="0"/>
              <w:textAlignment w:val="center"/>
              <w:rPr>
                <w:rFonts w:cs="宋体" w:asciiTheme="minorEastAsia" w:hAnsiTheme="minorEastAsia" w:eastAsiaTheme="minorEastAsia"/>
                <w:color w:val="auto"/>
                <w:kern w:val="0"/>
                <w:sz w:val="21"/>
                <w:szCs w:val="21"/>
              </w:rPr>
            </w:pPr>
            <w:r>
              <w:rPr>
                <w:rFonts w:cs="宋体" w:asciiTheme="minorEastAsia" w:hAnsiTheme="minorEastAsia" w:eastAsiaTheme="minorEastAsia"/>
                <w:color w:val="auto"/>
                <w:kern w:val="0"/>
                <w:sz w:val="21"/>
                <w:szCs w:val="21"/>
              </w:rPr>
              <w:t>其他</w:t>
            </w:r>
            <w:r>
              <w:rPr>
                <w:rFonts w:hint="eastAsia" w:cs="宋体" w:asciiTheme="minorEastAsia" w:hAnsiTheme="minorEastAsia" w:eastAsiaTheme="minorEastAsia"/>
                <w:color w:val="auto"/>
                <w:kern w:val="0"/>
                <w:sz w:val="21"/>
                <w:szCs w:val="21"/>
              </w:rPr>
              <w:t>。</w:t>
            </w:r>
          </w:p>
        </w:tc>
        <w:tc>
          <w:tcPr>
            <w:tcW w:w="597" w:type="pct"/>
            <w:shd w:val="clear" w:color="auto" w:fill="auto"/>
            <w:tcMar>
              <w:top w:w="15" w:type="dxa"/>
              <w:left w:w="15" w:type="dxa"/>
              <w:right w:w="15" w:type="dxa"/>
            </w:tcMar>
            <w:vAlign w:val="center"/>
          </w:tcPr>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正常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异常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隐患</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排查人</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rPr>
              <w:t xml:space="preserve">  </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日期：</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p>
        </w:tc>
        <w:tc>
          <w:tcPr>
            <w:tcW w:w="597" w:type="pct"/>
            <w:vAlign w:val="center"/>
          </w:tcPr>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正常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异常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隐患</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排查人</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rPr>
              <w:t xml:space="preserve">  </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日期：</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p>
        </w:tc>
        <w:tc>
          <w:tcPr>
            <w:tcW w:w="506" w:type="pct"/>
            <w:vAlign w:val="center"/>
          </w:tcPr>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正常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异常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隐患</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排查人</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rPr>
              <w:t xml:space="preserve">  </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日期：</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p>
        </w:tc>
        <w:tc>
          <w:tcPr>
            <w:tcW w:w="505" w:type="pct"/>
            <w:vAlign w:val="center"/>
          </w:tcPr>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正常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异常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隐患</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排查人</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rPr>
              <w:t xml:space="preserve">  </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日期：</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p>
        </w:tc>
        <w:tc>
          <w:tcPr>
            <w:tcW w:w="505" w:type="pct"/>
            <w:vAlign w:val="center"/>
          </w:tcPr>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正常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异常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隐患</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排查人</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rPr>
              <w:t xml:space="preserve">  </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日期：</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p>
        </w:tc>
        <w:tc>
          <w:tcPr>
            <w:tcW w:w="460" w:type="pct"/>
            <w:vAlign w:val="center"/>
          </w:tcPr>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正常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异常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隐患</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排查人</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rPr>
              <w:t xml:space="preserve">  </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日期：</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p>
        </w:tc>
        <w:tc>
          <w:tcPr>
            <w:tcW w:w="493" w:type="pct"/>
            <w:vAlign w:val="center"/>
          </w:tcPr>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正常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异常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隐患</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排查人</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rPr>
              <w:t xml:space="preserve">  </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日期：</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p>
        </w:tc>
      </w:tr>
    </w:tbl>
    <w:p>
      <w:pPr>
        <w:spacing w:after="0" w:line="240" w:lineRule="auto"/>
        <w:ind w:left="0" w:firstLine="0"/>
        <w:rPr>
          <w:rFonts w:cs="Calibri" w:asciiTheme="minorEastAsia" w:hAnsiTheme="minorEastAsia" w:eastAsiaTheme="minorEastAsia"/>
          <w:b/>
          <w:color w:val="auto"/>
          <w:sz w:val="21"/>
          <w:szCs w:val="24"/>
        </w:rPr>
      </w:pPr>
    </w:p>
    <w:p>
      <w:pPr>
        <w:spacing w:after="0" w:line="240" w:lineRule="auto"/>
        <w:ind w:left="0" w:firstLine="0"/>
        <w:rPr>
          <w:rFonts w:cs="Calibri" w:asciiTheme="minorEastAsia" w:hAnsiTheme="minorEastAsia" w:eastAsiaTheme="minorEastAsia"/>
          <w:b/>
          <w:color w:val="auto"/>
          <w:sz w:val="21"/>
          <w:szCs w:val="24"/>
        </w:rPr>
      </w:pPr>
      <w:r>
        <w:rPr>
          <w:rFonts w:cs="Calibri" w:asciiTheme="minorEastAsia" w:hAnsiTheme="minorEastAsia" w:eastAsiaTheme="minorEastAsia"/>
          <w:b/>
          <w:color w:val="auto"/>
          <w:sz w:val="21"/>
          <w:szCs w:val="24"/>
        </w:rPr>
        <w:br w:type="page"/>
      </w:r>
    </w:p>
    <w:p>
      <w:pPr>
        <w:widowControl w:val="0"/>
        <w:spacing w:after="0" w:line="560" w:lineRule="exact"/>
        <w:ind w:left="0" w:firstLine="412" w:firstLineChars="200"/>
        <w:jc w:val="center"/>
        <w:rPr>
          <w:rFonts w:cs="Calibri" w:asciiTheme="minorEastAsia" w:hAnsiTheme="minorEastAsia" w:eastAsiaTheme="minorEastAsia"/>
          <w:b/>
          <w:color w:val="auto"/>
          <w:sz w:val="21"/>
          <w:szCs w:val="24"/>
        </w:rPr>
      </w:pPr>
      <w:r>
        <w:rPr>
          <w:rFonts w:hint="eastAsia" w:cs="Calibri" w:asciiTheme="minorEastAsia" w:hAnsiTheme="minorEastAsia" w:eastAsiaTheme="minorEastAsia"/>
          <w:b/>
          <w:color w:val="auto"/>
          <w:sz w:val="21"/>
          <w:szCs w:val="24"/>
        </w:rPr>
        <w:t>表3-</w:t>
      </w:r>
      <w:r>
        <w:rPr>
          <w:rFonts w:cs="Calibri" w:asciiTheme="minorEastAsia" w:hAnsiTheme="minorEastAsia" w:eastAsiaTheme="minorEastAsia"/>
          <w:b/>
          <w:color w:val="auto"/>
          <w:sz w:val="21"/>
          <w:szCs w:val="24"/>
        </w:rPr>
        <w:t>7</w:t>
      </w:r>
      <w:r>
        <w:rPr>
          <w:rFonts w:hint="eastAsia" w:cs="Calibri" w:asciiTheme="minorEastAsia" w:hAnsiTheme="minorEastAsia" w:eastAsiaTheme="minorEastAsia"/>
          <w:b/>
          <w:color w:val="auto"/>
          <w:sz w:val="21"/>
          <w:szCs w:val="24"/>
        </w:rPr>
        <w:t>通信机房隐患排查记录表</w:t>
      </w:r>
    </w:p>
    <w:tbl>
      <w:tblPr>
        <w:tblStyle w:val="30"/>
        <w:tblW w:w="5000" w:type="pct"/>
        <w:tblInd w:w="0" w:type="dxa"/>
        <w:tblLayout w:type="autofit"/>
        <w:tblCellMar>
          <w:top w:w="0" w:type="dxa"/>
          <w:left w:w="108" w:type="dxa"/>
          <w:bottom w:w="0" w:type="dxa"/>
          <w:right w:w="108" w:type="dxa"/>
        </w:tblCellMar>
      </w:tblPr>
      <w:tblGrid>
        <w:gridCol w:w="4078"/>
        <w:gridCol w:w="1842"/>
        <w:gridCol w:w="1842"/>
        <w:gridCol w:w="1699"/>
        <w:gridCol w:w="1561"/>
        <w:gridCol w:w="1558"/>
        <w:gridCol w:w="1562"/>
        <w:gridCol w:w="1472"/>
      </w:tblGrid>
      <w:tr>
        <w:tblPrEx>
          <w:tblCellMar>
            <w:top w:w="0" w:type="dxa"/>
            <w:left w:w="108" w:type="dxa"/>
            <w:bottom w:w="0" w:type="dxa"/>
            <w:right w:w="108" w:type="dxa"/>
          </w:tblCellMar>
        </w:tblPrEx>
        <w:trPr>
          <w:trHeight w:val="417" w:hRule="atLeast"/>
        </w:trPr>
        <w:tc>
          <w:tcPr>
            <w:tcW w:w="1306" w:type="pct"/>
            <w:vMerge w:val="restart"/>
            <w:tcBorders>
              <w:top w:val="single" w:color="auto" w:sz="4" w:space="0"/>
              <w:left w:val="single" w:color="auto" w:sz="4" w:space="0"/>
              <w:right w:val="single" w:color="auto" w:sz="4" w:space="0"/>
            </w:tcBorders>
            <w:shd w:val="clear" w:color="auto" w:fill="auto"/>
            <w:noWrap/>
            <w:vAlign w:val="center"/>
          </w:tcPr>
          <w:p>
            <w:pPr>
              <w:spacing w:after="0" w:line="320" w:lineRule="exact"/>
              <w:ind w:left="11" w:hanging="11"/>
              <w:jc w:val="center"/>
              <w:rPr>
                <w:rFonts w:ascii="宋体" w:hAnsi="宋体" w:eastAsia="宋体" w:cs="宋体"/>
                <w:b/>
                <w:color w:val="auto"/>
                <w:kern w:val="0"/>
                <w:sz w:val="21"/>
                <w:szCs w:val="21"/>
              </w:rPr>
            </w:pPr>
            <w:r>
              <w:rPr>
                <w:rFonts w:hint="eastAsia" w:ascii="宋体" w:hAnsi="宋体" w:eastAsia="宋体" w:cs="宋体"/>
                <w:b/>
                <w:color w:val="auto"/>
                <w:kern w:val="0"/>
                <w:sz w:val="21"/>
                <w:szCs w:val="21"/>
              </w:rPr>
              <w:t>隐患排查内容</w:t>
            </w:r>
          </w:p>
        </w:tc>
        <w:tc>
          <w:tcPr>
            <w:tcW w:w="3694" w:type="pct"/>
            <w:gridSpan w:val="7"/>
            <w:tcBorders>
              <w:top w:val="single" w:color="auto" w:sz="4" w:space="0"/>
              <w:left w:val="nil"/>
              <w:bottom w:val="single" w:color="auto" w:sz="4" w:space="0"/>
              <w:right w:val="single" w:color="000000" w:sz="4" w:space="0"/>
            </w:tcBorders>
            <w:shd w:val="clear" w:color="auto" w:fill="auto"/>
            <w:noWrap/>
            <w:vAlign w:val="center"/>
          </w:tcPr>
          <w:p>
            <w:pPr>
              <w:spacing w:after="0" w:line="320" w:lineRule="exact"/>
              <w:ind w:left="11" w:hanging="11"/>
              <w:jc w:val="center"/>
              <w:rPr>
                <w:rFonts w:ascii="宋体" w:hAnsi="宋体" w:eastAsia="宋体" w:cs="宋体"/>
                <w:b/>
                <w:color w:val="auto"/>
                <w:kern w:val="0"/>
                <w:sz w:val="21"/>
                <w:szCs w:val="21"/>
              </w:rPr>
            </w:pPr>
            <w:r>
              <w:rPr>
                <w:rFonts w:hint="eastAsia" w:ascii="宋体" w:hAnsi="宋体" w:eastAsia="宋体" w:cs="宋体"/>
                <w:b/>
                <w:color w:val="auto"/>
                <w:kern w:val="0"/>
                <w:sz w:val="21"/>
                <w:szCs w:val="21"/>
              </w:rPr>
              <w:t>隐患排查结果</w:t>
            </w:r>
          </w:p>
        </w:tc>
      </w:tr>
      <w:tr>
        <w:tblPrEx>
          <w:tblCellMar>
            <w:top w:w="0" w:type="dxa"/>
            <w:left w:w="108" w:type="dxa"/>
            <w:bottom w:w="0" w:type="dxa"/>
            <w:right w:w="108" w:type="dxa"/>
          </w:tblCellMar>
        </w:tblPrEx>
        <w:trPr>
          <w:trHeight w:val="423" w:hRule="atLeast"/>
        </w:trPr>
        <w:tc>
          <w:tcPr>
            <w:tcW w:w="1306" w:type="pct"/>
            <w:vMerge w:val="continue"/>
            <w:tcBorders>
              <w:left w:val="single" w:color="auto" w:sz="4" w:space="0"/>
              <w:bottom w:val="single" w:color="auto" w:sz="4" w:space="0"/>
              <w:right w:val="single" w:color="auto" w:sz="4" w:space="0"/>
            </w:tcBorders>
            <w:shd w:val="clear" w:color="auto" w:fill="auto"/>
            <w:noWrap/>
            <w:vAlign w:val="center"/>
          </w:tcPr>
          <w:p>
            <w:pPr>
              <w:spacing w:after="0" w:line="320" w:lineRule="exact"/>
              <w:ind w:left="11" w:hanging="11"/>
              <w:rPr>
                <w:rFonts w:ascii="宋体" w:hAnsi="宋体" w:eastAsia="宋体" w:cs="宋体"/>
                <w:b/>
                <w:color w:val="auto"/>
                <w:kern w:val="0"/>
                <w:sz w:val="21"/>
                <w:szCs w:val="21"/>
              </w:rPr>
            </w:pPr>
          </w:p>
        </w:tc>
        <w:tc>
          <w:tcPr>
            <w:tcW w:w="590" w:type="pct"/>
            <w:tcBorders>
              <w:top w:val="nil"/>
              <w:left w:val="nil"/>
              <w:bottom w:val="single" w:color="auto" w:sz="4" w:space="0"/>
              <w:right w:val="single" w:color="auto" w:sz="4" w:space="0"/>
            </w:tcBorders>
            <w:shd w:val="clear" w:color="auto" w:fill="auto"/>
            <w:noWrap/>
            <w:vAlign w:val="center"/>
          </w:tcPr>
          <w:p>
            <w:pPr>
              <w:spacing w:after="0" w:line="320" w:lineRule="exact"/>
              <w:ind w:left="11" w:hanging="11"/>
              <w:jc w:val="center"/>
              <w:rPr>
                <w:rFonts w:ascii="宋体" w:hAnsi="宋体" w:eastAsia="宋体" w:cs="宋体"/>
                <w:b/>
                <w:color w:val="auto"/>
                <w:kern w:val="0"/>
                <w:sz w:val="21"/>
                <w:szCs w:val="21"/>
              </w:rPr>
            </w:pPr>
            <w:r>
              <w:rPr>
                <w:rFonts w:hint="eastAsia" w:ascii="宋体" w:hAnsi="宋体" w:eastAsia="宋体" w:cs="宋体"/>
                <w:b/>
                <w:color w:val="auto"/>
                <w:kern w:val="0"/>
                <w:sz w:val="21"/>
                <w:szCs w:val="21"/>
              </w:rPr>
              <w:t>周一</w:t>
            </w:r>
          </w:p>
        </w:tc>
        <w:tc>
          <w:tcPr>
            <w:tcW w:w="590" w:type="pct"/>
            <w:tcBorders>
              <w:top w:val="nil"/>
              <w:left w:val="nil"/>
              <w:bottom w:val="single" w:color="auto" w:sz="4" w:space="0"/>
              <w:right w:val="single" w:color="auto" w:sz="4" w:space="0"/>
            </w:tcBorders>
            <w:shd w:val="clear" w:color="auto" w:fill="auto"/>
            <w:noWrap/>
            <w:vAlign w:val="center"/>
          </w:tcPr>
          <w:p>
            <w:pPr>
              <w:spacing w:after="0" w:line="320" w:lineRule="exact"/>
              <w:ind w:left="11" w:hanging="11"/>
              <w:jc w:val="center"/>
              <w:rPr>
                <w:rFonts w:ascii="宋体" w:hAnsi="宋体" w:eastAsia="宋体" w:cs="宋体"/>
                <w:b/>
                <w:color w:val="auto"/>
                <w:kern w:val="0"/>
                <w:sz w:val="21"/>
                <w:szCs w:val="21"/>
              </w:rPr>
            </w:pPr>
            <w:r>
              <w:rPr>
                <w:rFonts w:hint="eastAsia" w:ascii="宋体" w:hAnsi="宋体" w:eastAsia="宋体" w:cs="宋体"/>
                <w:b/>
                <w:color w:val="auto"/>
                <w:kern w:val="0"/>
                <w:sz w:val="21"/>
                <w:szCs w:val="21"/>
              </w:rPr>
              <w:t>周二</w:t>
            </w:r>
          </w:p>
        </w:tc>
        <w:tc>
          <w:tcPr>
            <w:tcW w:w="544" w:type="pct"/>
            <w:tcBorders>
              <w:top w:val="nil"/>
              <w:left w:val="nil"/>
              <w:bottom w:val="single" w:color="auto" w:sz="4" w:space="0"/>
              <w:right w:val="single" w:color="auto" w:sz="4" w:space="0"/>
            </w:tcBorders>
            <w:shd w:val="clear" w:color="auto" w:fill="auto"/>
            <w:noWrap/>
            <w:vAlign w:val="center"/>
          </w:tcPr>
          <w:p>
            <w:pPr>
              <w:spacing w:after="0" w:line="320" w:lineRule="exact"/>
              <w:ind w:left="11" w:hanging="11"/>
              <w:jc w:val="center"/>
              <w:rPr>
                <w:rFonts w:ascii="宋体" w:hAnsi="宋体" w:eastAsia="宋体" w:cs="宋体"/>
                <w:b/>
                <w:color w:val="auto"/>
                <w:kern w:val="0"/>
                <w:sz w:val="21"/>
                <w:szCs w:val="21"/>
              </w:rPr>
            </w:pPr>
            <w:r>
              <w:rPr>
                <w:rFonts w:hint="eastAsia" w:ascii="宋体" w:hAnsi="宋体" w:eastAsia="宋体" w:cs="宋体"/>
                <w:b/>
                <w:color w:val="auto"/>
                <w:kern w:val="0"/>
                <w:sz w:val="21"/>
                <w:szCs w:val="21"/>
              </w:rPr>
              <w:t>周三</w:t>
            </w:r>
          </w:p>
        </w:tc>
        <w:tc>
          <w:tcPr>
            <w:tcW w:w="500" w:type="pct"/>
            <w:tcBorders>
              <w:top w:val="nil"/>
              <w:left w:val="nil"/>
              <w:bottom w:val="single" w:color="auto" w:sz="4" w:space="0"/>
              <w:right w:val="single" w:color="auto" w:sz="4" w:space="0"/>
            </w:tcBorders>
            <w:shd w:val="clear" w:color="auto" w:fill="auto"/>
            <w:noWrap/>
            <w:vAlign w:val="center"/>
          </w:tcPr>
          <w:p>
            <w:pPr>
              <w:spacing w:after="0" w:line="320" w:lineRule="exact"/>
              <w:ind w:left="11" w:hanging="11"/>
              <w:jc w:val="center"/>
              <w:rPr>
                <w:rFonts w:ascii="宋体" w:hAnsi="宋体" w:eastAsia="宋体" w:cs="宋体"/>
                <w:b/>
                <w:color w:val="auto"/>
                <w:kern w:val="0"/>
                <w:sz w:val="21"/>
                <w:szCs w:val="21"/>
              </w:rPr>
            </w:pPr>
            <w:r>
              <w:rPr>
                <w:rFonts w:hint="eastAsia" w:ascii="宋体" w:hAnsi="宋体" w:eastAsia="宋体" w:cs="宋体"/>
                <w:b/>
                <w:color w:val="auto"/>
                <w:kern w:val="0"/>
                <w:sz w:val="21"/>
                <w:szCs w:val="21"/>
              </w:rPr>
              <w:t>周四</w:t>
            </w:r>
          </w:p>
        </w:tc>
        <w:tc>
          <w:tcPr>
            <w:tcW w:w="499" w:type="pct"/>
            <w:tcBorders>
              <w:top w:val="nil"/>
              <w:left w:val="nil"/>
              <w:bottom w:val="single" w:color="auto" w:sz="4" w:space="0"/>
              <w:right w:val="single" w:color="auto" w:sz="4" w:space="0"/>
            </w:tcBorders>
            <w:shd w:val="clear" w:color="auto" w:fill="auto"/>
            <w:noWrap/>
            <w:vAlign w:val="center"/>
          </w:tcPr>
          <w:p>
            <w:pPr>
              <w:spacing w:after="0" w:line="320" w:lineRule="exact"/>
              <w:ind w:left="11" w:hanging="11"/>
              <w:jc w:val="center"/>
              <w:rPr>
                <w:rFonts w:ascii="宋体" w:hAnsi="宋体" w:eastAsia="宋体" w:cs="宋体"/>
                <w:b/>
                <w:color w:val="auto"/>
                <w:kern w:val="0"/>
                <w:sz w:val="21"/>
                <w:szCs w:val="21"/>
              </w:rPr>
            </w:pPr>
            <w:r>
              <w:rPr>
                <w:rFonts w:hint="eastAsia" w:ascii="宋体" w:hAnsi="宋体" w:eastAsia="宋体" w:cs="宋体"/>
                <w:b/>
                <w:color w:val="auto"/>
                <w:kern w:val="0"/>
                <w:sz w:val="21"/>
                <w:szCs w:val="21"/>
              </w:rPr>
              <w:t>周五</w:t>
            </w:r>
          </w:p>
        </w:tc>
        <w:tc>
          <w:tcPr>
            <w:tcW w:w="500" w:type="pct"/>
            <w:tcBorders>
              <w:top w:val="nil"/>
              <w:left w:val="nil"/>
              <w:bottom w:val="single" w:color="auto" w:sz="4" w:space="0"/>
              <w:right w:val="single" w:color="auto" w:sz="4" w:space="0"/>
            </w:tcBorders>
            <w:shd w:val="clear" w:color="auto" w:fill="auto"/>
            <w:noWrap/>
            <w:vAlign w:val="center"/>
          </w:tcPr>
          <w:p>
            <w:pPr>
              <w:spacing w:after="0" w:line="320" w:lineRule="exact"/>
              <w:ind w:left="11" w:hanging="11"/>
              <w:jc w:val="center"/>
              <w:rPr>
                <w:rFonts w:ascii="宋体" w:hAnsi="宋体" w:eastAsia="宋体" w:cs="宋体"/>
                <w:b/>
                <w:color w:val="auto"/>
                <w:kern w:val="0"/>
                <w:sz w:val="21"/>
                <w:szCs w:val="21"/>
              </w:rPr>
            </w:pPr>
            <w:r>
              <w:rPr>
                <w:rFonts w:hint="eastAsia" w:ascii="宋体" w:hAnsi="宋体" w:eastAsia="宋体" w:cs="宋体"/>
                <w:b/>
                <w:color w:val="auto"/>
                <w:kern w:val="0"/>
                <w:sz w:val="21"/>
                <w:szCs w:val="21"/>
              </w:rPr>
              <w:t>周六</w:t>
            </w:r>
          </w:p>
        </w:tc>
        <w:tc>
          <w:tcPr>
            <w:tcW w:w="471" w:type="pct"/>
            <w:tcBorders>
              <w:top w:val="nil"/>
              <w:left w:val="nil"/>
              <w:bottom w:val="single" w:color="auto" w:sz="4" w:space="0"/>
              <w:right w:val="single" w:color="auto" w:sz="4" w:space="0"/>
            </w:tcBorders>
            <w:shd w:val="clear" w:color="auto" w:fill="auto"/>
            <w:noWrap/>
            <w:vAlign w:val="center"/>
          </w:tcPr>
          <w:p>
            <w:pPr>
              <w:spacing w:after="0" w:line="320" w:lineRule="exact"/>
              <w:ind w:left="11" w:hanging="11"/>
              <w:jc w:val="center"/>
              <w:rPr>
                <w:rFonts w:ascii="宋体" w:hAnsi="宋体" w:eastAsia="宋体" w:cs="宋体"/>
                <w:b/>
                <w:color w:val="auto"/>
                <w:kern w:val="0"/>
                <w:sz w:val="21"/>
                <w:szCs w:val="21"/>
              </w:rPr>
            </w:pPr>
            <w:r>
              <w:rPr>
                <w:rFonts w:hint="eastAsia" w:ascii="宋体" w:hAnsi="宋体" w:eastAsia="宋体" w:cs="宋体"/>
                <w:b/>
                <w:color w:val="auto"/>
                <w:kern w:val="0"/>
                <w:sz w:val="21"/>
                <w:szCs w:val="21"/>
              </w:rPr>
              <w:t>周日</w:t>
            </w:r>
          </w:p>
        </w:tc>
      </w:tr>
      <w:tr>
        <w:tblPrEx>
          <w:tblCellMar>
            <w:top w:w="0" w:type="dxa"/>
            <w:left w:w="108" w:type="dxa"/>
            <w:bottom w:w="0" w:type="dxa"/>
            <w:right w:w="108" w:type="dxa"/>
          </w:tblCellMar>
        </w:tblPrEx>
        <w:trPr>
          <w:trHeight w:val="600" w:hRule="atLeast"/>
        </w:trPr>
        <w:tc>
          <w:tcPr>
            <w:tcW w:w="1306" w:type="pct"/>
            <w:tcBorders>
              <w:top w:val="nil"/>
              <w:left w:val="single" w:color="auto" w:sz="4" w:space="0"/>
              <w:bottom w:val="single" w:color="auto" w:sz="4" w:space="0"/>
              <w:right w:val="single" w:color="auto" w:sz="4" w:space="0"/>
            </w:tcBorders>
            <w:shd w:val="clear" w:color="auto" w:fill="auto"/>
            <w:vAlign w:val="center"/>
          </w:tcPr>
          <w:p>
            <w:pPr>
              <w:pStyle w:val="301"/>
              <w:numPr>
                <w:ilvl w:val="0"/>
                <w:numId w:val="4"/>
              </w:numPr>
              <w:spacing w:beforeLines="20" w:afterLines="20" w:line="320" w:lineRule="exact"/>
              <w:ind w:right="118" w:rightChars="50" w:firstLineChars="0"/>
              <w:textAlignment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通信机房门禁、门锁装正常，闭门作业。</w:t>
            </w:r>
          </w:p>
          <w:p>
            <w:pPr>
              <w:pStyle w:val="301"/>
              <w:numPr>
                <w:ilvl w:val="0"/>
                <w:numId w:val="4"/>
              </w:numPr>
              <w:spacing w:beforeLines="20" w:afterLines="20" w:line="320" w:lineRule="exact"/>
              <w:ind w:right="118" w:rightChars="50" w:firstLineChars="0"/>
              <w:textAlignment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室内无杂物、无异味，环境良好、温湿度正常。</w:t>
            </w:r>
          </w:p>
          <w:p>
            <w:pPr>
              <w:pStyle w:val="301"/>
              <w:numPr>
                <w:ilvl w:val="0"/>
                <w:numId w:val="4"/>
              </w:numPr>
              <w:spacing w:beforeLines="20" w:afterLines="20" w:line="320" w:lineRule="exact"/>
              <w:ind w:right="118" w:rightChars="50" w:firstLineChars="0"/>
              <w:textAlignment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机壳、柜门完好，无破损、老化设备及线路。</w:t>
            </w:r>
          </w:p>
          <w:p>
            <w:pPr>
              <w:pStyle w:val="301"/>
              <w:numPr>
                <w:ilvl w:val="0"/>
                <w:numId w:val="4"/>
              </w:numPr>
              <w:spacing w:beforeLines="20" w:afterLines="20" w:line="320" w:lineRule="exact"/>
              <w:ind w:right="118" w:rightChars="50" w:firstLineChars="0"/>
              <w:textAlignment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机柜设备表面干净，设备运行正常，无异响、故障等。</w:t>
            </w:r>
          </w:p>
          <w:p>
            <w:pPr>
              <w:pStyle w:val="301"/>
              <w:numPr>
                <w:ilvl w:val="0"/>
                <w:numId w:val="4"/>
              </w:numPr>
              <w:spacing w:beforeLines="20" w:afterLines="20" w:line="320" w:lineRule="exact"/>
              <w:ind w:right="118" w:rightChars="50" w:firstLineChars="0"/>
              <w:textAlignment w:val="center"/>
              <w:rPr>
                <w:rFonts w:ascii="宋体" w:hAnsi="宋体" w:eastAsia="宋体" w:cs="宋体"/>
                <w:color w:val="auto"/>
                <w:kern w:val="0"/>
                <w:sz w:val="21"/>
                <w:szCs w:val="21"/>
              </w:rPr>
            </w:pPr>
            <w:r>
              <w:rPr>
                <w:rFonts w:ascii="宋体" w:hAnsi="宋体" w:eastAsia="宋体" w:cs="宋体"/>
                <w:color w:val="auto"/>
                <w:kern w:val="0"/>
                <w:sz w:val="21"/>
                <w:szCs w:val="21"/>
              </w:rPr>
              <w:t>作业工具配置齐全有效</w:t>
            </w:r>
            <w:r>
              <w:rPr>
                <w:rFonts w:hint="eastAsia" w:ascii="宋体" w:hAnsi="宋体" w:eastAsia="宋体" w:cs="宋体"/>
                <w:color w:val="auto"/>
                <w:kern w:val="0"/>
                <w:sz w:val="21"/>
                <w:szCs w:val="21"/>
              </w:rPr>
              <w:t>。</w:t>
            </w:r>
          </w:p>
          <w:p>
            <w:pPr>
              <w:pStyle w:val="301"/>
              <w:numPr>
                <w:ilvl w:val="0"/>
                <w:numId w:val="4"/>
              </w:numPr>
              <w:spacing w:beforeLines="20" w:afterLines="20" w:line="320" w:lineRule="exact"/>
              <w:ind w:right="118" w:rightChars="50" w:firstLineChars="0"/>
              <w:textAlignment w:val="center"/>
              <w:rPr>
                <w:rFonts w:ascii="宋体" w:hAnsi="宋体" w:eastAsia="宋体" w:cs="宋体"/>
                <w:color w:val="auto"/>
                <w:kern w:val="0"/>
                <w:sz w:val="21"/>
                <w:szCs w:val="21"/>
              </w:rPr>
            </w:pPr>
            <w:r>
              <w:rPr>
                <w:rFonts w:ascii="宋体" w:hAnsi="宋体" w:eastAsia="宋体" w:cs="宋体"/>
                <w:color w:val="auto"/>
                <w:kern w:val="0"/>
                <w:sz w:val="21"/>
                <w:szCs w:val="21"/>
              </w:rPr>
              <w:t>消防器材</w:t>
            </w:r>
            <w:r>
              <w:rPr>
                <w:rFonts w:hint="eastAsia" w:ascii="宋体" w:hAnsi="宋体" w:eastAsia="宋体" w:cs="宋体"/>
                <w:color w:val="auto"/>
                <w:kern w:val="0"/>
                <w:sz w:val="21"/>
                <w:szCs w:val="21"/>
              </w:rPr>
              <w:t>、</w:t>
            </w:r>
            <w:r>
              <w:rPr>
                <w:rFonts w:ascii="宋体" w:hAnsi="宋体" w:eastAsia="宋体" w:cs="宋体"/>
                <w:color w:val="auto"/>
                <w:kern w:val="0"/>
                <w:sz w:val="21"/>
                <w:szCs w:val="21"/>
              </w:rPr>
              <w:t>应急照明配置齐全有效</w:t>
            </w:r>
            <w:r>
              <w:rPr>
                <w:rFonts w:hint="eastAsia" w:ascii="宋体" w:hAnsi="宋体" w:eastAsia="宋体" w:cs="宋体"/>
                <w:color w:val="auto"/>
                <w:kern w:val="0"/>
                <w:sz w:val="21"/>
                <w:szCs w:val="21"/>
              </w:rPr>
              <w:t>。</w:t>
            </w:r>
          </w:p>
          <w:p>
            <w:pPr>
              <w:pStyle w:val="301"/>
              <w:numPr>
                <w:ilvl w:val="0"/>
                <w:numId w:val="4"/>
              </w:numPr>
              <w:spacing w:beforeLines="20" w:afterLines="20" w:line="320" w:lineRule="exact"/>
              <w:ind w:right="118" w:rightChars="50" w:firstLineChars="0"/>
              <w:textAlignment w:val="center"/>
              <w:rPr>
                <w:rFonts w:ascii="宋体" w:hAnsi="宋体" w:eastAsia="宋体" w:cs="宋体"/>
                <w:color w:val="auto"/>
                <w:kern w:val="0"/>
                <w:sz w:val="21"/>
                <w:szCs w:val="21"/>
              </w:rPr>
            </w:pPr>
            <w:r>
              <w:rPr>
                <w:rFonts w:ascii="宋体" w:hAnsi="宋体" w:eastAsia="宋体" w:cs="宋体"/>
                <w:color w:val="auto"/>
                <w:kern w:val="0"/>
                <w:sz w:val="21"/>
                <w:szCs w:val="21"/>
              </w:rPr>
              <w:t>其他</w:t>
            </w:r>
            <w:r>
              <w:rPr>
                <w:rFonts w:hint="eastAsia" w:ascii="宋体" w:hAnsi="宋体" w:eastAsia="宋体" w:cs="宋体"/>
                <w:color w:val="auto"/>
                <w:kern w:val="0"/>
                <w:sz w:val="21"/>
                <w:szCs w:val="21"/>
              </w:rPr>
              <w:t>。</w:t>
            </w:r>
          </w:p>
        </w:tc>
        <w:tc>
          <w:tcPr>
            <w:tcW w:w="590" w:type="pct"/>
            <w:tcBorders>
              <w:top w:val="nil"/>
              <w:left w:val="single" w:color="auto" w:sz="4" w:space="0"/>
              <w:bottom w:val="single" w:color="000000" w:sz="4" w:space="0"/>
              <w:right w:val="single" w:color="auto" w:sz="4" w:space="0"/>
            </w:tcBorders>
            <w:shd w:val="clear" w:color="auto" w:fill="auto"/>
          </w:tcPr>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rPr>
              <w:t>正常 □</w:t>
            </w: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rPr>
              <w:t>异常 □</w:t>
            </w: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rPr>
              <w:t>问题：</w:t>
            </w: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rPr>
              <w:t>排查人：</w:t>
            </w: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ascii="宋体" w:hAnsi="宋体" w:eastAsia="宋体" w:cs="宋体"/>
                <w:color w:val="auto"/>
                <w:kern w:val="0"/>
                <w:sz w:val="21"/>
                <w:szCs w:val="21"/>
              </w:rPr>
            </w:pPr>
            <w:r>
              <w:rPr>
                <w:rFonts w:hint="eastAsia" w:ascii="宋体" w:hAnsi="宋体" w:eastAsia="宋体" w:cs="宋体"/>
                <w:color w:val="auto"/>
                <w:kern w:val="0"/>
                <w:sz w:val="21"/>
                <w:szCs w:val="21"/>
              </w:rPr>
              <w:t>日期：</w:t>
            </w:r>
          </w:p>
        </w:tc>
        <w:tc>
          <w:tcPr>
            <w:tcW w:w="590" w:type="pct"/>
            <w:tcBorders>
              <w:top w:val="nil"/>
              <w:left w:val="single" w:color="auto" w:sz="4" w:space="0"/>
              <w:bottom w:val="single" w:color="000000" w:sz="4" w:space="0"/>
              <w:right w:val="single" w:color="auto" w:sz="4" w:space="0"/>
            </w:tcBorders>
            <w:shd w:val="clear" w:color="auto" w:fill="auto"/>
          </w:tcPr>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rPr>
              <w:t>正常 □</w:t>
            </w: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rPr>
              <w:t>异常 □</w:t>
            </w: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rPr>
              <w:t>问题：</w:t>
            </w: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rPr>
              <w:t>排查人：</w:t>
            </w: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rPr>
              <w:t>日期：</w:t>
            </w:r>
          </w:p>
          <w:p>
            <w:pPr>
              <w:spacing w:after="0" w:line="320" w:lineRule="exact"/>
              <w:ind w:left="11" w:hanging="11"/>
              <w:rPr>
                <w:rFonts w:hint="eastAsia" w:ascii="宋体" w:hAnsi="宋体" w:eastAsia="宋体" w:cs="宋体"/>
                <w:color w:val="auto"/>
                <w:kern w:val="0"/>
                <w:sz w:val="21"/>
                <w:szCs w:val="21"/>
                <w:lang w:eastAsia="zh-CN"/>
              </w:rPr>
            </w:pPr>
          </w:p>
        </w:tc>
        <w:tc>
          <w:tcPr>
            <w:tcW w:w="544" w:type="pct"/>
            <w:tcBorders>
              <w:top w:val="nil"/>
              <w:left w:val="single" w:color="auto" w:sz="4" w:space="0"/>
              <w:bottom w:val="single" w:color="000000" w:sz="4" w:space="0"/>
              <w:right w:val="single" w:color="auto" w:sz="4" w:space="0"/>
            </w:tcBorders>
            <w:shd w:val="clear" w:color="auto" w:fill="auto"/>
          </w:tcPr>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rPr>
              <w:t>正常 □</w:t>
            </w: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rPr>
              <w:t>异常 □</w:t>
            </w: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rPr>
              <w:t>问题：</w:t>
            </w: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rPr>
              <w:t>排查人：</w:t>
            </w: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rPr>
              <w:t>日期：</w:t>
            </w:r>
          </w:p>
          <w:p>
            <w:pPr>
              <w:spacing w:after="0" w:line="320" w:lineRule="exact"/>
              <w:ind w:left="11" w:hanging="11"/>
              <w:rPr>
                <w:rFonts w:hint="eastAsia" w:ascii="宋体" w:hAnsi="宋体" w:eastAsia="宋体" w:cs="宋体"/>
                <w:color w:val="auto"/>
                <w:kern w:val="0"/>
                <w:sz w:val="21"/>
                <w:szCs w:val="21"/>
                <w:lang w:eastAsia="zh-CN"/>
              </w:rPr>
            </w:pPr>
          </w:p>
        </w:tc>
        <w:tc>
          <w:tcPr>
            <w:tcW w:w="500" w:type="pct"/>
            <w:tcBorders>
              <w:top w:val="nil"/>
              <w:left w:val="single" w:color="auto" w:sz="4" w:space="0"/>
              <w:bottom w:val="single" w:color="000000" w:sz="4" w:space="0"/>
              <w:right w:val="single" w:color="auto" w:sz="4" w:space="0"/>
            </w:tcBorders>
            <w:shd w:val="clear" w:color="auto" w:fill="auto"/>
          </w:tcPr>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rPr>
              <w:t>正常 □</w:t>
            </w: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rPr>
              <w:t>异常 □</w:t>
            </w: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rPr>
              <w:t>问题：</w:t>
            </w: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rPr>
              <w:t>排查人：</w:t>
            </w: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rPr>
              <w:t>日期：</w:t>
            </w:r>
          </w:p>
          <w:p>
            <w:pPr>
              <w:spacing w:after="0" w:line="320" w:lineRule="exact"/>
              <w:ind w:left="11" w:hanging="11"/>
              <w:rPr>
                <w:rFonts w:hint="eastAsia" w:ascii="宋体" w:hAnsi="宋体" w:eastAsia="宋体" w:cs="宋体"/>
                <w:color w:val="auto"/>
                <w:kern w:val="0"/>
                <w:sz w:val="21"/>
                <w:szCs w:val="21"/>
                <w:lang w:eastAsia="zh-CN"/>
              </w:rPr>
            </w:pPr>
          </w:p>
        </w:tc>
        <w:tc>
          <w:tcPr>
            <w:tcW w:w="499" w:type="pct"/>
            <w:tcBorders>
              <w:top w:val="nil"/>
              <w:left w:val="single" w:color="auto" w:sz="4" w:space="0"/>
              <w:bottom w:val="single" w:color="000000" w:sz="4" w:space="0"/>
              <w:right w:val="single" w:color="auto" w:sz="4" w:space="0"/>
            </w:tcBorders>
            <w:shd w:val="clear" w:color="auto" w:fill="auto"/>
          </w:tcPr>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rPr>
              <w:t>正常 □</w:t>
            </w: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rPr>
              <w:t>异常 □</w:t>
            </w: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rPr>
              <w:t>问题：</w:t>
            </w: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rPr>
              <w:t>排查人：</w:t>
            </w: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rPr>
              <w:t>日期：</w:t>
            </w: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p>
        </w:tc>
        <w:tc>
          <w:tcPr>
            <w:tcW w:w="500" w:type="pct"/>
            <w:tcBorders>
              <w:top w:val="nil"/>
              <w:left w:val="single" w:color="auto" w:sz="4" w:space="0"/>
              <w:bottom w:val="single" w:color="000000" w:sz="4" w:space="0"/>
              <w:right w:val="single" w:color="auto" w:sz="4" w:space="0"/>
            </w:tcBorders>
            <w:shd w:val="clear" w:color="auto" w:fill="auto"/>
          </w:tcPr>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rPr>
              <w:t>正常 □</w:t>
            </w: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rPr>
              <w:t>异常 □</w:t>
            </w: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rPr>
              <w:t>问题：</w:t>
            </w: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rPr>
              <w:t>排查人：</w:t>
            </w: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rPr>
              <w:t>日期：</w:t>
            </w: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p>
        </w:tc>
        <w:tc>
          <w:tcPr>
            <w:tcW w:w="471" w:type="pct"/>
            <w:tcBorders>
              <w:top w:val="nil"/>
              <w:left w:val="single" w:color="auto" w:sz="4" w:space="0"/>
              <w:bottom w:val="single" w:color="000000" w:sz="4" w:space="0"/>
              <w:right w:val="single" w:color="auto" w:sz="4" w:space="0"/>
            </w:tcBorders>
            <w:shd w:val="clear" w:color="auto" w:fill="auto"/>
          </w:tcPr>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rPr>
              <w:t>正常 □</w:t>
            </w: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rPr>
              <w:t>异常 □</w:t>
            </w: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rPr>
              <w:t>问题：</w:t>
            </w: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rPr>
              <w:t>排查人：</w:t>
            </w: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rPr>
              <w:t>日期：</w:t>
            </w:r>
          </w:p>
          <w:p>
            <w:pPr>
              <w:spacing w:after="0" w:line="320" w:lineRule="exact"/>
              <w:ind w:left="11" w:hanging="11"/>
              <w:rPr>
                <w:rFonts w:hint="eastAsia" w:ascii="宋体" w:hAnsi="宋体" w:eastAsia="宋体" w:cs="宋体"/>
                <w:color w:val="auto"/>
                <w:kern w:val="0"/>
                <w:sz w:val="21"/>
                <w:szCs w:val="21"/>
                <w:lang w:eastAsia="zh-CN"/>
              </w:rPr>
            </w:pPr>
          </w:p>
          <w:p>
            <w:pPr>
              <w:spacing w:after="0" w:line="320" w:lineRule="exact"/>
              <w:ind w:left="11" w:hanging="11"/>
              <w:rPr>
                <w:rFonts w:hint="eastAsia" w:ascii="宋体" w:hAnsi="宋体" w:eastAsia="宋体" w:cs="宋体"/>
                <w:color w:val="auto"/>
                <w:kern w:val="0"/>
                <w:sz w:val="21"/>
                <w:szCs w:val="21"/>
                <w:lang w:eastAsia="zh-CN"/>
              </w:rPr>
            </w:pPr>
          </w:p>
        </w:tc>
      </w:tr>
    </w:tbl>
    <w:p>
      <w:pPr>
        <w:widowControl w:val="0"/>
        <w:spacing w:after="0" w:line="560" w:lineRule="exact"/>
        <w:ind w:left="0" w:firstLine="412" w:firstLineChars="200"/>
        <w:jc w:val="center"/>
        <w:rPr>
          <w:rFonts w:cs="Calibri" w:asciiTheme="minorEastAsia" w:hAnsiTheme="minorEastAsia" w:eastAsiaTheme="minorEastAsia"/>
          <w:b/>
          <w:color w:val="auto"/>
          <w:sz w:val="21"/>
          <w:szCs w:val="24"/>
        </w:rPr>
      </w:pPr>
    </w:p>
    <w:p>
      <w:pPr>
        <w:spacing w:after="0" w:line="240" w:lineRule="auto"/>
        <w:ind w:left="0" w:firstLine="0"/>
        <w:rPr>
          <w:rFonts w:cs="Calibri" w:asciiTheme="minorEastAsia" w:hAnsiTheme="minorEastAsia" w:eastAsiaTheme="minorEastAsia"/>
          <w:b/>
          <w:color w:val="auto"/>
          <w:sz w:val="21"/>
          <w:szCs w:val="24"/>
        </w:rPr>
      </w:pPr>
      <w:r>
        <w:rPr>
          <w:rFonts w:cs="Calibri" w:asciiTheme="minorEastAsia" w:hAnsiTheme="minorEastAsia" w:eastAsiaTheme="minorEastAsia"/>
          <w:b/>
          <w:color w:val="auto"/>
          <w:sz w:val="21"/>
          <w:szCs w:val="24"/>
        </w:rPr>
        <w:br w:type="page"/>
      </w:r>
    </w:p>
    <w:p>
      <w:pPr>
        <w:widowControl w:val="0"/>
        <w:spacing w:after="0" w:line="560" w:lineRule="exact"/>
        <w:ind w:left="0" w:firstLine="412" w:firstLineChars="200"/>
        <w:jc w:val="center"/>
        <w:rPr>
          <w:rFonts w:cs="Calibri" w:asciiTheme="minorEastAsia" w:hAnsiTheme="minorEastAsia" w:eastAsiaTheme="minorEastAsia"/>
          <w:b/>
          <w:color w:val="auto"/>
          <w:sz w:val="21"/>
          <w:szCs w:val="24"/>
        </w:rPr>
      </w:pPr>
      <w:r>
        <w:rPr>
          <w:rFonts w:hint="eastAsia" w:cs="Calibri" w:asciiTheme="minorEastAsia" w:hAnsiTheme="minorEastAsia" w:eastAsiaTheme="minorEastAsia"/>
          <w:b/>
          <w:color w:val="auto"/>
          <w:sz w:val="21"/>
          <w:szCs w:val="24"/>
        </w:rPr>
        <w:t>表3-</w:t>
      </w:r>
      <w:r>
        <w:rPr>
          <w:rFonts w:cs="Calibri" w:asciiTheme="minorEastAsia" w:hAnsiTheme="minorEastAsia" w:eastAsiaTheme="minorEastAsia"/>
          <w:b/>
          <w:color w:val="auto"/>
          <w:sz w:val="21"/>
          <w:szCs w:val="24"/>
        </w:rPr>
        <w:t>8</w:t>
      </w:r>
      <w:r>
        <w:rPr>
          <w:rFonts w:hint="eastAsia" w:cs="Calibri" w:asciiTheme="minorEastAsia" w:hAnsiTheme="minorEastAsia" w:eastAsiaTheme="minorEastAsia"/>
          <w:b/>
          <w:color w:val="auto"/>
          <w:sz w:val="21"/>
          <w:szCs w:val="24"/>
        </w:rPr>
        <w:t>食堂隐患排查记录表</w:t>
      </w:r>
    </w:p>
    <w:tbl>
      <w:tblPr>
        <w:tblStyle w:val="30"/>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4125"/>
        <w:gridCol w:w="1842"/>
        <w:gridCol w:w="1842"/>
        <w:gridCol w:w="1561"/>
        <w:gridCol w:w="1558"/>
        <w:gridCol w:w="1558"/>
        <w:gridCol w:w="1420"/>
        <w:gridCol w:w="15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1337" w:type="pct"/>
            <w:vMerge w:val="restart"/>
            <w:shd w:val="clear" w:color="auto" w:fill="F1F1F1" w:themeFill="background1" w:themeFillShade="F2"/>
            <w:tcMar>
              <w:top w:w="15" w:type="dxa"/>
              <w:left w:w="15" w:type="dxa"/>
              <w:right w:w="15" w:type="dxa"/>
            </w:tcMar>
            <w:vAlign w:val="center"/>
          </w:tcPr>
          <w:p>
            <w:pPr>
              <w:spacing w:beforeLines="20" w:afterLines="20" w:line="320" w:lineRule="exact"/>
              <w:ind w:left="128" w:leftChars="50" w:right="118" w:rightChars="50"/>
              <w:jc w:val="center"/>
              <w:textAlignment w:val="center"/>
              <w:rPr>
                <w:rFonts w:cs="宋体" w:asciiTheme="minorEastAsia" w:hAnsiTheme="minorEastAsia" w:eastAsiaTheme="minorEastAsia"/>
                <w:color w:val="auto"/>
                <w:sz w:val="21"/>
                <w:szCs w:val="21"/>
              </w:rPr>
            </w:pPr>
            <w:r>
              <w:rPr>
                <w:rFonts w:hint="eastAsia" w:cs="宋体" w:asciiTheme="minorEastAsia" w:hAnsiTheme="minorEastAsia" w:eastAsiaTheme="minorEastAsia"/>
                <w:color w:val="auto"/>
                <w:kern w:val="0"/>
                <w:sz w:val="21"/>
                <w:szCs w:val="21"/>
              </w:rPr>
              <w:t>排查内容</w:t>
            </w:r>
          </w:p>
        </w:tc>
        <w:tc>
          <w:tcPr>
            <w:tcW w:w="3663" w:type="pct"/>
            <w:gridSpan w:val="7"/>
            <w:shd w:val="clear" w:color="auto" w:fill="F1F1F1" w:themeFill="background1" w:themeFillShade="F2"/>
            <w:tcMar>
              <w:top w:w="15" w:type="dxa"/>
              <w:left w:w="15" w:type="dxa"/>
              <w:right w:w="15" w:type="dxa"/>
            </w:tcMar>
            <w:vAlign w:val="center"/>
          </w:tcPr>
          <w:p>
            <w:pPr>
              <w:spacing w:beforeLines="20" w:afterLines="20" w:line="320" w:lineRule="exact"/>
              <w:ind w:left="128" w:leftChars="50" w:right="118" w:rightChars="50"/>
              <w:jc w:val="center"/>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排查结果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1337" w:type="pct"/>
            <w:vMerge w:val="continue"/>
            <w:shd w:val="clear" w:color="auto" w:fill="F1F1F1" w:themeFill="background1" w:themeFillShade="F2"/>
            <w:tcMar>
              <w:top w:w="15" w:type="dxa"/>
              <w:left w:w="15" w:type="dxa"/>
              <w:right w:w="15" w:type="dxa"/>
            </w:tcMar>
            <w:vAlign w:val="center"/>
          </w:tcPr>
          <w:p>
            <w:pPr>
              <w:spacing w:beforeLines="20" w:afterLines="20" w:line="320" w:lineRule="exact"/>
              <w:ind w:left="128" w:leftChars="50" w:right="118" w:rightChars="50"/>
              <w:jc w:val="center"/>
              <w:textAlignment w:val="center"/>
              <w:rPr>
                <w:rFonts w:cs="宋体" w:asciiTheme="minorEastAsia" w:hAnsiTheme="minorEastAsia" w:eastAsiaTheme="minorEastAsia"/>
                <w:color w:val="auto"/>
                <w:kern w:val="0"/>
                <w:sz w:val="21"/>
                <w:szCs w:val="21"/>
              </w:rPr>
            </w:pPr>
          </w:p>
        </w:tc>
        <w:tc>
          <w:tcPr>
            <w:tcW w:w="597" w:type="pct"/>
            <w:shd w:val="clear" w:color="auto" w:fill="F1F1F1" w:themeFill="background1" w:themeFillShade="F2"/>
            <w:tcMar>
              <w:top w:w="15" w:type="dxa"/>
              <w:left w:w="15" w:type="dxa"/>
              <w:right w:w="15" w:type="dxa"/>
            </w:tcMar>
            <w:vAlign w:val="center"/>
          </w:tcPr>
          <w:p>
            <w:pPr>
              <w:spacing w:beforeLines="20" w:afterLines="20" w:line="320" w:lineRule="exact"/>
              <w:ind w:left="128" w:leftChars="50" w:right="118" w:rightChars="50"/>
              <w:jc w:val="center"/>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周一</w:t>
            </w:r>
          </w:p>
        </w:tc>
        <w:tc>
          <w:tcPr>
            <w:tcW w:w="597" w:type="pct"/>
            <w:shd w:val="clear" w:color="auto" w:fill="F1F1F1" w:themeFill="background1" w:themeFillShade="F2"/>
            <w:vAlign w:val="center"/>
          </w:tcPr>
          <w:p>
            <w:pPr>
              <w:spacing w:beforeLines="20" w:afterLines="20" w:line="320" w:lineRule="exact"/>
              <w:ind w:left="128" w:leftChars="50" w:right="118" w:rightChars="50"/>
              <w:jc w:val="center"/>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周二</w:t>
            </w:r>
          </w:p>
        </w:tc>
        <w:tc>
          <w:tcPr>
            <w:tcW w:w="506" w:type="pct"/>
            <w:shd w:val="clear" w:color="auto" w:fill="F1F1F1" w:themeFill="background1" w:themeFillShade="F2"/>
            <w:vAlign w:val="center"/>
          </w:tcPr>
          <w:p>
            <w:pPr>
              <w:spacing w:beforeLines="20" w:afterLines="20" w:line="320" w:lineRule="exact"/>
              <w:ind w:left="128" w:leftChars="50" w:right="118" w:rightChars="50"/>
              <w:jc w:val="center"/>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周三</w:t>
            </w:r>
          </w:p>
        </w:tc>
        <w:tc>
          <w:tcPr>
            <w:tcW w:w="505" w:type="pct"/>
            <w:shd w:val="clear" w:color="auto" w:fill="F1F1F1" w:themeFill="background1" w:themeFillShade="F2"/>
            <w:vAlign w:val="center"/>
          </w:tcPr>
          <w:p>
            <w:pPr>
              <w:spacing w:beforeLines="20" w:afterLines="20" w:line="320" w:lineRule="exact"/>
              <w:ind w:left="128" w:leftChars="50" w:right="118" w:rightChars="50"/>
              <w:jc w:val="center"/>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周四</w:t>
            </w:r>
          </w:p>
        </w:tc>
        <w:tc>
          <w:tcPr>
            <w:tcW w:w="505" w:type="pct"/>
            <w:shd w:val="clear" w:color="auto" w:fill="F1F1F1" w:themeFill="background1" w:themeFillShade="F2"/>
            <w:vAlign w:val="center"/>
          </w:tcPr>
          <w:p>
            <w:pPr>
              <w:spacing w:beforeLines="20" w:afterLines="20" w:line="320" w:lineRule="exact"/>
              <w:ind w:left="128" w:leftChars="50" w:right="118" w:rightChars="50"/>
              <w:jc w:val="center"/>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周五</w:t>
            </w:r>
          </w:p>
        </w:tc>
        <w:tc>
          <w:tcPr>
            <w:tcW w:w="460" w:type="pct"/>
            <w:shd w:val="clear" w:color="auto" w:fill="F1F1F1" w:themeFill="background1" w:themeFillShade="F2"/>
            <w:vAlign w:val="center"/>
          </w:tcPr>
          <w:p>
            <w:pPr>
              <w:spacing w:beforeLines="20" w:afterLines="20" w:line="320" w:lineRule="exact"/>
              <w:ind w:left="128" w:leftChars="50" w:right="118" w:rightChars="50"/>
              <w:jc w:val="center"/>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周六</w:t>
            </w:r>
          </w:p>
        </w:tc>
        <w:tc>
          <w:tcPr>
            <w:tcW w:w="493" w:type="pct"/>
            <w:shd w:val="clear" w:color="auto" w:fill="F1F1F1" w:themeFill="background1" w:themeFillShade="F2"/>
            <w:vAlign w:val="center"/>
          </w:tcPr>
          <w:p>
            <w:pPr>
              <w:spacing w:beforeLines="20" w:afterLines="20" w:line="320" w:lineRule="exact"/>
              <w:ind w:left="128" w:leftChars="50" w:right="118" w:rightChars="50"/>
              <w:jc w:val="center"/>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周日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1337" w:type="pct"/>
            <w:shd w:val="clear" w:color="auto" w:fill="auto"/>
            <w:tcMar>
              <w:top w:w="15" w:type="dxa"/>
              <w:left w:w="15" w:type="dxa"/>
              <w:right w:w="15" w:type="dxa"/>
            </w:tcMar>
            <w:vAlign w:val="center"/>
          </w:tcPr>
          <w:p>
            <w:pPr>
              <w:pStyle w:val="301"/>
              <w:numPr>
                <w:ilvl w:val="0"/>
                <w:numId w:val="5"/>
              </w:numPr>
              <w:spacing w:beforeLines="20" w:afterLines="20" w:line="320" w:lineRule="exact"/>
              <w:ind w:right="118" w:rightChars="50" w:firstLineChars="0"/>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后厨、操作台及餐厅环境整洁，干净整洁、无油垢。</w:t>
            </w:r>
          </w:p>
          <w:p>
            <w:pPr>
              <w:pStyle w:val="301"/>
              <w:numPr>
                <w:ilvl w:val="0"/>
                <w:numId w:val="5"/>
              </w:numPr>
              <w:spacing w:beforeLines="20" w:afterLines="20" w:line="320" w:lineRule="exact"/>
              <w:ind w:right="118" w:rightChars="50" w:firstLineChars="0"/>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餐具应按时清洁，定期消毒，防鼠防疫措施有效。</w:t>
            </w:r>
          </w:p>
          <w:p>
            <w:pPr>
              <w:pStyle w:val="301"/>
              <w:numPr>
                <w:ilvl w:val="0"/>
                <w:numId w:val="5"/>
              </w:numPr>
              <w:spacing w:beforeLines="20" w:afterLines="20" w:line="320" w:lineRule="exact"/>
              <w:ind w:right="118" w:rightChars="50" w:firstLineChars="0"/>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冷藏柜、消毒柜、食品留样柜完好。</w:t>
            </w:r>
          </w:p>
          <w:p>
            <w:pPr>
              <w:pStyle w:val="301"/>
              <w:numPr>
                <w:ilvl w:val="0"/>
                <w:numId w:val="5"/>
              </w:numPr>
              <w:spacing w:beforeLines="20" w:afterLines="20" w:line="320" w:lineRule="exact"/>
              <w:ind w:right="118" w:rightChars="50" w:firstLineChars="0"/>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设备及食品原材料分类储存，放置稳固。</w:t>
            </w:r>
          </w:p>
          <w:p>
            <w:pPr>
              <w:pStyle w:val="301"/>
              <w:numPr>
                <w:ilvl w:val="0"/>
                <w:numId w:val="5"/>
              </w:numPr>
              <w:spacing w:beforeLines="20" w:afterLines="20" w:line="320" w:lineRule="exact"/>
              <w:ind w:right="118" w:rightChars="50" w:firstLineChars="0"/>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食用油、酒精单独存放，远离火源。</w:t>
            </w:r>
          </w:p>
          <w:p>
            <w:pPr>
              <w:pStyle w:val="301"/>
              <w:numPr>
                <w:ilvl w:val="0"/>
                <w:numId w:val="5"/>
              </w:numPr>
              <w:spacing w:beforeLines="20" w:afterLines="20" w:line="320" w:lineRule="exact"/>
              <w:ind w:right="118" w:rightChars="50" w:firstLineChars="0"/>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食品原材料正规渠道定点采购，无过期食品。</w:t>
            </w:r>
          </w:p>
          <w:p>
            <w:pPr>
              <w:pStyle w:val="301"/>
              <w:numPr>
                <w:ilvl w:val="0"/>
                <w:numId w:val="5"/>
              </w:numPr>
              <w:spacing w:beforeLines="20" w:afterLines="20" w:line="320" w:lineRule="exact"/>
              <w:ind w:right="118" w:rightChars="50" w:firstLineChars="0"/>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厨房电气设备及线路无老化、裸露，故障、过热、泡浸、压砸等现象。</w:t>
            </w:r>
          </w:p>
          <w:p>
            <w:pPr>
              <w:pStyle w:val="301"/>
              <w:numPr>
                <w:ilvl w:val="0"/>
                <w:numId w:val="5"/>
              </w:numPr>
              <w:spacing w:beforeLines="20" w:afterLines="20" w:line="320" w:lineRule="exact"/>
              <w:ind w:right="118" w:rightChars="50" w:firstLineChars="0"/>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刀具、高温设备位置正确、放置稳固。</w:t>
            </w:r>
          </w:p>
          <w:p>
            <w:pPr>
              <w:pStyle w:val="301"/>
              <w:numPr>
                <w:ilvl w:val="0"/>
                <w:numId w:val="5"/>
              </w:numPr>
              <w:spacing w:beforeLines="20" w:afterLines="20" w:line="320" w:lineRule="exact"/>
              <w:ind w:right="118" w:rightChars="50" w:firstLineChars="0"/>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灭火器、灭火毯配置齐全有效。</w:t>
            </w:r>
          </w:p>
          <w:p>
            <w:pPr>
              <w:pStyle w:val="301"/>
              <w:numPr>
                <w:ilvl w:val="0"/>
                <w:numId w:val="5"/>
              </w:numPr>
              <w:spacing w:beforeLines="20" w:afterLines="20" w:line="320" w:lineRule="exact"/>
              <w:ind w:right="118" w:rightChars="50" w:firstLineChars="0"/>
              <w:textAlignment w:val="center"/>
              <w:rPr>
                <w:rFonts w:cs="宋体" w:asciiTheme="minorEastAsia" w:hAnsiTheme="minorEastAsia" w:eastAsiaTheme="minorEastAsia"/>
                <w:color w:val="auto"/>
                <w:kern w:val="0"/>
                <w:sz w:val="21"/>
                <w:szCs w:val="21"/>
              </w:rPr>
            </w:pPr>
            <w:r>
              <w:rPr>
                <w:rFonts w:cs="宋体" w:asciiTheme="minorEastAsia" w:hAnsiTheme="minorEastAsia" w:eastAsiaTheme="minorEastAsia"/>
                <w:color w:val="auto"/>
                <w:kern w:val="0"/>
                <w:sz w:val="21"/>
                <w:szCs w:val="21"/>
              </w:rPr>
              <w:t>其他</w:t>
            </w:r>
            <w:r>
              <w:rPr>
                <w:rFonts w:hint="eastAsia" w:cs="宋体" w:asciiTheme="minorEastAsia" w:hAnsiTheme="minorEastAsia" w:eastAsiaTheme="minorEastAsia"/>
                <w:color w:val="auto"/>
                <w:kern w:val="0"/>
                <w:sz w:val="21"/>
                <w:szCs w:val="21"/>
              </w:rPr>
              <w:t>。</w:t>
            </w:r>
          </w:p>
        </w:tc>
        <w:tc>
          <w:tcPr>
            <w:tcW w:w="597" w:type="pct"/>
            <w:shd w:val="clear" w:color="auto" w:fill="auto"/>
            <w:tcMar>
              <w:top w:w="15" w:type="dxa"/>
              <w:left w:w="15" w:type="dxa"/>
              <w:right w:w="15" w:type="dxa"/>
            </w:tcMar>
            <w:vAlign w:val="center"/>
          </w:tcPr>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正常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异常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隐患</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排查人</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rPr>
              <w:t xml:space="preserve">  </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日期：</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p>
        </w:tc>
        <w:tc>
          <w:tcPr>
            <w:tcW w:w="597" w:type="pct"/>
            <w:vAlign w:val="center"/>
          </w:tcPr>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正常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异常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隐患</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排查人</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rPr>
              <w:t xml:space="preserve">  </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日期：</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p>
        </w:tc>
        <w:tc>
          <w:tcPr>
            <w:tcW w:w="506" w:type="pct"/>
            <w:vAlign w:val="center"/>
          </w:tcPr>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正常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异常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隐患</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排查人</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rPr>
              <w:t xml:space="preserve">  </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日期：</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p>
        </w:tc>
        <w:tc>
          <w:tcPr>
            <w:tcW w:w="505" w:type="pct"/>
            <w:vAlign w:val="center"/>
          </w:tcPr>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正常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异常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隐患</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排查人</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rPr>
              <w:t xml:space="preserve">  </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日期：</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p>
        </w:tc>
        <w:tc>
          <w:tcPr>
            <w:tcW w:w="505" w:type="pct"/>
            <w:vAlign w:val="center"/>
          </w:tcPr>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正常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异常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隐患</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排查人</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rPr>
              <w:t xml:space="preserve">  </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日期：</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p>
        </w:tc>
        <w:tc>
          <w:tcPr>
            <w:tcW w:w="460" w:type="pct"/>
            <w:vAlign w:val="center"/>
          </w:tcPr>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正常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异常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隐患</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排查人</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rPr>
              <w:t xml:space="preserve">  </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日期：</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p>
        </w:tc>
        <w:tc>
          <w:tcPr>
            <w:tcW w:w="493" w:type="pct"/>
            <w:vAlign w:val="center"/>
          </w:tcPr>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正常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w:t>
            </w:r>
            <w:r>
              <w:rPr>
                <w:rFonts w:cs="Arial" w:asciiTheme="minorEastAsia" w:hAnsiTheme="minorEastAsia" w:eastAsiaTheme="minorEastAsia"/>
                <w:color w:val="auto"/>
                <w:sz w:val="21"/>
                <w:szCs w:val="21"/>
              </w:rPr>
              <w:t>异常</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隐患</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cs="Arial" w:asciiTheme="minorEastAsia" w:hAnsiTheme="minorEastAsia" w:eastAsiaTheme="minorEastAsia"/>
                <w:color w:val="auto"/>
                <w:sz w:val="21"/>
                <w:szCs w:val="21"/>
              </w:rPr>
              <w:t>排查人</w:t>
            </w:r>
            <w:r>
              <w:rPr>
                <w:rFonts w:hint="eastAsia" w:cs="Arial" w:asciiTheme="minorEastAsia" w:hAnsiTheme="minorEastAsia" w:eastAsiaTheme="minorEastAsia"/>
                <w:color w:val="auto"/>
                <w:sz w:val="21"/>
                <w:szCs w:val="21"/>
              </w:rPr>
              <w:t>：</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rPr>
              <w:t xml:space="preserve">  </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rPr>
              <w:t>日期：</w:t>
            </w:r>
          </w:p>
          <w:p>
            <w:pPr>
              <w:spacing w:beforeLines="20" w:afterLines="20" w:line="320" w:lineRule="exact"/>
              <w:ind w:left="128" w:leftChars="50" w:right="118" w:rightChars="50"/>
              <w:rPr>
                <w:rFonts w:cs="Arial" w:asciiTheme="minorEastAsia" w:hAnsiTheme="minorEastAsia" w:eastAsiaTheme="minorEastAsia"/>
                <w:color w:val="auto"/>
                <w:sz w:val="21"/>
                <w:szCs w:val="21"/>
              </w:rPr>
            </w:pPr>
            <w:r>
              <w:rPr>
                <w:rFonts w:hint="eastAsia" w:cs="Arial" w:asciiTheme="minorEastAsia" w:hAnsiTheme="minorEastAsia" w:eastAsiaTheme="minorEastAsia"/>
                <w:color w:val="auto"/>
                <w:sz w:val="21"/>
                <w:szCs w:val="21"/>
                <w:u w:val="single"/>
              </w:rPr>
              <w:t xml:space="preserve"> </w:t>
            </w:r>
            <w:r>
              <w:rPr>
                <w:rFonts w:cs="Arial" w:asciiTheme="minorEastAsia" w:hAnsiTheme="minorEastAsia" w:eastAsiaTheme="minorEastAsia"/>
                <w:color w:val="auto"/>
                <w:sz w:val="21"/>
                <w:szCs w:val="21"/>
                <w:u w:val="single"/>
              </w:rPr>
              <w:t xml:space="preserve">      </w:t>
            </w:r>
          </w:p>
        </w:tc>
      </w:tr>
    </w:tbl>
    <w:p>
      <w:pPr>
        <w:spacing w:after="0" w:line="240" w:lineRule="auto"/>
        <w:ind w:left="0" w:firstLine="0"/>
        <w:rPr>
          <w:rFonts w:cs="Calibri" w:asciiTheme="minorEastAsia" w:hAnsiTheme="minorEastAsia" w:eastAsiaTheme="minorEastAsia"/>
          <w:b/>
          <w:color w:val="auto"/>
          <w:sz w:val="21"/>
          <w:szCs w:val="24"/>
        </w:rPr>
      </w:pPr>
    </w:p>
    <w:p>
      <w:pPr>
        <w:spacing w:after="0" w:line="240" w:lineRule="auto"/>
        <w:ind w:left="0" w:firstLine="0"/>
        <w:rPr>
          <w:rFonts w:cs="Calibri" w:asciiTheme="minorEastAsia" w:hAnsiTheme="minorEastAsia" w:eastAsiaTheme="minorEastAsia"/>
          <w:b/>
          <w:color w:val="auto"/>
          <w:sz w:val="21"/>
          <w:szCs w:val="24"/>
        </w:rPr>
      </w:pPr>
    </w:p>
    <w:p>
      <w:pPr>
        <w:widowControl w:val="0"/>
        <w:spacing w:after="0" w:line="560" w:lineRule="exact"/>
        <w:ind w:left="0" w:firstLine="412" w:firstLineChars="200"/>
        <w:jc w:val="center"/>
        <w:rPr>
          <w:rFonts w:cs="Calibri" w:asciiTheme="minorEastAsia" w:hAnsiTheme="minorEastAsia" w:eastAsiaTheme="minorEastAsia"/>
          <w:b/>
          <w:color w:val="auto"/>
          <w:sz w:val="21"/>
          <w:szCs w:val="24"/>
        </w:rPr>
      </w:pPr>
    </w:p>
    <w:p>
      <w:pPr>
        <w:widowControl w:val="0"/>
        <w:spacing w:after="0" w:line="560" w:lineRule="exact"/>
        <w:ind w:left="0" w:firstLine="412" w:firstLineChars="200"/>
        <w:jc w:val="center"/>
        <w:rPr>
          <w:rFonts w:cs="Calibri" w:asciiTheme="minorEastAsia" w:hAnsiTheme="minorEastAsia" w:eastAsiaTheme="minorEastAsia"/>
          <w:b/>
          <w:color w:val="auto"/>
          <w:sz w:val="21"/>
          <w:szCs w:val="24"/>
        </w:rPr>
        <w:sectPr>
          <w:headerReference r:id="rId14" w:type="default"/>
          <w:pgSz w:w="16838" w:h="11906" w:orient="landscape"/>
          <w:pgMar w:top="720" w:right="720" w:bottom="720" w:left="720" w:header="397" w:footer="850" w:gutter="0"/>
          <w:cols w:space="720" w:num="1"/>
          <w:docGrid w:type="linesAndChars" w:linePitch="584" w:charSpace="-849"/>
        </w:sectPr>
      </w:pPr>
    </w:p>
    <w:p>
      <w:pPr>
        <w:widowControl w:val="0"/>
        <w:spacing w:after="0" w:line="560" w:lineRule="exact"/>
        <w:ind w:left="0" w:firstLine="412" w:firstLineChars="200"/>
        <w:jc w:val="center"/>
        <w:rPr>
          <w:rFonts w:cs="Calibri" w:asciiTheme="minorEastAsia" w:hAnsiTheme="minorEastAsia" w:eastAsiaTheme="minorEastAsia"/>
          <w:b/>
          <w:color w:val="auto"/>
          <w:sz w:val="21"/>
          <w:szCs w:val="24"/>
        </w:rPr>
      </w:pPr>
    </w:p>
    <w:p>
      <w:pPr>
        <w:spacing w:beforeLines="50" w:afterLines="50" w:line="560" w:lineRule="exact"/>
        <w:ind w:hanging="11"/>
        <w:outlineLvl w:val="1"/>
        <w:rPr>
          <w:rFonts w:ascii="宋体" w:hAnsi="宋体" w:eastAsia="宋体" w:cs="Calibri"/>
          <w:b/>
          <w:color w:val="auto"/>
          <w:sz w:val="28"/>
          <w:szCs w:val="24"/>
        </w:rPr>
      </w:pPr>
      <w:bookmarkStart w:id="23" w:name="_Toc80301756"/>
      <w:r>
        <w:rPr>
          <w:rFonts w:ascii="宋体" w:hAnsi="宋体" w:eastAsia="宋体" w:cs="Calibri"/>
          <w:b/>
          <w:color w:val="auto"/>
          <w:sz w:val="28"/>
          <w:szCs w:val="24"/>
        </w:rPr>
        <w:t>3.3</w:t>
      </w:r>
      <w:r>
        <w:rPr>
          <w:rFonts w:hint="eastAsia" w:ascii="宋体" w:hAnsi="宋体" w:eastAsia="宋体" w:cs="Calibri"/>
          <w:b/>
          <w:color w:val="auto"/>
          <w:sz w:val="28"/>
          <w:szCs w:val="24"/>
        </w:rPr>
        <w:t>定期隐患排查</w:t>
      </w:r>
      <w:bookmarkEnd w:id="23"/>
    </w:p>
    <w:p>
      <w:pPr>
        <w:spacing w:line="480" w:lineRule="exact"/>
        <w:ind w:firstLine="480"/>
        <w:rPr>
          <w:rFonts w:ascii="宋体" w:hAnsi="宋体" w:eastAsia="宋体" w:cs="Calibri"/>
          <w:color w:val="auto"/>
          <w:szCs w:val="24"/>
        </w:rPr>
      </w:pPr>
      <w:r>
        <w:rPr>
          <w:rFonts w:hint="eastAsia" w:ascii="宋体" w:hAnsi="宋体" w:eastAsia="宋体" w:cs="Calibri"/>
          <w:color w:val="auto"/>
          <w:szCs w:val="24"/>
        </w:rPr>
        <w:t>收费站定期排查由收费站站长组织，副站长、管理员、电工等参与的涵盖收费站全部生产经营环节、方面的隐患排查活动，收费站定期隐患排查每周一次，排查记录如下表所示：</w:t>
      </w:r>
    </w:p>
    <w:p>
      <w:pPr>
        <w:spacing w:line="480" w:lineRule="exact"/>
        <w:ind w:firstLine="480"/>
        <w:rPr>
          <w:rFonts w:ascii="宋体" w:hAnsi="宋体" w:eastAsia="宋体" w:cs="Calibri"/>
          <w:color w:val="auto"/>
          <w:szCs w:val="24"/>
        </w:rPr>
      </w:pPr>
    </w:p>
    <w:p>
      <w:pPr>
        <w:spacing w:after="0" w:line="240" w:lineRule="auto"/>
        <w:ind w:left="0" w:firstLine="0"/>
        <w:rPr>
          <w:rFonts w:cs="Calibri" w:asciiTheme="minorEastAsia" w:hAnsiTheme="minorEastAsia" w:eastAsiaTheme="minorEastAsia"/>
          <w:color w:val="auto"/>
          <w:szCs w:val="24"/>
        </w:rPr>
      </w:pPr>
      <w:r>
        <w:rPr>
          <w:rFonts w:cs="Calibri" w:asciiTheme="minorEastAsia" w:hAnsiTheme="minorEastAsia" w:eastAsiaTheme="minorEastAsia"/>
          <w:color w:val="auto"/>
          <w:szCs w:val="24"/>
        </w:rPr>
        <w:br w:type="page"/>
      </w:r>
    </w:p>
    <w:p>
      <w:pPr>
        <w:widowControl w:val="0"/>
        <w:spacing w:after="0" w:line="560" w:lineRule="exact"/>
        <w:ind w:left="0" w:firstLine="412" w:firstLineChars="200"/>
        <w:jc w:val="center"/>
        <w:rPr>
          <w:rFonts w:cs="Calibri" w:asciiTheme="minorEastAsia" w:hAnsiTheme="minorEastAsia" w:eastAsiaTheme="minorEastAsia"/>
          <w:b/>
          <w:color w:val="auto"/>
          <w:sz w:val="21"/>
          <w:szCs w:val="24"/>
        </w:rPr>
      </w:pPr>
      <w:r>
        <w:rPr>
          <w:rFonts w:hint="eastAsia" w:cs="Calibri" w:asciiTheme="minorEastAsia" w:hAnsiTheme="minorEastAsia" w:eastAsiaTheme="minorEastAsia"/>
          <w:b/>
          <w:color w:val="auto"/>
          <w:sz w:val="21"/>
          <w:szCs w:val="24"/>
        </w:rPr>
        <w:t>表3-</w:t>
      </w:r>
      <w:r>
        <w:rPr>
          <w:rFonts w:cs="Calibri" w:asciiTheme="minorEastAsia" w:hAnsiTheme="minorEastAsia" w:eastAsiaTheme="minorEastAsia"/>
          <w:b/>
          <w:color w:val="auto"/>
          <w:sz w:val="21"/>
          <w:szCs w:val="24"/>
        </w:rPr>
        <w:t xml:space="preserve">9 </w:t>
      </w:r>
      <w:r>
        <w:rPr>
          <w:rFonts w:hint="eastAsia" w:cs="Calibri" w:asciiTheme="minorEastAsia" w:hAnsiTheme="minorEastAsia" w:eastAsiaTheme="minorEastAsia"/>
          <w:b/>
          <w:color w:val="auto"/>
          <w:sz w:val="21"/>
          <w:szCs w:val="24"/>
        </w:rPr>
        <w:t>每周安全隐患排查记录表</w:t>
      </w:r>
    </w:p>
    <w:tbl>
      <w:tblPr>
        <w:tblStyle w:val="30"/>
        <w:tblW w:w="5005"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291"/>
        <w:gridCol w:w="6522"/>
        <w:gridCol w:w="26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615" w:type="pct"/>
            <w:shd w:val="clear" w:color="auto" w:fill="F2F2F2"/>
            <w:tcMar>
              <w:top w:w="15" w:type="dxa"/>
              <w:left w:w="15" w:type="dxa"/>
              <w:right w:w="15" w:type="dxa"/>
            </w:tcMar>
            <w:vAlign w:val="center"/>
          </w:tcPr>
          <w:p>
            <w:pPr>
              <w:spacing w:beforeLines="20" w:afterLines="20" w:line="320" w:lineRule="exact"/>
              <w:ind w:left="128" w:leftChars="50" w:right="118" w:rightChars="50"/>
              <w:jc w:val="center"/>
              <w:textAlignment w:val="center"/>
              <w:rPr>
                <w:rFonts w:ascii="宋体" w:hAnsi="宋体" w:eastAsia="宋体" w:cs="宋体"/>
                <w:color w:val="auto"/>
                <w:sz w:val="21"/>
                <w:szCs w:val="21"/>
              </w:rPr>
            </w:pPr>
            <w:r>
              <w:rPr>
                <w:rFonts w:hint="eastAsia" w:ascii="宋体" w:hAnsi="宋体" w:eastAsia="宋体" w:cs="宋体"/>
                <w:color w:val="auto"/>
                <w:kern w:val="0"/>
                <w:sz w:val="21"/>
                <w:szCs w:val="21"/>
              </w:rPr>
              <w:t>排查部位/</w:t>
            </w:r>
            <w:r>
              <w:rPr>
                <w:rFonts w:ascii="宋体" w:hAnsi="宋体" w:eastAsia="宋体" w:cs="宋体"/>
                <w:color w:val="auto"/>
                <w:kern w:val="0"/>
                <w:sz w:val="21"/>
                <w:szCs w:val="21"/>
              </w:rPr>
              <w:t>内容</w:t>
            </w:r>
          </w:p>
        </w:tc>
        <w:tc>
          <w:tcPr>
            <w:tcW w:w="3107" w:type="pct"/>
            <w:shd w:val="clear" w:color="auto" w:fill="F2F2F2"/>
            <w:tcMar>
              <w:top w:w="15" w:type="dxa"/>
              <w:left w:w="15" w:type="dxa"/>
              <w:right w:w="15" w:type="dxa"/>
            </w:tcMar>
            <w:vAlign w:val="center"/>
          </w:tcPr>
          <w:p>
            <w:pPr>
              <w:spacing w:beforeLines="20" w:afterLines="20" w:line="320" w:lineRule="exact"/>
              <w:ind w:left="128" w:leftChars="50" w:right="118" w:rightChars="50"/>
              <w:jc w:val="center"/>
              <w:textAlignment w:val="center"/>
              <w:rPr>
                <w:rFonts w:ascii="宋体" w:hAnsi="宋体" w:eastAsia="宋体" w:cs="宋体"/>
                <w:color w:val="auto"/>
                <w:sz w:val="21"/>
                <w:szCs w:val="21"/>
              </w:rPr>
            </w:pPr>
            <w:r>
              <w:rPr>
                <w:rFonts w:hint="eastAsia" w:ascii="宋体" w:hAnsi="宋体" w:eastAsia="宋体" w:cs="宋体"/>
                <w:color w:val="auto"/>
                <w:kern w:val="0"/>
                <w:sz w:val="21"/>
                <w:szCs w:val="21"/>
              </w:rPr>
              <w:t>排查内容</w:t>
            </w:r>
          </w:p>
        </w:tc>
        <w:tc>
          <w:tcPr>
            <w:tcW w:w="1278" w:type="pct"/>
            <w:shd w:val="clear" w:color="auto" w:fill="F2F2F2"/>
            <w:vAlign w:val="center"/>
          </w:tcPr>
          <w:p>
            <w:pPr>
              <w:spacing w:beforeLines="20" w:afterLines="20" w:line="320" w:lineRule="exact"/>
              <w:ind w:left="128" w:leftChars="50" w:right="118" w:rightChars="50"/>
              <w:jc w:val="center"/>
              <w:textAlignment w:val="center"/>
              <w:rPr>
                <w:rFonts w:ascii="宋体" w:hAnsi="宋体" w:eastAsia="宋体" w:cs="宋体"/>
                <w:color w:val="auto"/>
                <w:kern w:val="0"/>
                <w:sz w:val="21"/>
                <w:szCs w:val="21"/>
              </w:rPr>
            </w:pPr>
            <w:r>
              <w:rPr>
                <w:rFonts w:hint="eastAsia" w:ascii="宋体" w:hAnsi="宋体" w:eastAsia="宋体" w:cs="宋体"/>
                <w:color w:val="auto"/>
                <w:kern w:val="0"/>
                <w:sz w:val="21"/>
                <w:szCs w:val="21"/>
              </w:rPr>
              <w:t>排查结果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15" w:type="pct"/>
            <w:tcBorders>
              <w:top w:val="single" w:color="auto" w:sz="4" w:space="0"/>
            </w:tcBorders>
            <w:tcMar>
              <w:top w:w="15" w:type="dxa"/>
              <w:left w:w="15" w:type="dxa"/>
              <w:right w:w="15" w:type="dxa"/>
            </w:tcMar>
            <w:vAlign w:val="center"/>
          </w:tcPr>
          <w:p>
            <w:pPr>
              <w:spacing w:beforeLines="20" w:afterLines="20" w:line="320" w:lineRule="exact"/>
              <w:ind w:left="128" w:leftChars="50" w:right="118" w:rightChars="50"/>
              <w:textAlignment w:val="center"/>
              <w:rPr>
                <w:rFonts w:ascii="宋体" w:hAnsi="宋体" w:eastAsia="宋体" w:cs="宋体"/>
                <w:color w:val="auto"/>
                <w:sz w:val="21"/>
                <w:szCs w:val="21"/>
              </w:rPr>
            </w:pPr>
            <w:r>
              <w:rPr>
                <w:rFonts w:hint="eastAsia" w:ascii="宋体" w:hAnsi="宋体" w:eastAsia="宋体" w:cs="宋体"/>
                <w:color w:val="auto"/>
                <w:kern w:val="0"/>
                <w:sz w:val="21"/>
                <w:szCs w:val="21"/>
              </w:rPr>
              <w:t>交通安全</w:t>
            </w:r>
          </w:p>
        </w:tc>
        <w:tc>
          <w:tcPr>
            <w:tcW w:w="3107" w:type="pct"/>
            <w:tcMar>
              <w:top w:w="15" w:type="dxa"/>
              <w:left w:w="15" w:type="dxa"/>
              <w:right w:w="15" w:type="dxa"/>
            </w:tcMar>
            <w:vAlign w:val="center"/>
          </w:tcPr>
          <w:p>
            <w:pPr>
              <w:pStyle w:val="301"/>
              <w:numPr>
                <w:ilvl w:val="0"/>
                <w:numId w:val="6"/>
              </w:numPr>
              <w:spacing w:beforeLines="20" w:afterLines="20" w:line="320" w:lineRule="exact"/>
              <w:ind w:right="118" w:rightChars="50" w:firstLineChars="0"/>
              <w:textAlignment w:val="center"/>
              <w:rPr>
                <w:rFonts w:cs="宋体" w:asciiTheme="minorEastAsia" w:hAnsiTheme="minorEastAsia" w:eastAsiaTheme="minorEastAsia"/>
                <w:color w:val="auto"/>
                <w:kern w:val="0"/>
                <w:sz w:val="21"/>
                <w:szCs w:val="21"/>
              </w:rPr>
            </w:pPr>
            <w:r>
              <w:rPr>
                <w:rFonts w:cs="宋体" w:asciiTheme="minorEastAsia" w:hAnsiTheme="minorEastAsia" w:eastAsiaTheme="minorEastAsia"/>
                <w:color w:val="auto"/>
                <w:kern w:val="0"/>
                <w:sz w:val="21"/>
                <w:szCs w:val="21"/>
              </w:rPr>
              <w:t>收费</w:t>
            </w:r>
            <w:r>
              <w:rPr>
                <w:rFonts w:hint="eastAsia" w:cs="宋体" w:asciiTheme="minorEastAsia" w:hAnsiTheme="minorEastAsia" w:eastAsiaTheme="minorEastAsia"/>
                <w:color w:val="auto"/>
                <w:kern w:val="0"/>
                <w:sz w:val="21"/>
                <w:szCs w:val="21"/>
              </w:rPr>
              <w:t>广场照明灯具、车道指示灯、信号灯、栏杆机等功能正常。</w:t>
            </w:r>
          </w:p>
          <w:p>
            <w:pPr>
              <w:pStyle w:val="301"/>
              <w:numPr>
                <w:ilvl w:val="0"/>
                <w:numId w:val="6"/>
              </w:numPr>
              <w:spacing w:beforeLines="20" w:afterLines="20" w:line="320" w:lineRule="exact"/>
              <w:ind w:right="118" w:rightChars="50" w:firstLineChars="0"/>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车道路面、标志、减速带、标线、防撞杆、岛头设施等完好。</w:t>
            </w:r>
          </w:p>
          <w:p>
            <w:pPr>
              <w:pStyle w:val="301"/>
              <w:numPr>
                <w:ilvl w:val="0"/>
                <w:numId w:val="6"/>
              </w:numPr>
              <w:spacing w:beforeLines="20" w:afterLines="20" w:line="320" w:lineRule="exact"/>
              <w:ind w:right="118" w:rightChars="50" w:firstLineChars="0"/>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院内路面、设施良好，公务车辆按规范停放与使用、维保。</w:t>
            </w:r>
          </w:p>
          <w:p>
            <w:pPr>
              <w:pStyle w:val="301"/>
              <w:numPr>
                <w:ilvl w:val="0"/>
                <w:numId w:val="6"/>
              </w:numPr>
              <w:spacing w:beforeLines="20" w:afterLines="20" w:line="320" w:lineRule="exact"/>
              <w:ind w:right="118" w:rightChars="50" w:firstLineChars="0"/>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收费人员穿戴反光服，穿越车道时一停二看三通过。</w:t>
            </w:r>
          </w:p>
        </w:tc>
        <w:tc>
          <w:tcPr>
            <w:tcW w:w="1278" w:type="pct"/>
            <w:vMerge w:val="restart"/>
            <w:vAlign w:val="center"/>
          </w:tcPr>
          <w:p>
            <w:pPr>
              <w:spacing w:beforeLines="20" w:afterLines="20" w:line="320" w:lineRule="exact"/>
              <w:ind w:left="128" w:leftChars="50" w:right="118" w:rightChars="50"/>
              <w:textAlignment w:val="center"/>
              <w:rPr>
                <w:rFonts w:hint="eastAsia" w:ascii="宋体" w:hAnsi="宋体" w:eastAsia="仿宋" w:cs="宋体"/>
                <w:color w:val="auto"/>
                <w:kern w:val="0"/>
                <w:szCs w:val="21"/>
                <w:lang w:eastAsia="zh-CN"/>
              </w:rPr>
            </w:pPr>
            <w:r>
              <w:rPr>
                <w:rFonts w:hint="eastAsia" w:ascii="宋体" w:hAnsi="宋体" w:cs="宋体"/>
                <w:color w:val="auto"/>
                <w:kern w:val="0"/>
                <w:szCs w:val="21"/>
              </w:rPr>
              <w:t>正常 □</w:t>
            </w:r>
          </w:p>
          <w:p>
            <w:pPr>
              <w:spacing w:beforeLines="20" w:afterLines="20" w:line="320" w:lineRule="exact"/>
              <w:ind w:left="128" w:leftChars="50" w:right="118" w:rightChars="50"/>
              <w:textAlignment w:val="center"/>
              <w:rPr>
                <w:rFonts w:hint="eastAsia" w:ascii="宋体" w:hAnsi="宋体" w:eastAsia="仿宋" w:cs="宋体"/>
                <w:color w:val="auto"/>
                <w:kern w:val="0"/>
                <w:szCs w:val="21"/>
                <w:lang w:eastAsia="zh-CN"/>
              </w:rPr>
            </w:pPr>
          </w:p>
          <w:p>
            <w:pPr>
              <w:spacing w:beforeLines="20" w:afterLines="20" w:line="320" w:lineRule="exact"/>
              <w:ind w:left="128" w:leftChars="50" w:right="118" w:rightChars="50"/>
              <w:textAlignment w:val="center"/>
              <w:rPr>
                <w:rFonts w:hint="eastAsia" w:ascii="宋体" w:hAnsi="宋体" w:eastAsia="仿宋" w:cs="宋体"/>
                <w:color w:val="auto"/>
                <w:kern w:val="0"/>
                <w:szCs w:val="21"/>
                <w:lang w:eastAsia="zh-CN"/>
              </w:rPr>
            </w:pPr>
            <w:r>
              <w:rPr>
                <w:rFonts w:hint="eastAsia" w:ascii="宋体" w:hAnsi="宋体" w:cs="宋体"/>
                <w:color w:val="auto"/>
                <w:kern w:val="0"/>
                <w:szCs w:val="21"/>
              </w:rPr>
              <w:t>异常 □</w:t>
            </w:r>
          </w:p>
          <w:p>
            <w:pPr>
              <w:spacing w:beforeLines="20" w:afterLines="20" w:line="320" w:lineRule="exact"/>
              <w:ind w:left="128" w:leftChars="50" w:right="118" w:rightChars="50"/>
              <w:textAlignment w:val="center"/>
              <w:rPr>
                <w:rFonts w:hint="eastAsia" w:ascii="宋体" w:hAnsi="宋体" w:eastAsia="仿宋" w:cs="宋体"/>
                <w:color w:val="auto"/>
                <w:kern w:val="0"/>
                <w:szCs w:val="21"/>
                <w:lang w:eastAsia="zh-CN"/>
              </w:rPr>
            </w:pPr>
          </w:p>
          <w:p>
            <w:pPr>
              <w:spacing w:beforeLines="20" w:afterLines="20" w:line="320" w:lineRule="exact"/>
              <w:ind w:left="128" w:leftChars="50" w:right="118" w:rightChars="50"/>
              <w:textAlignment w:val="center"/>
              <w:rPr>
                <w:rFonts w:hint="eastAsia" w:ascii="宋体" w:hAnsi="宋体" w:eastAsia="仿宋" w:cs="宋体"/>
                <w:color w:val="auto"/>
                <w:kern w:val="0"/>
                <w:szCs w:val="21"/>
                <w:lang w:eastAsia="zh-CN"/>
              </w:rPr>
            </w:pPr>
            <w:r>
              <w:rPr>
                <w:rFonts w:hint="eastAsia" w:ascii="宋体" w:hAnsi="宋体" w:cs="宋体"/>
                <w:color w:val="auto"/>
                <w:kern w:val="0"/>
                <w:szCs w:val="21"/>
              </w:rPr>
              <w:t>问题：</w:t>
            </w:r>
          </w:p>
          <w:p>
            <w:pPr>
              <w:spacing w:beforeLines="20" w:afterLines="20" w:line="320" w:lineRule="exact"/>
              <w:ind w:left="128" w:leftChars="50" w:right="118" w:rightChars="50"/>
              <w:textAlignment w:val="center"/>
              <w:rPr>
                <w:rFonts w:hint="eastAsia" w:ascii="宋体" w:hAnsi="宋体" w:eastAsia="仿宋" w:cs="宋体"/>
                <w:color w:val="auto"/>
                <w:kern w:val="0"/>
                <w:szCs w:val="21"/>
                <w:lang w:eastAsia="zh-CN"/>
              </w:rPr>
            </w:pPr>
          </w:p>
          <w:p>
            <w:pPr>
              <w:spacing w:beforeLines="20" w:afterLines="20" w:line="320" w:lineRule="exact"/>
              <w:ind w:left="128" w:leftChars="50" w:right="118" w:rightChars="50"/>
              <w:textAlignment w:val="center"/>
              <w:rPr>
                <w:rFonts w:hint="eastAsia" w:ascii="宋体" w:hAnsi="宋体" w:eastAsia="仿宋" w:cs="宋体"/>
                <w:color w:val="auto"/>
                <w:kern w:val="0"/>
                <w:szCs w:val="21"/>
                <w:lang w:eastAsia="zh-CN"/>
              </w:rPr>
            </w:pPr>
          </w:p>
          <w:p>
            <w:pPr>
              <w:spacing w:beforeLines="20" w:afterLines="20" w:line="320" w:lineRule="exact"/>
              <w:ind w:left="128" w:leftChars="50" w:right="118" w:rightChars="50"/>
              <w:textAlignment w:val="center"/>
              <w:rPr>
                <w:rFonts w:ascii="宋体" w:hAnsi="宋体" w:cs="宋体"/>
                <w:color w:val="auto"/>
                <w:kern w:val="0"/>
                <w:szCs w:val="21"/>
              </w:rPr>
            </w:pPr>
          </w:p>
          <w:p>
            <w:pPr>
              <w:spacing w:beforeLines="20" w:afterLines="20" w:line="320" w:lineRule="exact"/>
              <w:ind w:left="128" w:leftChars="50" w:right="118" w:rightChars="50"/>
              <w:textAlignment w:val="center"/>
              <w:rPr>
                <w:rFonts w:hint="eastAsia" w:ascii="宋体" w:hAnsi="宋体" w:eastAsia="仿宋" w:cs="宋体"/>
                <w:color w:val="auto"/>
                <w:kern w:val="0"/>
                <w:szCs w:val="21"/>
                <w:lang w:eastAsia="zh-CN"/>
              </w:rPr>
            </w:pPr>
          </w:p>
          <w:p>
            <w:pPr>
              <w:spacing w:beforeLines="20" w:afterLines="20" w:line="320" w:lineRule="exact"/>
              <w:ind w:left="128" w:leftChars="50" w:right="118" w:rightChars="50"/>
              <w:textAlignment w:val="center"/>
              <w:rPr>
                <w:rFonts w:hint="eastAsia" w:ascii="宋体" w:hAnsi="宋体" w:eastAsia="仿宋" w:cs="宋体"/>
                <w:color w:val="auto"/>
                <w:kern w:val="0"/>
                <w:szCs w:val="21"/>
                <w:lang w:eastAsia="zh-CN"/>
              </w:rPr>
            </w:pPr>
          </w:p>
          <w:p>
            <w:pPr>
              <w:spacing w:beforeLines="20" w:afterLines="20" w:line="320" w:lineRule="exact"/>
              <w:ind w:left="128" w:leftChars="50" w:right="118" w:rightChars="50"/>
              <w:textAlignment w:val="center"/>
              <w:rPr>
                <w:rFonts w:hint="eastAsia" w:ascii="宋体" w:hAnsi="宋体" w:eastAsia="仿宋" w:cs="宋体"/>
                <w:color w:val="auto"/>
                <w:kern w:val="0"/>
                <w:szCs w:val="21"/>
                <w:lang w:eastAsia="zh-CN"/>
              </w:rPr>
            </w:pPr>
          </w:p>
          <w:p>
            <w:pPr>
              <w:spacing w:beforeLines="20" w:afterLines="20" w:line="320" w:lineRule="exact"/>
              <w:ind w:left="128" w:leftChars="50" w:right="118" w:rightChars="50"/>
              <w:textAlignment w:val="center"/>
              <w:rPr>
                <w:rFonts w:hint="eastAsia" w:ascii="宋体" w:hAnsi="宋体" w:eastAsia="仿宋" w:cs="宋体"/>
                <w:color w:val="auto"/>
                <w:kern w:val="0"/>
                <w:szCs w:val="21"/>
                <w:lang w:eastAsia="zh-CN"/>
              </w:rPr>
            </w:pPr>
          </w:p>
          <w:p>
            <w:pPr>
              <w:spacing w:beforeLines="20" w:afterLines="20" w:line="320" w:lineRule="exact"/>
              <w:ind w:left="128" w:leftChars="50" w:right="118" w:rightChars="50"/>
              <w:textAlignment w:val="center"/>
              <w:rPr>
                <w:rFonts w:hint="eastAsia" w:ascii="宋体" w:hAnsi="宋体" w:eastAsia="仿宋" w:cs="宋体"/>
                <w:color w:val="auto"/>
                <w:kern w:val="0"/>
                <w:szCs w:val="21"/>
                <w:lang w:eastAsia="zh-CN"/>
              </w:rPr>
            </w:pPr>
          </w:p>
          <w:p>
            <w:pPr>
              <w:spacing w:beforeLines="20" w:afterLines="20" w:line="320" w:lineRule="exact"/>
              <w:ind w:left="128" w:leftChars="50" w:right="118" w:rightChars="50"/>
              <w:textAlignment w:val="center"/>
              <w:rPr>
                <w:rFonts w:hint="eastAsia" w:ascii="宋体" w:hAnsi="宋体" w:eastAsia="仿宋" w:cs="宋体"/>
                <w:color w:val="auto"/>
                <w:kern w:val="0"/>
                <w:szCs w:val="21"/>
                <w:lang w:eastAsia="zh-CN"/>
              </w:rPr>
            </w:pPr>
          </w:p>
          <w:p>
            <w:pPr>
              <w:spacing w:beforeLines="20" w:afterLines="20" w:line="320" w:lineRule="exact"/>
              <w:ind w:left="128" w:leftChars="50" w:right="118" w:rightChars="50"/>
              <w:textAlignment w:val="center"/>
              <w:rPr>
                <w:rFonts w:hint="eastAsia" w:ascii="宋体" w:hAnsi="宋体" w:eastAsia="仿宋" w:cs="宋体"/>
                <w:color w:val="auto"/>
                <w:kern w:val="0"/>
                <w:szCs w:val="21"/>
                <w:lang w:eastAsia="zh-CN"/>
              </w:rPr>
            </w:pPr>
          </w:p>
          <w:p>
            <w:pPr>
              <w:spacing w:beforeLines="20" w:afterLines="20" w:line="320" w:lineRule="exact"/>
              <w:ind w:left="128" w:leftChars="50" w:right="118" w:rightChars="50"/>
              <w:textAlignment w:val="center"/>
              <w:rPr>
                <w:rFonts w:hint="eastAsia" w:ascii="宋体" w:hAnsi="宋体" w:eastAsia="仿宋" w:cs="宋体"/>
                <w:color w:val="auto"/>
                <w:kern w:val="0"/>
                <w:szCs w:val="21"/>
                <w:lang w:eastAsia="zh-CN"/>
              </w:rPr>
            </w:pPr>
          </w:p>
          <w:p>
            <w:pPr>
              <w:spacing w:beforeLines="20" w:afterLines="20" w:line="320" w:lineRule="exact"/>
              <w:ind w:left="128" w:leftChars="50" w:right="118" w:rightChars="50"/>
              <w:textAlignment w:val="center"/>
              <w:rPr>
                <w:rFonts w:hint="eastAsia" w:ascii="宋体" w:hAnsi="宋体" w:eastAsia="仿宋" w:cs="宋体"/>
                <w:color w:val="auto"/>
                <w:kern w:val="0"/>
                <w:szCs w:val="21"/>
                <w:lang w:eastAsia="zh-CN"/>
              </w:rPr>
            </w:pPr>
          </w:p>
          <w:p>
            <w:pPr>
              <w:spacing w:beforeLines="20" w:afterLines="20" w:line="320" w:lineRule="exact"/>
              <w:ind w:left="128" w:leftChars="50" w:right="118" w:rightChars="50"/>
              <w:textAlignment w:val="center"/>
              <w:rPr>
                <w:rFonts w:hint="eastAsia" w:ascii="宋体" w:hAnsi="宋体" w:eastAsia="仿宋" w:cs="宋体"/>
                <w:color w:val="auto"/>
                <w:kern w:val="0"/>
                <w:szCs w:val="21"/>
                <w:lang w:eastAsia="zh-CN"/>
              </w:rPr>
            </w:pPr>
          </w:p>
          <w:p>
            <w:pPr>
              <w:spacing w:beforeLines="20" w:afterLines="20" w:line="320" w:lineRule="exact"/>
              <w:ind w:left="128" w:leftChars="50" w:right="118" w:rightChars="50"/>
              <w:textAlignment w:val="center"/>
              <w:rPr>
                <w:rFonts w:hint="eastAsia" w:ascii="宋体" w:hAnsi="宋体" w:eastAsia="仿宋" w:cs="宋体"/>
                <w:color w:val="auto"/>
                <w:kern w:val="0"/>
                <w:szCs w:val="21"/>
                <w:lang w:eastAsia="zh-CN"/>
              </w:rPr>
            </w:pPr>
          </w:p>
          <w:p>
            <w:pPr>
              <w:spacing w:beforeLines="20" w:afterLines="20" w:line="320" w:lineRule="exact"/>
              <w:ind w:left="128" w:leftChars="50" w:right="118" w:rightChars="50"/>
              <w:textAlignment w:val="center"/>
              <w:rPr>
                <w:rFonts w:hint="eastAsia" w:ascii="宋体" w:hAnsi="宋体" w:eastAsia="仿宋" w:cs="宋体"/>
                <w:color w:val="auto"/>
                <w:kern w:val="0"/>
                <w:szCs w:val="21"/>
                <w:lang w:eastAsia="zh-CN"/>
              </w:rPr>
            </w:pPr>
          </w:p>
          <w:p>
            <w:pPr>
              <w:spacing w:beforeLines="20" w:afterLines="20" w:line="320" w:lineRule="exact"/>
              <w:ind w:left="128" w:leftChars="50" w:right="118" w:rightChars="50"/>
              <w:textAlignment w:val="center"/>
              <w:rPr>
                <w:rFonts w:hint="eastAsia" w:ascii="宋体" w:hAnsi="宋体" w:eastAsia="仿宋" w:cs="宋体"/>
                <w:color w:val="auto"/>
                <w:kern w:val="0"/>
                <w:szCs w:val="21"/>
                <w:lang w:eastAsia="zh-CN"/>
              </w:rPr>
            </w:pPr>
            <w:r>
              <w:rPr>
                <w:rFonts w:hint="eastAsia" w:ascii="宋体" w:hAnsi="宋体" w:cs="宋体"/>
                <w:color w:val="auto"/>
                <w:kern w:val="0"/>
                <w:szCs w:val="21"/>
              </w:rPr>
              <w:t>排查人：</w:t>
            </w:r>
          </w:p>
          <w:p>
            <w:pPr>
              <w:spacing w:beforeLines="20" w:afterLines="20" w:line="320" w:lineRule="exact"/>
              <w:ind w:left="128" w:leftChars="50" w:right="118" w:rightChars="50"/>
              <w:textAlignment w:val="center"/>
              <w:rPr>
                <w:rFonts w:hint="eastAsia" w:ascii="宋体" w:hAnsi="宋体" w:eastAsia="仿宋" w:cs="宋体"/>
                <w:color w:val="auto"/>
                <w:kern w:val="0"/>
                <w:szCs w:val="21"/>
                <w:lang w:eastAsia="zh-CN"/>
              </w:rPr>
            </w:pPr>
          </w:p>
          <w:p>
            <w:pPr>
              <w:spacing w:beforeLines="20" w:afterLines="20" w:line="320" w:lineRule="exact"/>
              <w:ind w:left="128" w:leftChars="50" w:right="118" w:rightChars="50"/>
              <w:textAlignment w:val="center"/>
              <w:rPr>
                <w:rFonts w:cs="宋体" w:asciiTheme="minorEastAsia" w:hAnsiTheme="minorEastAsia" w:eastAsiaTheme="minorEastAsia"/>
                <w:color w:val="auto"/>
                <w:kern w:val="0"/>
                <w:sz w:val="21"/>
                <w:szCs w:val="21"/>
              </w:rPr>
            </w:pPr>
            <w:r>
              <w:rPr>
                <w:rFonts w:hint="eastAsia" w:ascii="宋体" w:hAnsi="宋体" w:cs="宋体"/>
                <w:color w:val="auto"/>
                <w:kern w:val="0"/>
                <w:szCs w:val="21"/>
              </w:rPr>
              <w:t>排查日期：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15" w:type="pct"/>
            <w:tcMar>
              <w:top w:w="15" w:type="dxa"/>
              <w:left w:w="15" w:type="dxa"/>
              <w:right w:w="15" w:type="dxa"/>
            </w:tcMar>
            <w:vAlign w:val="center"/>
          </w:tcPr>
          <w:p>
            <w:pPr>
              <w:spacing w:beforeLines="20" w:afterLines="20" w:line="320" w:lineRule="exact"/>
              <w:ind w:left="128" w:leftChars="50" w:right="118" w:rightChars="50"/>
              <w:textAlignment w:val="center"/>
              <w:rPr>
                <w:rFonts w:ascii="宋体" w:hAnsi="宋体" w:eastAsia="宋体" w:cs="宋体"/>
                <w:color w:val="auto"/>
                <w:sz w:val="21"/>
                <w:szCs w:val="21"/>
              </w:rPr>
            </w:pPr>
            <w:r>
              <w:rPr>
                <w:rFonts w:ascii="宋体" w:hAnsi="宋体" w:eastAsia="宋体" w:cs="宋体"/>
                <w:color w:val="auto"/>
                <w:sz w:val="21"/>
                <w:szCs w:val="21"/>
              </w:rPr>
              <w:t>消防安全</w:t>
            </w:r>
          </w:p>
        </w:tc>
        <w:tc>
          <w:tcPr>
            <w:tcW w:w="3107" w:type="pct"/>
            <w:tcMar>
              <w:top w:w="15" w:type="dxa"/>
              <w:left w:w="15" w:type="dxa"/>
              <w:right w:w="15" w:type="dxa"/>
            </w:tcMar>
            <w:vAlign w:val="center"/>
          </w:tcPr>
          <w:p>
            <w:pPr>
              <w:pStyle w:val="301"/>
              <w:numPr>
                <w:ilvl w:val="0"/>
                <w:numId w:val="7"/>
              </w:numPr>
              <w:spacing w:beforeLines="20" w:afterLines="20" w:line="320" w:lineRule="exact"/>
              <w:ind w:right="118" w:rightChars="50" w:firstLineChars="0"/>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安全出口、疏散通道畅通。</w:t>
            </w:r>
          </w:p>
          <w:p>
            <w:pPr>
              <w:pStyle w:val="301"/>
              <w:numPr>
                <w:ilvl w:val="0"/>
                <w:numId w:val="7"/>
              </w:numPr>
              <w:spacing w:beforeLines="20" w:afterLines="20" w:line="320" w:lineRule="exact"/>
              <w:ind w:left="118" w:leftChars="50" w:right="118" w:rightChars="50" w:firstLineChars="0"/>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安全疏散指示、应急照明齐全有效。</w:t>
            </w:r>
          </w:p>
          <w:p>
            <w:pPr>
              <w:pStyle w:val="301"/>
              <w:numPr>
                <w:ilvl w:val="0"/>
                <w:numId w:val="7"/>
              </w:numPr>
              <w:spacing w:beforeLines="20" w:afterLines="20" w:line="320" w:lineRule="exact"/>
              <w:ind w:left="118" w:leftChars="50" w:right="118" w:rightChars="50" w:firstLineChars="0"/>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消火栓外观、箱体开启正常，水带、水枪齐全完好，无破损、锈蚀、漏水等现象，消火栓试水正常。</w:t>
            </w:r>
          </w:p>
          <w:p>
            <w:pPr>
              <w:pStyle w:val="301"/>
              <w:numPr>
                <w:ilvl w:val="0"/>
                <w:numId w:val="7"/>
              </w:numPr>
              <w:spacing w:beforeLines="20" w:afterLines="20" w:line="320" w:lineRule="exact"/>
              <w:ind w:left="118" w:leftChars="50" w:right="118" w:rightChars="50" w:firstLineChars="0"/>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消防泵使用功能正常。</w:t>
            </w:r>
          </w:p>
          <w:p>
            <w:pPr>
              <w:pStyle w:val="301"/>
              <w:numPr>
                <w:ilvl w:val="0"/>
                <w:numId w:val="7"/>
              </w:numPr>
              <w:spacing w:beforeLines="20" w:afterLines="20" w:line="320" w:lineRule="exact"/>
              <w:ind w:left="118" w:leftChars="50" w:right="118" w:rightChars="50" w:firstLineChars="0"/>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灭火器位置正确、配置齐全，外观及压力正常。</w:t>
            </w:r>
          </w:p>
          <w:p>
            <w:pPr>
              <w:pStyle w:val="301"/>
              <w:numPr>
                <w:ilvl w:val="0"/>
                <w:numId w:val="7"/>
              </w:numPr>
              <w:spacing w:beforeLines="20" w:afterLines="20" w:line="320" w:lineRule="exact"/>
              <w:ind w:left="118" w:leftChars="50" w:right="118" w:rightChars="50" w:firstLineChars="0"/>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无违章动火、违章存放易燃易爆物、私拉乱接、违规使用大功率电气等现象。</w:t>
            </w:r>
          </w:p>
          <w:p>
            <w:pPr>
              <w:pStyle w:val="301"/>
              <w:numPr>
                <w:ilvl w:val="0"/>
                <w:numId w:val="7"/>
              </w:numPr>
              <w:spacing w:beforeLines="20" w:afterLines="20" w:line="320" w:lineRule="exact"/>
              <w:ind w:left="118" w:leftChars="50" w:right="118" w:rightChars="50" w:firstLineChars="0"/>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易燃易爆区域防火管理、消防设施、通风、照明等正常。</w:t>
            </w:r>
          </w:p>
        </w:tc>
        <w:tc>
          <w:tcPr>
            <w:tcW w:w="1278" w:type="pct"/>
            <w:vMerge w:val="continue"/>
            <w:vAlign w:val="center"/>
          </w:tcPr>
          <w:p>
            <w:pPr>
              <w:spacing w:beforeLines="20" w:afterLines="20" w:line="320" w:lineRule="exact"/>
              <w:ind w:left="128" w:leftChars="50" w:right="118" w:rightChars="50"/>
              <w:textAlignment w:val="center"/>
              <w:rPr>
                <w:rFonts w:cs="宋体" w:asciiTheme="minorEastAsia" w:hAnsiTheme="minorEastAsia" w:eastAsiaTheme="minorEastAsia"/>
                <w:color w:val="auto"/>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15" w:type="pct"/>
            <w:tcMar>
              <w:top w:w="15" w:type="dxa"/>
              <w:left w:w="15" w:type="dxa"/>
              <w:right w:w="15" w:type="dxa"/>
            </w:tcMar>
            <w:vAlign w:val="center"/>
          </w:tcPr>
          <w:p>
            <w:pPr>
              <w:spacing w:beforeLines="20" w:afterLines="20" w:line="320" w:lineRule="exact"/>
              <w:ind w:left="128" w:leftChars="50" w:right="118" w:rightChars="50"/>
              <w:textAlignment w:val="center"/>
              <w:rPr>
                <w:rFonts w:ascii="宋体" w:hAnsi="宋体" w:eastAsia="宋体" w:cs="宋体"/>
                <w:color w:val="auto"/>
                <w:sz w:val="21"/>
                <w:szCs w:val="21"/>
              </w:rPr>
            </w:pPr>
            <w:r>
              <w:rPr>
                <w:rFonts w:ascii="宋体" w:hAnsi="宋体" w:eastAsia="宋体" w:cs="宋体"/>
                <w:color w:val="auto"/>
                <w:sz w:val="21"/>
                <w:szCs w:val="21"/>
              </w:rPr>
              <w:t>电气安全</w:t>
            </w:r>
          </w:p>
        </w:tc>
        <w:tc>
          <w:tcPr>
            <w:tcW w:w="3107" w:type="pct"/>
            <w:tcMar>
              <w:top w:w="15" w:type="dxa"/>
              <w:left w:w="15" w:type="dxa"/>
              <w:right w:w="15" w:type="dxa"/>
            </w:tcMar>
            <w:vAlign w:val="center"/>
          </w:tcPr>
          <w:p>
            <w:pPr>
              <w:pStyle w:val="301"/>
              <w:numPr>
                <w:ilvl w:val="0"/>
                <w:numId w:val="8"/>
              </w:numPr>
              <w:spacing w:beforeLines="20" w:afterLines="20" w:line="320" w:lineRule="exact"/>
              <w:ind w:right="118" w:rightChars="50" w:firstLineChars="0"/>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电气设备及线路无老化、裸露，故障、过热、泡浸、压砸等现象。</w:t>
            </w:r>
          </w:p>
          <w:p>
            <w:pPr>
              <w:pStyle w:val="301"/>
              <w:numPr>
                <w:ilvl w:val="0"/>
                <w:numId w:val="8"/>
              </w:numPr>
              <w:spacing w:beforeLines="20" w:afterLines="20" w:line="320" w:lineRule="exact"/>
              <w:ind w:right="118" w:rightChars="50" w:firstLineChars="0"/>
              <w:textAlignment w:val="center"/>
              <w:rPr>
                <w:rFonts w:cs="宋体" w:asciiTheme="minorEastAsia" w:hAnsiTheme="minorEastAsia" w:eastAsiaTheme="minorEastAsia"/>
                <w:color w:val="auto"/>
                <w:kern w:val="0"/>
                <w:sz w:val="21"/>
                <w:szCs w:val="21"/>
              </w:rPr>
            </w:pPr>
            <w:r>
              <w:rPr>
                <w:rFonts w:cs="宋体" w:asciiTheme="minorEastAsia" w:hAnsiTheme="minorEastAsia" w:eastAsiaTheme="minorEastAsia"/>
                <w:color w:val="auto"/>
                <w:kern w:val="0"/>
                <w:sz w:val="21"/>
                <w:szCs w:val="21"/>
              </w:rPr>
              <w:t>无私拉乱接</w:t>
            </w:r>
            <w:r>
              <w:rPr>
                <w:rFonts w:hint="eastAsia" w:cs="宋体" w:asciiTheme="minorEastAsia" w:hAnsiTheme="minorEastAsia" w:eastAsiaTheme="minorEastAsia"/>
                <w:color w:val="auto"/>
                <w:kern w:val="0"/>
                <w:sz w:val="21"/>
                <w:szCs w:val="21"/>
              </w:rPr>
              <w:t>、</w:t>
            </w:r>
            <w:r>
              <w:rPr>
                <w:rFonts w:cs="宋体" w:asciiTheme="minorEastAsia" w:hAnsiTheme="minorEastAsia" w:eastAsiaTheme="minorEastAsia"/>
                <w:color w:val="auto"/>
                <w:kern w:val="0"/>
                <w:sz w:val="21"/>
                <w:szCs w:val="21"/>
              </w:rPr>
              <w:t>超负荷用电现象</w:t>
            </w:r>
            <w:r>
              <w:rPr>
                <w:rFonts w:hint="eastAsia" w:cs="宋体" w:asciiTheme="minorEastAsia" w:hAnsiTheme="minorEastAsia" w:eastAsiaTheme="minorEastAsia"/>
                <w:color w:val="auto"/>
                <w:kern w:val="0"/>
                <w:sz w:val="21"/>
                <w:szCs w:val="21"/>
              </w:rPr>
              <w:t>，使用合格的插座。</w:t>
            </w:r>
          </w:p>
          <w:p>
            <w:pPr>
              <w:pStyle w:val="301"/>
              <w:numPr>
                <w:ilvl w:val="0"/>
                <w:numId w:val="8"/>
              </w:numPr>
              <w:spacing w:beforeLines="20" w:afterLines="20" w:line="320" w:lineRule="exact"/>
              <w:ind w:right="118" w:rightChars="50" w:firstLineChars="0"/>
              <w:textAlignment w:val="center"/>
              <w:rPr>
                <w:rFonts w:cs="宋体" w:asciiTheme="minorEastAsia" w:hAnsiTheme="minorEastAsia" w:eastAsiaTheme="minorEastAsia"/>
                <w:color w:val="auto"/>
                <w:kern w:val="0"/>
                <w:sz w:val="21"/>
                <w:szCs w:val="21"/>
              </w:rPr>
            </w:pPr>
            <w:r>
              <w:rPr>
                <w:rFonts w:cs="宋体" w:asciiTheme="minorEastAsia" w:hAnsiTheme="minorEastAsia" w:eastAsiaTheme="minorEastAsia"/>
                <w:color w:val="auto"/>
                <w:kern w:val="0"/>
                <w:sz w:val="21"/>
                <w:szCs w:val="21"/>
              </w:rPr>
              <w:t>变配电设备柜门</w:t>
            </w:r>
            <w:r>
              <w:rPr>
                <w:rFonts w:hint="eastAsia" w:cs="宋体" w:asciiTheme="minorEastAsia" w:hAnsiTheme="minorEastAsia" w:eastAsiaTheme="minorEastAsia"/>
                <w:color w:val="auto"/>
                <w:kern w:val="0"/>
                <w:sz w:val="21"/>
                <w:szCs w:val="21"/>
              </w:rPr>
              <w:t>齐全、接地良好。</w:t>
            </w:r>
          </w:p>
        </w:tc>
        <w:tc>
          <w:tcPr>
            <w:tcW w:w="1278" w:type="pct"/>
            <w:vMerge w:val="continue"/>
            <w:vAlign w:val="center"/>
          </w:tcPr>
          <w:p>
            <w:pPr>
              <w:spacing w:beforeLines="20" w:afterLines="20" w:line="320" w:lineRule="exact"/>
              <w:ind w:left="128" w:leftChars="50" w:right="118" w:rightChars="50"/>
              <w:textAlignment w:val="center"/>
              <w:rPr>
                <w:rFonts w:cs="宋体" w:asciiTheme="minorEastAsia" w:hAnsiTheme="minorEastAsia" w:eastAsiaTheme="minorEastAsia"/>
                <w:color w:val="auto"/>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15" w:type="pct"/>
            <w:tcMar>
              <w:top w:w="15" w:type="dxa"/>
              <w:left w:w="15" w:type="dxa"/>
              <w:right w:w="15" w:type="dxa"/>
            </w:tcMar>
            <w:vAlign w:val="center"/>
          </w:tcPr>
          <w:p>
            <w:pPr>
              <w:spacing w:beforeLines="20" w:afterLines="20" w:line="320" w:lineRule="exact"/>
              <w:ind w:left="128" w:leftChars="50" w:right="118" w:rightChars="50"/>
              <w:textAlignment w:val="center"/>
              <w:rPr>
                <w:rFonts w:ascii="宋体" w:hAnsi="宋体" w:eastAsia="宋体" w:cs="宋体"/>
                <w:color w:val="auto"/>
                <w:sz w:val="21"/>
                <w:szCs w:val="21"/>
              </w:rPr>
            </w:pPr>
            <w:r>
              <w:rPr>
                <w:rFonts w:ascii="宋体" w:hAnsi="宋体" w:eastAsia="宋体" w:cs="宋体"/>
                <w:color w:val="auto"/>
                <w:sz w:val="21"/>
                <w:szCs w:val="21"/>
              </w:rPr>
              <w:t>食品安全</w:t>
            </w:r>
          </w:p>
        </w:tc>
        <w:tc>
          <w:tcPr>
            <w:tcW w:w="3107" w:type="pct"/>
            <w:tcMar>
              <w:top w:w="15" w:type="dxa"/>
              <w:left w:w="15" w:type="dxa"/>
              <w:right w:w="15" w:type="dxa"/>
            </w:tcMar>
            <w:vAlign w:val="center"/>
          </w:tcPr>
          <w:p>
            <w:pPr>
              <w:pStyle w:val="301"/>
              <w:numPr>
                <w:ilvl w:val="0"/>
                <w:numId w:val="9"/>
              </w:numPr>
              <w:spacing w:beforeLines="20" w:afterLines="20" w:line="320" w:lineRule="exact"/>
              <w:ind w:right="118" w:rightChars="50" w:firstLineChars="0"/>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后厨、操作台及餐厅环境整洁，干净整洁、无油垢。</w:t>
            </w:r>
          </w:p>
          <w:p>
            <w:pPr>
              <w:pStyle w:val="301"/>
              <w:numPr>
                <w:ilvl w:val="0"/>
                <w:numId w:val="9"/>
              </w:numPr>
              <w:spacing w:beforeLines="20" w:afterLines="20" w:line="320" w:lineRule="exact"/>
              <w:ind w:right="118" w:rightChars="50" w:firstLineChars="0"/>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餐具应按时清洁，定期消毒，防鼠防疫措施有效。</w:t>
            </w:r>
          </w:p>
          <w:p>
            <w:pPr>
              <w:pStyle w:val="301"/>
              <w:numPr>
                <w:ilvl w:val="0"/>
                <w:numId w:val="9"/>
              </w:numPr>
              <w:spacing w:beforeLines="20" w:afterLines="20" w:line="320" w:lineRule="exact"/>
              <w:ind w:right="118" w:rightChars="50" w:firstLineChars="0"/>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冷藏柜、消毒柜、食品留样柜完好。</w:t>
            </w:r>
          </w:p>
          <w:p>
            <w:pPr>
              <w:pStyle w:val="301"/>
              <w:numPr>
                <w:ilvl w:val="0"/>
                <w:numId w:val="9"/>
              </w:numPr>
              <w:spacing w:beforeLines="20" w:afterLines="20" w:line="320" w:lineRule="exact"/>
              <w:ind w:right="118" w:rightChars="50" w:firstLineChars="0"/>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设备及食品原材料分类储存，放置稳固。</w:t>
            </w:r>
          </w:p>
          <w:p>
            <w:pPr>
              <w:pStyle w:val="301"/>
              <w:numPr>
                <w:ilvl w:val="0"/>
                <w:numId w:val="9"/>
              </w:numPr>
              <w:spacing w:beforeLines="20" w:afterLines="20" w:line="320" w:lineRule="exact"/>
              <w:ind w:right="118" w:rightChars="50" w:firstLineChars="0"/>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食品原材料正规渠道定点采购，无过期食品。</w:t>
            </w:r>
          </w:p>
        </w:tc>
        <w:tc>
          <w:tcPr>
            <w:tcW w:w="1278" w:type="pct"/>
            <w:vMerge w:val="continue"/>
            <w:vAlign w:val="center"/>
          </w:tcPr>
          <w:p>
            <w:pPr>
              <w:spacing w:beforeLines="20" w:afterLines="20" w:line="320" w:lineRule="exact"/>
              <w:ind w:left="128" w:leftChars="50" w:right="118" w:rightChars="50"/>
              <w:textAlignment w:val="center"/>
              <w:rPr>
                <w:rFonts w:cs="宋体" w:asciiTheme="minorEastAsia" w:hAnsiTheme="minorEastAsia" w:eastAsiaTheme="minorEastAsia"/>
                <w:color w:val="auto"/>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15" w:type="pct"/>
            <w:tcMar>
              <w:top w:w="15" w:type="dxa"/>
              <w:left w:w="15" w:type="dxa"/>
              <w:right w:w="15" w:type="dxa"/>
            </w:tcMar>
            <w:vAlign w:val="center"/>
          </w:tcPr>
          <w:p>
            <w:pPr>
              <w:spacing w:beforeLines="20" w:afterLines="20" w:line="320" w:lineRule="exact"/>
              <w:ind w:left="128" w:leftChars="50" w:right="118" w:rightChars="50"/>
              <w:textAlignment w:val="center"/>
              <w:rPr>
                <w:rFonts w:ascii="宋体" w:hAnsi="宋体" w:eastAsia="宋体" w:cs="宋体"/>
                <w:color w:val="auto"/>
                <w:sz w:val="21"/>
                <w:szCs w:val="21"/>
              </w:rPr>
            </w:pPr>
            <w:r>
              <w:rPr>
                <w:rFonts w:ascii="宋体" w:hAnsi="宋体" w:eastAsia="宋体" w:cs="宋体"/>
                <w:color w:val="auto"/>
                <w:sz w:val="21"/>
                <w:szCs w:val="21"/>
              </w:rPr>
              <w:t>安全防范</w:t>
            </w:r>
            <w:r>
              <w:rPr>
                <w:rFonts w:hint="eastAsia" w:ascii="宋体" w:hAnsi="宋体" w:eastAsia="宋体" w:cs="宋体"/>
                <w:color w:val="auto"/>
                <w:sz w:val="21"/>
                <w:szCs w:val="21"/>
              </w:rPr>
              <w:t>/</w:t>
            </w:r>
            <w:r>
              <w:rPr>
                <w:rFonts w:ascii="宋体" w:hAnsi="宋体" w:eastAsia="宋体" w:cs="宋体"/>
                <w:color w:val="auto"/>
                <w:sz w:val="21"/>
                <w:szCs w:val="21"/>
              </w:rPr>
              <w:t>财务安全</w:t>
            </w:r>
          </w:p>
        </w:tc>
        <w:tc>
          <w:tcPr>
            <w:tcW w:w="3107" w:type="pct"/>
            <w:tcMar>
              <w:top w:w="15" w:type="dxa"/>
              <w:left w:w="15" w:type="dxa"/>
              <w:right w:w="15" w:type="dxa"/>
            </w:tcMar>
            <w:vAlign w:val="center"/>
          </w:tcPr>
          <w:p>
            <w:pPr>
              <w:pStyle w:val="301"/>
              <w:numPr>
                <w:ilvl w:val="0"/>
                <w:numId w:val="10"/>
              </w:numPr>
              <w:spacing w:beforeLines="20" w:afterLines="20" w:line="320" w:lineRule="exact"/>
              <w:ind w:right="118" w:rightChars="50" w:firstLineChars="0"/>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大门、院墙、监控等安防设施完好。</w:t>
            </w:r>
          </w:p>
          <w:p>
            <w:pPr>
              <w:pStyle w:val="301"/>
              <w:numPr>
                <w:ilvl w:val="0"/>
                <w:numId w:val="10"/>
              </w:numPr>
              <w:spacing w:beforeLines="20" w:afterLines="20" w:line="320" w:lineRule="exact"/>
              <w:ind w:right="118" w:rightChars="50" w:firstLineChars="0"/>
              <w:textAlignment w:val="center"/>
              <w:rPr>
                <w:rFonts w:cs="宋体" w:asciiTheme="minorEastAsia" w:hAnsiTheme="minorEastAsia" w:eastAsiaTheme="minorEastAsia"/>
                <w:color w:val="auto"/>
                <w:kern w:val="0"/>
                <w:sz w:val="21"/>
                <w:szCs w:val="21"/>
              </w:rPr>
            </w:pPr>
            <w:r>
              <w:rPr>
                <w:rFonts w:cs="宋体" w:asciiTheme="minorEastAsia" w:hAnsiTheme="minorEastAsia" w:eastAsiaTheme="minorEastAsia"/>
                <w:color w:val="auto"/>
                <w:kern w:val="0"/>
                <w:sz w:val="21"/>
                <w:szCs w:val="21"/>
              </w:rPr>
              <w:t>防爆器材齐全有效</w:t>
            </w:r>
            <w:r>
              <w:rPr>
                <w:rFonts w:hint="eastAsia" w:cs="宋体" w:asciiTheme="minorEastAsia" w:hAnsiTheme="minorEastAsia" w:eastAsiaTheme="minorEastAsia"/>
                <w:color w:val="auto"/>
                <w:kern w:val="0"/>
                <w:sz w:val="21"/>
                <w:szCs w:val="21"/>
              </w:rPr>
              <w:t>。</w:t>
            </w:r>
          </w:p>
          <w:p>
            <w:pPr>
              <w:pStyle w:val="301"/>
              <w:numPr>
                <w:ilvl w:val="0"/>
                <w:numId w:val="10"/>
              </w:numPr>
              <w:spacing w:beforeLines="20" w:afterLines="20" w:line="320" w:lineRule="exact"/>
              <w:ind w:right="118" w:rightChars="50" w:firstLineChars="0"/>
              <w:textAlignment w:val="center"/>
              <w:rPr>
                <w:rFonts w:cs="宋体" w:asciiTheme="minorEastAsia" w:hAnsiTheme="minorEastAsia" w:eastAsiaTheme="minorEastAsia"/>
                <w:color w:val="auto"/>
                <w:kern w:val="0"/>
                <w:sz w:val="21"/>
                <w:szCs w:val="21"/>
              </w:rPr>
            </w:pPr>
            <w:r>
              <w:rPr>
                <w:rFonts w:cs="宋体" w:asciiTheme="minorEastAsia" w:hAnsiTheme="minorEastAsia" w:eastAsiaTheme="minorEastAsia"/>
                <w:color w:val="auto"/>
                <w:kern w:val="0"/>
                <w:sz w:val="21"/>
                <w:szCs w:val="21"/>
              </w:rPr>
              <w:t>票证作业规范</w:t>
            </w:r>
            <w:r>
              <w:rPr>
                <w:rFonts w:hint="eastAsia" w:cs="宋体" w:asciiTheme="minorEastAsia" w:hAnsiTheme="minorEastAsia" w:eastAsiaTheme="minorEastAsia"/>
                <w:color w:val="auto"/>
                <w:kern w:val="0"/>
                <w:sz w:val="21"/>
                <w:szCs w:val="21"/>
              </w:rPr>
              <w:t>，</w:t>
            </w:r>
            <w:r>
              <w:rPr>
                <w:rFonts w:cs="宋体" w:asciiTheme="minorEastAsia" w:hAnsiTheme="minorEastAsia" w:eastAsiaTheme="minorEastAsia"/>
                <w:color w:val="auto"/>
                <w:kern w:val="0"/>
                <w:sz w:val="21"/>
                <w:szCs w:val="21"/>
              </w:rPr>
              <w:t>三专六防</w:t>
            </w:r>
            <w:r>
              <w:rPr>
                <w:rFonts w:hint="eastAsia" w:cs="宋体" w:asciiTheme="minorEastAsia" w:hAnsiTheme="minorEastAsia" w:eastAsiaTheme="minorEastAsia"/>
                <w:color w:val="auto"/>
                <w:kern w:val="0"/>
                <w:sz w:val="21"/>
                <w:szCs w:val="21"/>
              </w:rPr>
              <w:t>、</w:t>
            </w:r>
            <w:r>
              <w:rPr>
                <w:rFonts w:cs="宋体" w:asciiTheme="minorEastAsia" w:hAnsiTheme="minorEastAsia" w:eastAsiaTheme="minorEastAsia"/>
                <w:color w:val="auto"/>
                <w:kern w:val="0"/>
                <w:sz w:val="21"/>
                <w:szCs w:val="21"/>
              </w:rPr>
              <w:t>三铁一器有效</w:t>
            </w:r>
            <w:r>
              <w:rPr>
                <w:rFonts w:hint="eastAsia" w:cs="宋体" w:asciiTheme="minorEastAsia" w:hAnsiTheme="minorEastAsia" w:eastAsiaTheme="minorEastAsia"/>
                <w:color w:val="auto"/>
                <w:kern w:val="0"/>
                <w:sz w:val="21"/>
                <w:szCs w:val="21"/>
              </w:rPr>
              <w:t>。</w:t>
            </w:r>
          </w:p>
        </w:tc>
        <w:tc>
          <w:tcPr>
            <w:tcW w:w="1278" w:type="pct"/>
            <w:vMerge w:val="continue"/>
            <w:vAlign w:val="center"/>
          </w:tcPr>
          <w:p>
            <w:pPr>
              <w:spacing w:beforeLines="20" w:afterLines="20" w:line="320" w:lineRule="exact"/>
              <w:ind w:left="128" w:leftChars="50" w:right="118" w:rightChars="50"/>
              <w:textAlignment w:val="center"/>
              <w:rPr>
                <w:rFonts w:cs="宋体" w:asciiTheme="minorEastAsia" w:hAnsiTheme="minorEastAsia" w:eastAsiaTheme="minorEastAsia"/>
                <w:color w:val="auto"/>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15" w:type="pct"/>
            <w:tcMar>
              <w:top w:w="15" w:type="dxa"/>
              <w:left w:w="15" w:type="dxa"/>
              <w:right w:w="15" w:type="dxa"/>
            </w:tcMar>
            <w:vAlign w:val="center"/>
          </w:tcPr>
          <w:p>
            <w:pPr>
              <w:spacing w:beforeLines="20" w:afterLines="20" w:line="320" w:lineRule="exact"/>
              <w:ind w:left="128" w:leftChars="50" w:right="118" w:rightChars="50"/>
              <w:textAlignment w:val="center"/>
              <w:rPr>
                <w:rFonts w:ascii="宋体" w:hAnsi="宋体" w:eastAsia="宋体" w:cs="宋体"/>
                <w:color w:val="auto"/>
                <w:sz w:val="21"/>
                <w:szCs w:val="21"/>
              </w:rPr>
            </w:pPr>
            <w:r>
              <w:rPr>
                <w:rFonts w:ascii="宋体" w:hAnsi="宋体" w:eastAsia="宋体" w:cs="宋体"/>
                <w:color w:val="auto"/>
                <w:sz w:val="21"/>
                <w:szCs w:val="21"/>
              </w:rPr>
              <w:t>设备设施安全</w:t>
            </w:r>
          </w:p>
        </w:tc>
        <w:tc>
          <w:tcPr>
            <w:tcW w:w="3107" w:type="pct"/>
            <w:tcMar>
              <w:top w:w="15" w:type="dxa"/>
              <w:left w:w="15" w:type="dxa"/>
              <w:right w:w="15" w:type="dxa"/>
            </w:tcMar>
            <w:vAlign w:val="center"/>
          </w:tcPr>
          <w:p>
            <w:pPr>
              <w:pStyle w:val="301"/>
              <w:numPr>
                <w:ilvl w:val="0"/>
                <w:numId w:val="11"/>
              </w:numPr>
              <w:spacing w:beforeLines="20" w:afterLines="20" w:line="320" w:lineRule="exact"/>
              <w:ind w:right="118" w:rightChars="50" w:firstLineChars="0"/>
              <w:textAlignment w:val="center"/>
              <w:rPr>
                <w:rFonts w:cs="宋体" w:asciiTheme="minorEastAsia" w:hAnsiTheme="minorEastAsia" w:eastAsiaTheme="minorEastAsia"/>
                <w:color w:val="auto"/>
                <w:kern w:val="0"/>
                <w:sz w:val="21"/>
                <w:szCs w:val="21"/>
              </w:rPr>
            </w:pPr>
            <w:r>
              <w:rPr>
                <w:rFonts w:cs="宋体" w:asciiTheme="minorEastAsia" w:hAnsiTheme="minorEastAsia" w:eastAsiaTheme="minorEastAsia"/>
                <w:color w:val="auto"/>
                <w:kern w:val="0"/>
                <w:sz w:val="21"/>
                <w:szCs w:val="21"/>
              </w:rPr>
              <w:t>消防泵使用功能正常</w:t>
            </w:r>
            <w:r>
              <w:rPr>
                <w:rFonts w:hint="eastAsia" w:cs="宋体" w:asciiTheme="minorEastAsia" w:hAnsiTheme="minorEastAsia" w:eastAsiaTheme="minorEastAsia"/>
                <w:color w:val="auto"/>
                <w:kern w:val="0"/>
                <w:sz w:val="21"/>
                <w:szCs w:val="21"/>
              </w:rPr>
              <w:t>，</w:t>
            </w:r>
            <w:r>
              <w:rPr>
                <w:rFonts w:cs="宋体" w:asciiTheme="minorEastAsia" w:hAnsiTheme="minorEastAsia" w:eastAsiaTheme="minorEastAsia"/>
                <w:color w:val="auto"/>
                <w:kern w:val="0"/>
                <w:sz w:val="21"/>
                <w:szCs w:val="21"/>
              </w:rPr>
              <w:t>按规定维护保养测试</w:t>
            </w:r>
            <w:r>
              <w:rPr>
                <w:rFonts w:hint="eastAsia" w:cs="宋体" w:asciiTheme="minorEastAsia" w:hAnsiTheme="minorEastAsia" w:eastAsiaTheme="minorEastAsia"/>
                <w:color w:val="auto"/>
                <w:kern w:val="0"/>
                <w:sz w:val="21"/>
                <w:szCs w:val="21"/>
              </w:rPr>
              <w:t>。</w:t>
            </w:r>
          </w:p>
          <w:p>
            <w:pPr>
              <w:pStyle w:val="301"/>
              <w:numPr>
                <w:ilvl w:val="0"/>
                <w:numId w:val="11"/>
              </w:numPr>
              <w:spacing w:beforeLines="20" w:afterLines="20" w:line="320" w:lineRule="exact"/>
              <w:ind w:right="118" w:rightChars="50" w:firstLineChars="0"/>
              <w:textAlignment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发电机使用功能正常，油量足够，按规定维护保养、切换测试。</w:t>
            </w:r>
          </w:p>
          <w:p>
            <w:pPr>
              <w:pStyle w:val="301"/>
              <w:numPr>
                <w:ilvl w:val="0"/>
                <w:numId w:val="11"/>
              </w:numPr>
              <w:spacing w:beforeLines="20" w:afterLines="20" w:line="320" w:lineRule="exact"/>
              <w:ind w:right="118" w:rightChars="50" w:firstLineChars="0"/>
              <w:textAlignment w:val="center"/>
              <w:rPr>
                <w:rFonts w:cs="宋体" w:asciiTheme="minorEastAsia" w:hAnsiTheme="minorEastAsia" w:eastAsiaTheme="minorEastAsia"/>
                <w:color w:val="auto"/>
                <w:kern w:val="0"/>
                <w:sz w:val="21"/>
                <w:szCs w:val="21"/>
              </w:rPr>
            </w:pPr>
            <w:r>
              <w:rPr>
                <w:rFonts w:cs="宋体" w:asciiTheme="minorEastAsia" w:hAnsiTheme="minorEastAsia" w:eastAsiaTheme="minorEastAsia"/>
                <w:color w:val="auto"/>
                <w:kern w:val="0"/>
                <w:sz w:val="21"/>
                <w:szCs w:val="21"/>
              </w:rPr>
              <w:t>变配电使用功能正常</w:t>
            </w:r>
            <w:r>
              <w:rPr>
                <w:rFonts w:hint="eastAsia" w:cs="宋体" w:asciiTheme="minorEastAsia" w:hAnsiTheme="minorEastAsia" w:eastAsiaTheme="minorEastAsia"/>
                <w:color w:val="auto"/>
                <w:kern w:val="0"/>
                <w:sz w:val="21"/>
                <w:szCs w:val="21"/>
              </w:rPr>
              <w:t>，</w:t>
            </w:r>
            <w:r>
              <w:rPr>
                <w:rFonts w:cs="宋体" w:asciiTheme="minorEastAsia" w:hAnsiTheme="minorEastAsia" w:eastAsiaTheme="minorEastAsia"/>
                <w:color w:val="auto"/>
                <w:kern w:val="0"/>
                <w:sz w:val="21"/>
                <w:szCs w:val="21"/>
              </w:rPr>
              <w:t>按规定维护保养测试</w:t>
            </w:r>
            <w:r>
              <w:rPr>
                <w:rFonts w:hint="eastAsia" w:cs="宋体" w:asciiTheme="minorEastAsia" w:hAnsiTheme="minorEastAsia" w:eastAsiaTheme="minorEastAsia"/>
                <w:color w:val="auto"/>
                <w:kern w:val="0"/>
                <w:sz w:val="21"/>
                <w:szCs w:val="21"/>
              </w:rPr>
              <w:t>。</w:t>
            </w:r>
          </w:p>
          <w:p>
            <w:pPr>
              <w:pStyle w:val="301"/>
              <w:numPr>
                <w:ilvl w:val="0"/>
                <w:numId w:val="11"/>
              </w:numPr>
              <w:spacing w:beforeLines="20" w:afterLines="20" w:line="320" w:lineRule="exact"/>
              <w:ind w:right="118" w:rightChars="50" w:firstLineChars="0"/>
              <w:textAlignment w:val="center"/>
              <w:rPr>
                <w:rFonts w:cs="宋体" w:asciiTheme="minorEastAsia" w:hAnsiTheme="minorEastAsia" w:eastAsiaTheme="minorEastAsia"/>
                <w:color w:val="auto"/>
                <w:kern w:val="0"/>
                <w:sz w:val="21"/>
                <w:szCs w:val="21"/>
              </w:rPr>
            </w:pPr>
            <w:r>
              <w:rPr>
                <w:rFonts w:cs="宋体" w:asciiTheme="minorEastAsia" w:hAnsiTheme="minorEastAsia" w:eastAsiaTheme="minorEastAsia"/>
                <w:color w:val="auto"/>
                <w:kern w:val="0"/>
                <w:sz w:val="21"/>
                <w:szCs w:val="21"/>
              </w:rPr>
              <w:t>各类作业工具</w:t>
            </w:r>
            <w:r>
              <w:rPr>
                <w:rFonts w:hint="eastAsia" w:cs="宋体" w:asciiTheme="minorEastAsia" w:hAnsiTheme="minorEastAsia" w:eastAsiaTheme="minorEastAsia"/>
                <w:color w:val="auto"/>
                <w:kern w:val="0"/>
                <w:sz w:val="21"/>
                <w:szCs w:val="21"/>
              </w:rPr>
              <w:t>、</w:t>
            </w:r>
            <w:r>
              <w:rPr>
                <w:rFonts w:cs="宋体" w:asciiTheme="minorEastAsia" w:hAnsiTheme="minorEastAsia" w:eastAsiaTheme="minorEastAsia"/>
                <w:color w:val="auto"/>
                <w:kern w:val="0"/>
                <w:sz w:val="21"/>
                <w:szCs w:val="21"/>
              </w:rPr>
              <w:t>安全劳动保护用品配置齐全有效</w:t>
            </w:r>
            <w:r>
              <w:rPr>
                <w:rFonts w:hint="eastAsia" w:cs="宋体" w:asciiTheme="minorEastAsia" w:hAnsiTheme="minorEastAsia" w:eastAsiaTheme="minorEastAsia"/>
                <w:color w:val="auto"/>
                <w:kern w:val="0"/>
                <w:sz w:val="21"/>
                <w:szCs w:val="21"/>
              </w:rPr>
              <w:t>。</w:t>
            </w:r>
          </w:p>
        </w:tc>
        <w:tc>
          <w:tcPr>
            <w:tcW w:w="1278" w:type="pct"/>
            <w:vMerge w:val="continue"/>
            <w:vAlign w:val="center"/>
          </w:tcPr>
          <w:p>
            <w:pPr>
              <w:spacing w:beforeLines="20" w:afterLines="20" w:line="320" w:lineRule="exact"/>
              <w:ind w:left="128" w:leftChars="50" w:right="118" w:rightChars="50"/>
              <w:textAlignment w:val="center"/>
              <w:rPr>
                <w:rFonts w:cs="宋体" w:asciiTheme="minorEastAsia" w:hAnsiTheme="minorEastAsia" w:eastAsiaTheme="minorEastAsia"/>
                <w:color w:val="auto"/>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15" w:type="pct"/>
            <w:tcMar>
              <w:top w:w="15" w:type="dxa"/>
              <w:left w:w="15" w:type="dxa"/>
              <w:right w:w="15" w:type="dxa"/>
            </w:tcMar>
            <w:vAlign w:val="center"/>
          </w:tcPr>
          <w:p>
            <w:pPr>
              <w:spacing w:beforeLines="20" w:afterLines="20" w:line="320" w:lineRule="exact"/>
              <w:ind w:left="128" w:leftChars="50" w:right="118" w:rightChars="50"/>
              <w:textAlignment w:val="center"/>
              <w:rPr>
                <w:rFonts w:ascii="宋体" w:hAnsi="宋体" w:eastAsia="宋体" w:cs="宋体"/>
                <w:color w:val="auto"/>
                <w:sz w:val="21"/>
                <w:szCs w:val="21"/>
              </w:rPr>
            </w:pPr>
            <w:r>
              <w:rPr>
                <w:rFonts w:ascii="宋体" w:hAnsi="宋体" w:eastAsia="宋体" w:cs="宋体"/>
                <w:color w:val="auto"/>
                <w:sz w:val="21"/>
                <w:szCs w:val="21"/>
              </w:rPr>
              <w:t>作业行为</w:t>
            </w:r>
          </w:p>
        </w:tc>
        <w:tc>
          <w:tcPr>
            <w:tcW w:w="3107" w:type="pct"/>
            <w:tcMar>
              <w:top w:w="15" w:type="dxa"/>
              <w:left w:w="15" w:type="dxa"/>
              <w:right w:w="15" w:type="dxa"/>
            </w:tcMar>
            <w:vAlign w:val="center"/>
          </w:tcPr>
          <w:p>
            <w:pPr>
              <w:pStyle w:val="301"/>
              <w:numPr>
                <w:ilvl w:val="0"/>
                <w:numId w:val="12"/>
              </w:numPr>
              <w:spacing w:beforeLines="20" w:afterLines="20" w:line="320" w:lineRule="exact"/>
              <w:ind w:right="118" w:rightChars="50" w:firstLineChars="0"/>
              <w:textAlignment w:val="center"/>
              <w:rPr>
                <w:rFonts w:cs="宋体" w:asciiTheme="minorEastAsia" w:hAnsiTheme="minorEastAsia" w:eastAsiaTheme="minorEastAsia"/>
                <w:color w:val="auto"/>
                <w:kern w:val="0"/>
                <w:sz w:val="21"/>
                <w:szCs w:val="21"/>
              </w:rPr>
            </w:pPr>
            <w:r>
              <w:rPr>
                <w:rFonts w:cs="宋体" w:asciiTheme="minorEastAsia" w:hAnsiTheme="minorEastAsia" w:eastAsiaTheme="minorEastAsia"/>
                <w:color w:val="auto"/>
                <w:kern w:val="0"/>
                <w:sz w:val="21"/>
                <w:szCs w:val="21"/>
              </w:rPr>
              <w:t>各岗位遵守安全操作规程和行为规范</w:t>
            </w:r>
            <w:r>
              <w:rPr>
                <w:rFonts w:hint="eastAsia" w:cs="宋体" w:asciiTheme="minorEastAsia" w:hAnsiTheme="minorEastAsia" w:eastAsiaTheme="minorEastAsia"/>
                <w:color w:val="auto"/>
                <w:kern w:val="0"/>
                <w:sz w:val="21"/>
                <w:szCs w:val="21"/>
              </w:rPr>
              <w:t>，</w:t>
            </w:r>
            <w:r>
              <w:rPr>
                <w:rFonts w:cs="宋体" w:asciiTheme="minorEastAsia" w:hAnsiTheme="minorEastAsia" w:eastAsiaTheme="minorEastAsia"/>
                <w:color w:val="auto"/>
                <w:kern w:val="0"/>
                <w:sz w:val="21"/>
                <w:szCs w:val="21"/>
              </w:rPr>
              <w:t>按规定开展隐患排查治理工作</w:t>
            </w:r>
            <w:r>
              <w:rPr>
                <w:rFonts w:hint="eastAsia" w:cs="宋体" w:asciiTheme="minorEastAsia" w:hAnsiTheme="minorEastAsia" w:eastAsiaTheme="minorEastAsia"/>
                <w:color w:val="auto"/>
                <w:kern w:val="0"/>
                <w:sz w:val="21"/>
                <w:szCs w:val="21"/>
              </w:rPr>
              <w:t>，</w:t>
            </w:r>
            <w:r>
              <w:rPr>
                <w:rFonts w:cs="宋体" w:asciiTheme="minorEastAsia" w:hAnsiTheme="minorEastAsia" w:eastAsiaTheme="minorEastAsia"/>
                <w:color w:val="auto"/>
                <w:kern w:val="0"/>
                <w:sz w:val="21"/>
                <w:szCs w:val="21"/>
              </w:rPr>
              <w:t>如实填写工作记录</w:t>
            </w:r>
            <w:r>
              <w:rPr>
                <w:rFonts w:hint="eastAsia" w:cs="宋体" w:asciiTheme="minorEastAsia" w:hAnsiTheme="minorEastAsia" w:eastAsiaTheme="minorEastAsia"/>
                <w:color w:val="auto"/>
                <w:kern w:val="0"/>
                <w:sz w:val="21"/>
                <w:szCs w:val="21"/>
              </w:rPr>
              <w:t>。</w:t>
            </w:r>
          </w:p>
          <w:p>
            <w:pPr>
              <w:pStyle w:val="301"/>
              <w:numPr>
                <w:ilvl w:val="0"/>
                <w:numId w:val="12"/>
              </w:numPr>
              <w:spacing w:beforeLines="20" w:afterLines="20" w:line="320" w:lineRule="exact"/>
              <w:ind w:right="118" w:rightChars="50" w:firstLineChars="0"/>
              <w:textAlignment w:val="center"/>
              <w:rPr>
                <w:rFonts w:cs="宋体" w:asciiTheme="minorEastAsia" w:hAnsiTheme="minorEastAsia" w:eastAsiaTheme="minorEastAsia"/>
                <w:color w:val="auto"/>
                <w:kern w:val="0"/>
                <w:sz w:val="21"/>
                <w:szCs w:val="21"/>
              </w:rPr>
            </w:pPr>
            <w:r>
              <w:rPr>
                <w:rFonts w:cs="宋体" w:asciiTheme="minorEastAsia" w:hAnsiTheme="minorEastAsia" w:eastAsiaTheme="minorEastAsia"/>
                <w:color w:val="auto"/>
                <w:kern w:val="0"/>
                <w:sz w:val="21"/>
                <w:szCs w:val="21"/>
              </w:rPr>
              <w:t>外来作业单位</w:t>
            </w:r>
            <w:r>
              <w:rPr>
                <w:rFonts w:hint="eastAsia" w:cs="宋体" w:asciiTheme="minorEastAsia" w:hAnsiTheme="minorEastAsia" w:eastAsiaTheme="minorEastAsia"/>
                <w:color w:val="auto"/>
                <w:kern w:val="0"/>
                <w:sz w:val="21"/>
                <w:szCs w:val="21"/>
              </w:rPr>
              <w:t>、</w:t>
            </w:r>
            <w:r>
              <w:rPr>
                <w:rFonts w:cs="宋体" w:asciiTheme="minorEastAsia" w:hAnsiTheme="minorEastAsia" w:eastAsiaTheme="minorEastAsia"/>
                <w:color w:val="auto"/>
                <w:kern w:val="0"/>
                <w:sz w:val="21"/>
                <w:szCs w:val="21"/>
              </w:rPr>
              <w:t>人员遵守公司及收费站安全规定</w:t>
            </w:r>
            <w:r>
              <w:rPr>
                <w:rFonts w:hint="eastAsia" w:cs="宋体" w:asciiTheme="minorEastAsia" w:hAnsiTheme="minorEastAsia" w:eastAsiaTheme="minorEastAsia"/>
                <w:color w:val="auto"/>
                <w:kern w:val="0"/>
                <w:sz w:val="21"/>
                <w:szCs w:val="21"/>
              </w:rPr>
              <w:t>。</w:t>
            </w:r>
          </w:p>
        </w:tc>
        <w:tc>
          <w:tcPr>
            <w:tcW w:w="1278" w:type="pct"/>
            <w:vMerge w:val="continue"/>
            <w:vAlign w:val="center"/>
          </w:tcPr>
          <w:p>
            <w:pPr>
              <w:spacing w:beforeLines="20" w:afterLines="20" w:line="320" w:lineRule="exact"/>
              <w:ind w:left="128" w:leftChars="50" w:right="118" w:rightChars="50"/>
              <w:textAlignment w:val="center"/>
              <w:rPr>
                <w:rFonts w:cs="宋体" w:asciiTheme="minorEastAsia" w:hAnsiTheme="minorEastAsia" w:eastAsiaTheme="minorEastAsia"/>
                <w:color w:val="auto"/>
                <w:kern w:val="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15" w:type="pct"/>
            <w:tcBorders>
              <w:bottom w:val="single" w:color="auto" w:sz="4" w:space="0"/>
            </w:tcBorders>
            <w:tcMar>
              <w:top w:w="15" w:type="dxa"/>
              <w:left w:w="15" w:type="dxa"/>
              <w:right w:w="15" w:type="dxa"/>
            </w:tcMar>
            <w:vAlign w:val="center"/>
          </w:tcPr>
          <w:p>
            <w:pPr>
              <w:spacing w:beforeLines="20" w:afterLines="20" w:line="320" w:lineRule="exact"/>
              <w:ind w:left="128" w:leftChars="50" w:right="118" w:rightChars="50"/>
              <w:textAlignment w:val="center"/>
              <w:rPr>
                <w:rFonts w:ascii="宋体" w:hAnsi="宋体" w:eastAsia="宋体" w:cs="宋体"/>
                <w:color w:val="auto"/>
                <w:sz w:val="21"/>
                <w:szCs w:val="21"/>
              </w:rPr>
            </w:pPr>
            <w:r>
              <w:rPr>
                <w:rFonts w:ascii="宋体" w:hAnsi="宋体" w:eastAsia="宋体" w:cs="宋体"/>
                <w:color w:val="auto"/>
                <w:sz w:val="21"/>
                <w:szCs w:val="21"/>
              </w:rPr>
              <w:t>其他</w:t>
            </w:r>
          </w:p>
        </w:tc>
        <w:tc>
          <w:tcPr>
            <w:tcW w:w="3107" w:type="pct"/>
            <w:tcMar>
              <w:top w:w="15" w:type="dxa"/>
              <w:left w:w="15" w:type="dxa"/>
              <w:right w:w="15" w:type="dxa"/>
            </w:tcMar>
            <w:vAlign w:val="center"/>
          </w:tcPr>
          <w:p>
            <w:pPr>
              <w:spacing w:beforeLines="20" w:afterLines="20" w:line="320" w:lineRule="exact"/>
              <w:ind w:left="128" w:leftChars="50" w:right="118" w:rightChars="50"/>
              <w:textAlignment w:val="center"/>
              <w:rPr>
                <w:rFonts w:cs="宋体" w:asciiTheme="minorEastAsia" w:hAnsiTheme="minorEastAsia" w:eastAsiaTheme="minorEastAsia"/>
                <w:color w:val="auto"/>
                <w:kern w:val="0"/>
                <w:sz w:val="21"/>
                <w:szCs w:val="21"/>
              </w:rPr>
            </w:pPr>
          </w:p>
        </w:tc>
        <w:tc>
          <w:tcPr>
            <w:tcW w:w="1278" w:type="pct"/>
            <w:vMerge w:val="continue"/>
            <w:vAlign w:val="center"/>
          </w:tcPr>
          <w:p>
            <w:pPr>
              <w:spacing w:beforeLines="20" w:afterLines="20" w:line="320" w:lineRule="exact"/>
              <w:ind w:left="128" w:leftChars="50" w:right="118" w:rightChars="50"/>
              <w:textAlignment w:val="center"/>
              <w:rPr>
                <w:rFonts w:cs="宋体" w:asciiTheme="minorEastAsia" w:hAnsiTheme="minorEastAsia" w:eastAsiaTheme="minorEastAsia"/>
                <w:color w:val="auto"/>
                <w:kern w:val="0"/>
                <w:sz w:val="21"/>
                <w:szCs w:val="21"/>
              </w:rPr>
            </w:pPr>
          </w:p>
        </w:tc>
      </w:tr>
    </w:tbl>
    <w:p>
      <w:pPr>
        <w:widowControl w:val="0"/>
        <w:spacing w:after="0" w:line="560" w:lineRule="exact"/>
        <w:ind w:left="0" w:firstLine="412" w:firstLineChars="200"/>
        <w:jc w:val="center"/>
        <w:rPr>
          <w:rFonts w:cs="Calibri" w:asciiTheme="minorEastAsia" w:hAnsiTheme="minorEastAsia" w:eastAsiaTheme="minorEastAsia"/>
          <w:b/>
          <w:color w:val="auto"/>
          <w:sz w:val="21"/>
          <w:szCs w:val="24"/>
        </w:rPr>
      </w:pPr>
    </w:p>
    <w:p>
      <w:pPr>
        <w:widowControl w:val="0"/>
        <w:spacing w:beforeLines="50" w:afterLines="50" w:line="560" w:lineRule="exact"/>
        <w:ind w:left="0" w:hanging="11"/>
        <w:outlineLvl w:val="1"/>
        <w:rPr>
          <w:rFonts w:cs="Calibri" w:asciiTheme="minorEastAsia" w:hAnsiTheme="minorEastAsia" w:eastAsiaTheme="minorEastAsia"/>
          <w:b/>
          <w:color w:val="auto"/>
          <w:sz w:val="28"/>
          <w:szCs w:val="24"/>
        </w:rPr>
        <w:sectPr>
          <w:headerReference r:id="rId15" w:type="default"/>
          <w:footerReference r:id="rId16" w:type="default"/>
          <w:pgSz w:w="11906" w:h="16838"/>
          <w:pgMar w:top="720" w:right="720" w:bottom="720" w:left="720" w:header="397" w:footer="850" w:gutter="0"/>
          <w:cols w:space="720" w:num="1"/>
          <w:docGrid w:type="linesAndChars" w:linePitch="584" w:charSpace="-849"/>
        </w:sectPr>
      </w:pPr>
    </w:p>
    <w:p>
      <w:pPr>
        <w:widowControl w:val="0"/>
        <w:spacing w:beforeLines="50" w:afterLines="50" w:line="560" w:lineRule="exact"/>
        <w:ind w:left="0" w:hanging="11"/>
        <w:outlineLvl w:val="1"/>
        <w:rPr>
          <w:rFonts w:cs="Calibri" w:asciiTheme="minorEastAsia" w:hAnsiTheme="minorEastAsia" w:eastAsiaTheme="minorEastAsia"/>
          <w:b/>
          <w:color w:val="auto"/>
          <w:sz w:val="28"/>
          <w:szCs w:val="24"/>
        </w:rPr>
      </w:pPr>
      <w:bookmarkStart w:id="24" w:name="_Toc80301757"/>
      <w:r>
        <w:rPr>
          <w:rFonts w:hint="eastAsia" w:cs="Calibri" w:asciiTheme="minorEastAsia" w:hAnsiTheme="minorEastAsia" w:eastAsiaTheme="minorEastAsia"/>
          <w:b/>
          <w:color w:val="auto"/>
          <w:sz w:val="28"/>
          <w:szCs w:val="24"/>
        </w:rPr>
        <w:t>3.4专项隐患排查</w:t>
      </w:r>
      <w:bookmarkEnd w:id="24"/>
    </w:p>
    <w:p>
      <w:pPr>
        <w:widowControl w:val="0"/>
        <w:spacing w:after="0" w:line="480" w:lineRule="exact"/>
        <w:ind w:left="0" w:firstLine="480"/>
        <w:jc w:val="both"/>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专项排查收费站站长组织开展，出现下列情形的应当开展专项排查：</w:t>
      </w:r>
    </w:p>
    <w:p>
      <w:pPr>
        <w:widowControl w:val="0"/>
        <w:spacing w:after="0" w:line="480" w:lineRule="exact"/>
        <w:ind w:left="0" w:firstLine="480"/>
        <w:jc w:val="both"/>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（1）与本单位安全生产相关的法律、法规、规章、标准以及规程制定、修改或者废止的；</w:t>
      </w:r>
    </w:p>
    <w:p>
      <w:pPr>
        <w:widowControl w:val="0"/>
        <w:spacing w:after="0" w:line="480" w:lineRule="exact"/>
        <w:ind w:left="0" w:firstLine="480"/>
        <w:jc w:val="both"/>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（2）集团公司等上级有关单位安全工作专项部署的；</w:t>
      </w:r>
    </w:p>
    <w:p>
      <w:pPr>
        <w:widowControl w:val="0"/>
        <w:spacing w:after="0" w:line="480" w:lineRule="exact"/>
        <w:ind w:left="0" w:firstLine="480"/>
        <w:jc w:val="both"/>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（3）元旦、春节、五一、十一等重要节假日或“两会”、汛期等重要时段；</w:t>
      </w:r>
    </w:p>
    <w:p>
      <w:pPr>
        <w:widowControl w:val="0"/>
        <w:spacing w:after="0" w:line="480" w:lineRule="exact"/>
        <w:ind w:left="0" w:firstLine="480"/>
        <w:jc w:val="both"/>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（4）季节性、规律性安全生产条件变化的；</w:t>
      </w:r>
      <w:r>
        <w:rPr>
          <w:rFonts w:cs="Calibri" w:asciiTheme="minorEastAsia" w:hAnsiTheme="minorEastAsia" w:eastAsiaTheme="minorEastAsia"/>
          <w:color w:val="auto"/>
          <w:szCs w:val="24"/>
        </w:rPr>
        <w:t xml:space="preserve"> </w:t>
      </w:r>
    </w:p>
    <w:p>
      <w:pPr>
        <w:widowControl w:val="0"/>
        <w:spacing w:after="0" w:line="480" w:lineRule="exact"/>
        <w:ind w:left="0" w:firstLine="480"/>
        <w:jc w:val="both"/>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（5）新工艺、新材料、新技术、新设备投入使用对安全生产条件发生变化的；</w:t>
      </w:r>
    </w:p>
    <w:p>
      <w:pPr>
        <w:widowControl w:val="0"/>
        <w:spacing w:after="0" w:line="480" w:lineRule="exact"/>
        <w:ind w:left="0" w:firstLine="480"/>
        <w:jc w:val="both"/>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（6）周边环境发生重大变化的；</w:t>
      </w:r>
    </w:p>
    <w:p>
      <w:pPr>
        <w:widowControl w:val="0"/>
        <w:spacing w:after="0" w:line="480" w:lineRule="exact"/>
        <w:ind w:left="0" w:firstLine="480"/>
        <w:jc w:val="both"/>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（7）发生安全生产事故或者险情情况的。</w:t>
      </w:r>
    </w:p>
    <w:p>
      <w:pPr>
        <w:widowControl w:val="0"/>
        <w:spacing w:after="0" w:line="480" w:lineRule="exact"/>
        <w:ind w:left="0" w:firstLine="480"/>
        <w:jc w:val="both"/>
        <w:rPr>
          <w:rFonts w:cs="Calibri" w:asciiTheme="minorEastAsia" w:hAnsiTheme="minorEastAsia" w:eastAsiaTheme="minorEastAsia"/>
          <w:color w:val="auto"/>
          <w:szCs w:val="24"/>
        </w:rPr>
      </w:pPr>
      <w:r>
        <w:rPr>
          <w:rFonts w:hint="eastAsia" w:cs="Calibri" w:asciiTheme="minorEastAsia" w:hAnsiTheme="minorEastAsia" w:eastAsiaTheme="minorEastAsia"/>
          <w:color w:val="auto"/>
          <w:szCs w:val="24"/>
        </w:rPr>
        <w:t>根据公司历年安全生产工作计划和安排，制定防汛、“今冬明春”防火、除雪等专项隐患排查清单。</w:t>
      </w:r>
    </w:p>
    <w:p>
      <w:pPr>
        <w:widowControl w:val="0"/>
        <w:spacing w:after="0" w:line="360" w:lineRule="auto"/>
        <w:ind w:left="0" w:firstLine="482"/>
        <w:jc w:val="both"/>
        <w:rPr>
          <w:rFonts w:cs="Calibri" w:asciiTheme="minorEastAsia" w:hAnsiTheme="minorEastAsia" w:eastAsiaTheme="minorEastAsia"/>
          <w:b/>
          <w:color w:val="auto"/>
          <w:szCs w:val="24"/>
        </w:rPr>
      </w:pPr>
    </w:p>
    <w:p>
      <w:pPr>
        <w:widowControl w:val="0"/>
        <w:spacing w:after="0" w:line="360" w:lineRule="auto"/>
        <w:ind w:left="0" w:firstLine="482"/>
        <w:jc w:val="both"/>
        <w:rPr>
          <w:rFonts w:cs="Calibri" w:asciiTheme="minorEastAsia" w:hAnsiTheme="minorEastAsia" w:eastAsiaTheme="minorEastAsia"/>
          <w:b/>
          <w:color w:val="auto"/>
          <w:szCs w:val="24"/>
        </w:rPr>
      </w:pPr>
    </w:p>
    <w:p>
      <w:pPr>
        <w:widowControl w:val="0"/>
        <w:spacing w:after="0" w:line="360" w:lineRule="auto"/>
        <w:ind w:left="0" w:firstLine="482"/>
        <w:jc w:val="both"/>
        <w:rPr>
          <w:rFonts w:cs="Calibri" w:asciiTheme="minorEastAsia" w:hAnsiTheme="minorEastAsia" w:eastAsiaTheme="minorEastAsia"/>
          <w:b/>
          <w:color w:val="auto"/>
          <w:szCs w:val="24"/>
        </w:rPr>
      </w:pPr>
    </w:p>
    <w:p>
      <w:pPr>
        <w:widowControl w:val="0"/>
        <w:spacing w:after="0" w:line="360" w:lineRule="auto"/>
        <w:ind w:left="0" w:firstLine="482"/>
        <w:jc w:val="both"/>
        <w:rPr>
          <w:rFonts w:cs="Calibri" w:asciiTheme="minorEastAsia" w:hAnsiTheme="minorEastAsia" w:eastAsiaTheme="minorEastAsia"/>
          <w:b/>
          <w:color w:val="auto"/>
          <w:szCs w:val="24"/>
        </w:rPr>
      </w:pPr>
    </w:p>
    <w:p>
      <w:pPr>
        <w:widowControl w:val="0"/>
        <w:spacing w:after="0" w:line="360" w:lineRule="auto"/>
        <w:ind w:left="0" w:firstLine="482"/>
        <w:jc w:val="both"/>
        <w:outlineLvl w:val="2"/>
        <w:rPr>
          <w:rFonts w:cs="Calibri" w:asciiTheme="minorEastAsia" w:hAnsiTheme="minorEastAsia" w:eastAsiaTheme="minorEastAsia"/>
          <w:b/>
          <w:color w:val="auto"/>
          <w:szCs w:val="24"/>
        </w:rPr>
      </w:pPr>
      <w:r>
        <w:rPr>
          <w:rFonts w:cs="Calibri" w:asciiTheme="minorEastAsia" w:hAnsiTheme="minorEastAsia" w:eastAsiaTheme="minorEastAsia"/>
          <w:b/>
          <w:color w:val="auto"/>
          <w:szCs w:val="24"/>
        </w:rPr>
        <w:br w:type="page"/>
      </w:r>
    </w:p>
    <w:p>
      <w:pPr>
        <w:widowControl w:val="0"/>
        <w:spacing w:after="0" w:line="360" w:lineRule="auto"/>
        <w:ind w:left="0" w:firstLine="482"/>
        <w:jc w:val="both"/>
        <w:outlineLvl w:val="2"/>
        <w:rPr>
          <w:rFonts w:cs="Calibri" w:asciiTheme="minorEastAsia" w:hAnsiTheme="minorEastAsia" w:eastAsiaTheme="minorEastAsia"/>
          <w:b/>
          <w:color w:val="auto"/>
          <w:szCs w:val="24"/>
        </w:rPr>
      </w:pPr>
      <w:bookmarkStart w:id="25" w:name="_Toc80301758"/>
      <w:r>
        <w:rPr>
          <w:rFonts w:hint="eastAsia" w:cs="Calibri" w:asciiTheme="minorEastAsia" w:hAnsiTheme="minorEastAsia" w:eastAsiaTheme="minorEastAsia"/>
          <w:b/>
          <w:color w:val="auto"/>
          <w:szCs w:val="24"/>
        </w:rPr>
        <w:t>3.4.1防汛专项隐患排查记录</w:t>
      </w:r>
      <w:bookmarkEnd w:id="25"/>
    </w:p>
    <w:p>
      <w:pPr>
        <w:widowControl w:val="0"/>
        <w:spacing w:after="0" w:line="560" w:lineRule="exact"/>
        <w:ind w:left="0" w:firstLine="432" w:firstLineChars="200"/>
        <w:jc w:val="center"/>
        <w:rPr>
          <w:rFonts w:cs="Calibri" w:asciiTheme="minorEastAsia" w:hAnsiTheme="minorEastAsia" w:eastAsiaTheme="minorEastAsia"/>
          <w:b/>
          <w:color w:val="auto"/>
          <w:sz w:val="22"/>
          <w:szCs w:val="24"/>
        </w:rPr>
      </w:pPr>
      <w:r>
        <w:rPr>
          <w:rFonts w:hint="eastAsia" w:cs="Calibri" w:asciiTheme="minorEastAsia" w:hAnsiTheme="minorEastAsia" w:eastAsiaTheme="minorEastAsia"/>
          <w:b/>
          <w:color w:val="auto"/>
          <w:sz w:val="22"/>
          <w:szCs w:val="24"/>
        </w:rPr>
        <w:t>表3-</w:t>
      </w:r>
      <w:r>
        <w:rPr>
          <w:rFonts w:cs="Calibri" w:asciiTheme="minorEastAsia" w:hAnsiTheme="minorEastAsia" w:eastAsiaTheme="minorEastAsia"/>
          <w:b/>
          <w:color w:val="auto"/>
          <w:sz w:val="22"/>
          <w:szCs w:val="24"/>
        </w:rPr>
        <w:t>10</w:t>
      </w:r>
      <w:r>
        <w:rPr>
          <w:rFonts w:hint="eastAsia" w:cs="Calibri" w:asciiTheme="minorEastAsia" w:hAnsiTheme="minorEastAsia" w:eastAsiaTheme="minorEastAsia"/>
          <w:b/>
          <w:color w:val="auto"/>
          <w:sz w:val="22"/>
          <w:szCs w:val="24"/>
        </w:rPr>
        <w:t xml:space="preserve"> 防汛专项隐患排查记录表</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371"/>
        <w:gridCol w:w="5993"/>
        <w:gridCol w:w="187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742" w:type="pct"/>
            <w:shd w:val="clear" w:color="auto" w:fill="F1F1F1" w:themeFill="background1" w:themeFillShade="F2"/>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排查要点</w:t>
            </w:r>
          </w:p>
        </w:tc>
        <w:tc>
          <w:tcPr>
            <w:tcW w:w="3242" w:type="pct"/>
            <w:shd w:val="clear" w:color="auto" w:fill="F1F1F1" w:themeFill="background1" w:themeFillShade="F2"/>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排查内容</w:t>
            </w:r>
          </w:p>
        </w:tc>
        <w:tc>
          <w:tcPr>
            <w:tcW w:w="1016" w:type="pct"/>
            <w:shd w:val="clear" w:color="auto" w:fill="F1F1F1" w:themeFill="background1" w:themeFillShade="F2"/>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排查结果</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742"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组织准备</w:t>
            </w:r>
          </w:p>
        </w:tc>
        <w:tc>
          <w:tcPr>
            <w:tcW w:w="3242" w:type="pct"/>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领导小组成立，组织体系及职责明确。</w:t>
            </w:r>
          </w:p>
        </w:tc>
        <w:tc>
          <w:tcPr>
            <w:tcW w:w="1016"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742" w:type="pct"/>
            <w:vMerge w:val="continue"/>
            <w:vAlign w:val="center"/>
          </w:tcPr>
          <w:p>
            <w:pPr>
              <w:spacing w:after="0" w:line="300" w:lineRule="exact"/>
              <w:ind w:left="0" w:firstLine="0"/>
              <w:rPr>
                <w:rFonts w:cs="宋体" w:asciiTheme="minorEastAsia" w:hAnsiTheme="minorEastAsia" w:eastAsiaTheme="minorEastAsia"/>
                <w:color w:val="auto"/>
                <w:kern w:val="0"/>
                <w:sz w:val="21"/>
                <w:szCs w:val="21"/>
              </w:rPr>
            </w:pPr>
          </w:p>
        </w:tc>
        <w:tc>
          <w:tcPr>
            <w:tcW w:w="3242" w:type="pct"/>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应急队伍成立，人员充足、信息明确。</w:t>
            </w:r>
          </w:p>
        </w:tc>
        <w:tc>
          <w:tcPr>
            <w:tcW w:w="1016" w:type="pct"/>
            <w:vMerge w:val="continue"/>
            <w:vAlign w:val="center"/>
          </w:tcPr>
          <w:p>
            <w:pPr>
              <w:spacing w:after="0" w:line="300" w:lineRule="exact"/>
              <w:ind w:left="0" w:firstLine="0"/>
              <w:rPr>
                <w:rFonts w:cs="宋体" w:asciiTheme="minorEastAsia" w:hAnsiTheme="minorEastAsia" w:eastAsiaTheme="minorEastAsia"/>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742" w:type="pct"/>
            <w:vMerge w:val="continue"/>
            <w:vAlign w:val="center"/>
          </w:tcPr>
          <w:p>
            <w:pPr>
              <w:spacing w:after="0" w:line="300" w:lineRule="exact"/>
              <w:ind w:left="0" w:firstLine="0"/>
              <w:rPr>
                <w:rFonts w:cs="宋体" w:asciiTheme="minorEastAsia" w:hAnsiTheme="minorEastAsia" w:eastAsiaTheme="minorEastAsia"/>
                <w:color w:val="auto"/>
                <w:kern w:val="0"/>
                <w:sz w:val="21"/>
                <w:szCs w:val="21"/>
              </w:rPr>
            </w:pPr>
          </w:p>
        </w:tc>
        <w:tc>
          <w:tcPr>
            <w:tcW w:w="3242" w:type="pct"/>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按规定开展动员准备工作。</w:t>
            </w:r>
          </w:p>
        </w:tc>
        <w:tc>
          <w:tcPr>
            <w:tcW w:w="1016" w:type="pct"/>
            <w:vMerge w:val="continue"/>
            <w:vAlign w:val="center"/>
          </w:tcPr>
          <w:p>
            <w:pPr>
              <w:spacing w:after="0" w:line="300" w:lineRule="exact"/>
              <w:ind w:left="0" w:firstLine="0"/>
              <w:rPr>
                <w:rFonts w:cs="宋体" w:asciiTheme="minorEastAsia" w:hAnsiTheme="minorEastAsia" w:eastAsiaTheme="minorEastAsia"/>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742"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应急预案</w:t>
            </w:r>
          </w:p>
        </w:tc>
        <w:tc>
          <w:tcPr>
            <w:tcW w:w="3242" w:type="pct"/>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应急预案（现场处置方案）建立健全、内容合理。</w:t>
            </w:r>
          </w:p>
        </w:tc>
        <w:tc>
          <w:tcPr>
            <w:tcW w:w="1016"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742" w:type="pct"/>
            <w:vMerge w:val="continue"/>
            <w:vAlign w:val="center"/>
          </w:tcPr>
          <w:p>
            <w:pPr>
              <w:spacing w:after="0" w:line="300" w:lineRule="exact"/>
              <w:ind w:left="0" w:firstLine="0"/>
              <w:rPr>
                <w:rFonts w:cs="宋体" w:asciiTheme="minorEastAsia" w:hAnsiTheme="minorEastAsia" w:eastAsiaTheme="minorEastAsia"/>
                <w:color w:val="auto"/>
                <w:kern w:val="0"/>
                <w:sz w:val="21"/>
                <w:szCs w:val="21"/>
              </w:rPr>
            </w:pPr>
          </w:p>
        </w:tc>
        <w:tc>
          <w:tcPr>
            <w:tcW w:w="3242" w:type="pct"/>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按规定开展应急演练。</w:t>
            </w:r>
          </w:p>
        </w:tc>
        <w:tc>
          <w:tcPr>
            <w:tcW w:w="1016" w:type="pct"/>
            <w:vMerge w:val="continue"/>
            <w:vAlign w:val="center"/>
          </w:tcPr>
          <w:p>
            <w:pPr>
              <w:spacing w:after="0" w:line="300" w:lineRule="exact"/>
              <w:ind w:left="0" w:firstLine="0"/>
              <w:rPr>
                <w:rFonts w:cs="宋体" w:asciiTheme="minorEastAsia" w:hAnsiTheme="minorEastAsia" w:eastAsiaTheme="minorEastAsia"/>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742"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监测预警</w:t>
            </w:r>
          </w:p>
        </w:tc>
        <w:tc>
          <w:tcPr>
            <w:tcW w:w="3242" w:type="pct"/>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按规定开展领导带班、员工值班。</w:t>
            </w:r>
          </w:p>
        </w:tc>
        <w:tc>
          <w:tcPr>
            <w:tcW w:w="1016"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742" w:type="pct"/>
            <w:vMerge w:val="continue"/>
            <w:vAlign w:val="center"/>
          </w:tcPr>
          <w:p>
            <w:pPr>
              <w:spacing w:after="0" w:line="300" w:lineRule="exact"/>
              <w:ind w:left="0" w:firstLine="0"/>
              <w:rPr>
                <w:rFonts w:cs="宋体" w:asciiTheme="minorEastAsia" w:hAnsiTheme="minorEastAsia" w:eastAsiaTheme="minorEastAsia"/>
                <w:color w:val="auto"/>
                <w:kern w:val="0"/>
                <w:sz w:val="21"/>
                <w:szCs w:val="21"/>
              </w:rPr>
            </w:pPr>
          </w:p>
        </w:tc>
        <w:tc>
          <w:tcPr>
            <w:tcW w:w="3242" w:type="pct"/>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专人监测预警、信息收集齐全。</w:t>
            </w:r>
          </w:p>
        </w:tc>
        <w:tc>
          <w:tcPr>
            <w:tcW w:w="1016" w:type="pct"/>
            <w:vMerge w:val="continue"/>
            <w:vAlign w:val="center"/>
          </w:tcPr>
          <w:p>
            <w:pPr>
              <w:spacing w:after="0" w:line="300" w:lineRule="exact"/>
              <w:ind w:left="0" w:firstLine="0"/>
              <w:rPr>
                <w:rFonts w:cs="宋体" w:asciiTheme="minorEastAsia" w:hAnsiTheme="minorEastAsia" w:eastAsiaTheme="minorEastAsia"/>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742" w:type="pct"/>
            <w:vMerge w:val="continue"/>
            <w:vAlign w:val="center"/>
          </w:tcPr>
          <w:p>
            <w:pPr>
              <w:spacing w:after="0" w:line="300" w:lineRule="exact"/>
              <w:ind w:left="0" w:firstLine="0"/>
              <w:rPr>
                <w:rFonts w:cs="宋体" w:asciiTheme="minorEastAsia" w:hAnsiTheme="minorEastAsia" w:eastAsiaTheme="minorEastAsia"/>
                <w:color w:val="auto"/>
                <w:kern w:val="0"/>
                <w:sz w:val="21"/>
                <w:szCs w:val="21"/>
              </w:rPr>
            </w:pPr>
          </w:p>
        </w:tc>
        <w:tc>
          <w:tcPr>
            <w:tcW w:w="3242" w:type="pct"/>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按规定开展上传下达工作。</w:t>
            </w:r>
          </w:p>
        </w:tc>
        <w:tc>
          <w:tcPr>
            <w:tcW w:w="1016" w:type="pct"/>
            <w:vMerge w:val="continue"/>
            <w:vAlign w:val="center"/>
          </w:tcPr>
          <w:p>
            <w:pPr>
              <w:spacing w:after="0" w:line="300" w:lineRule="exact"/>
              <w:ind w:left="0" w:firstLine="0"/>
              <w:rPr>
                <w:rFonts w:cs="宋体" w:asciiTheme="minorEastAsia" w:hAnsiTheme="minorEastAsia" w:eastAsiaTheme="minorEastAsia"/>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742"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应急保障</w:t>
            </w:r>
          </w:p>
        </w:tc>
        <w:tc>
          <w:tcPr>
            <w:tcW w:w="3242" w:type="pct"/>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通讯器材及线路齐全有效。</w:t>
            </w:r>
          </w:p>
        </w:tc>
        <w:tc>
          <w:tcPr>
            <w:tcW w:w="1016"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742" w:type="pct"/>
            <w:vMerge w:val="continue"/>
            <w:vAlign w:val="center"/>
          </w:tcPr>
          <w:p>
            <w:pPr>
              <w:spacing w:after="0" w:line="300" w:lineRule="exact"/>
              <w:ind w:left="0" w:firstLine="0"/>
              <w:rPr>
                <w:rFonts w:cs="宋体" w:asciiTheme="minorEastAsia" w:hAnsiTheme="minorEastAsia" w:eastAsiaTheme="minorEastAsia"/>
                <w:color w:val="auto"/>
                <w:kern w:val="0"/>
                <w:sz w:val="21"/>
                <w:szCs w:val="21"/>
              </w:rPr>
            </w:pPr>
          </w:p>
        </w:tc>
        <w:tc>
          <w:tcPr>
            <w:tcW w:w="3242" w:type="pct"/>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防汛资金充足。</w:t>
            </w:r>
          </w:p>
        </w:tc>
        <w:tc>
          <w:tcPr>
            <w:tcW w:w="1016" w:type="pct"/>
            <w:vMerge w:val="continue"/>
            <w:vAlign w:val="center"/>
          </w:tcPr>
          <w:p>
            <w:pPr>
              <w:spacing w:after="0" w:line="300" w:lineRule="exact"/>
              <w:ind w:left="0" w:firstLine="0"/>
              <w:rPr>
                <w:rFonts w:cs="宋体" w:asciiTheme="minorEastAsia" w:hAnsiTheme="minorEastAsia" w:eastAsiaTheme="minorEastAsia"/>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742" w:type="pct"/>
            <w:vMerge w:val="continue"/>
            <w:vAlign w:val="center"/>
          </w:tcPr>
          <w:p>
            <w:pPr>
              <w:spacing w:after="0" w:line="300" w:lineRule="exact"/>
              <w:ind w:left="0" w:firstLine="0"/>
              <w:rPr>
                <w:rFonts w:cs="宋体" w:asciiTheme="minorEastAsia" w:hAnsiTheme="minorEastAsia" w:eastAsiaTheme="minorEastAsia"/>
                <w:color w:val="auto"/>
                <w:kern w:val="0"/>
                <w:sz w:val="21"/>
                <w:szCs w:val="21"/>
              </w:rPr>
            </w:pPr>
          </w:p>
        </w:tc>
        <w:tc>
          <w:tcPr>
            <w:tcW w:w="3242" w:type="pct"/>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需要社会协助的，联系方式及防汛协议齐全，且具备协助条件。</w:t>
            </w:r>
          </w:p>
        </w:tc>
        <w:tc>
          <w:tcPr>
            <w:tcW w:w="1016" w:type="pct"/>
            <w:vMerge w:val="continue"/>
            <w:vAlign w:val="center"/>
          </w:tcPr>
          <w:p>
            <w:pPr>
              <w:spacing w:after="0" w:line="300" w:lineRule="exact"/>
              <w:ind w:left="0" w:firstLine="0"/>
              <w:rPr>
                <w:rFonts w:cs="宋体" w:asciiTheme="minorEastAsia" w:hAnsiTheme="minorEastAsia" w:eastAsiaTheme="minorEastAsia"/>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742" w:type="pct"/>
            <w:vMerge w:val="continue"/>
            <w:vAlign w:val="center"/>
          </w:tcPr>
          <w:p>
            <w:pPr>
              <w:spacing w:after="0" w:line="300" w:lineRule="exact"/>
              <w:ind w:left="0" w:firstLine="0"/>
              <w:rPr>
                <w:rFonts w:cs="宋体" w:asciiTheme="minorEastAsia" w:hAnsiTheme="minorEastAsia" w:eastAsiaTheme="minorEastAsia"/>
                <w:color w:val="auto"/>
                <w:kern w:val="0"/>
                <w:sz w:val="21"/>
                <w:szCs w:val="21"/>
              </w:rPr>
            </w:pPr>
          </w:p>
        </w:tc>
        <w:tc>
          <w:tcPr>
            <w:tcW w:w="3242" w:type="pct"/>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应急物资配备齐全，位置合理：编织袋、沙、铁锹、雨衣、雨鞋、手电、手套、车辆、排水泵、发电机等。</w:t>
            </w:r>
          </w:p>
        </w:tc>
        <w:tc>
          <w:tcPr>
            <w:tcW w:w="1016" w:type="pct"/>
            <w:vMerge w:val="continue"/>
            <w:vAlign w:val="center"/>
          </w:tcPr>
          <w:p>
            <w:pPr>
              <w:spacing w:after="0" w:line="300" w:lineRule="exact"/>
              <w:ind w:left="0" w:firstLine="0"/>
              <w:rPr>
                <w:rFonts w:cs="宋体" w:asciiTheme="minorEastAsia" w:hAnsiTheme="minorEastAsia" w:eastAsiaTheme="minorEastAsia"/>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742"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设备设施防护</w:t>
            </w:r>
          </w:p>
        </w:tc>
        <w:tc>
          <w:tcPr>
            <w:tcW w:w="3242" w:type="pct"/>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室外设备、基础结构稳固，无积水、坍塌风险。</w:t>
            </w:r>
          </w:p>
        </w:tc>
        <w:tc>
          <w:tcPr>
            <w:tcW w:w="1016" w:type="pct"/>
            <w:vMerge w:val="restar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742" w:type="pct"/>
            <w:vMerge w:val="continue"/>
            <w:vAlign w:val="center"/>
          </w:tcPr>
          <w:p>
            <w:pPr>
              <w:spacing w:after="0" w:line="300" w:lineRule="exact"/>
              <w:ind w:left="0" w:firstLine="0"/>
              <w:rPr>
                <w:rFonts w:cs="宋体" w:asciiTheme="minorEastAsia" w:hAnsiTheme="minorEastAsia" w:eastAsiaTheme="minorEastAsia"/>
                <w:color w:val="auto"/>
                <w:kern w:val="0"/>
                <w:sz w:val="21"/>
                <w:szCs w:val="21"/>
              </w:rPr>
            </w:pPr>
          </w:p>
        </w:tc>
        <w:tc>
          <w:tcPr>
            <w:tcW w:w="3242" w:type="pct"/>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门窗及结构防雨、防渗漏措施完好。</w:t>
            </w:r>
          </w:p>
        </w:tc>
        <w:tc>
          <w:tcPr>
            <w:tcW w:w="1016" w:type="pct"/>
            <w:vMerge w:val="continue"/>
            <w:vAlign w:val="center"/>
          </w:tcPr>
          <w:p>
            <w:pPr>
              <w:spacing w:after="0" w:line="300" w:lineRule="exact"/>
              <w:ind w:left="0" w:firstLine="0"/>
              <w:rPr>
                <w:rFonts w:cs="宋体" w:asciiTheme="minorEastAsia" w:hAnsiTheme="minorEastAsia" w:eastAsiaTheme="minorEastAsia"/>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742" w:type="pct"/>
            <w:vMerge w:val="continue"/>
            <w:vAlign w:val="center"/>
          </w:tcPr>
          <w:p>
            <w:pPr>
              <w:spacing w:after="0" w:line="300" w:lineRule="exact"/>
              <w:ind w:left="0" w:firstLine="0"/>
              <w:rPr>
                <w:rFonts w:cs="宋体" w:asciiTheme="minorEastAsia" w:hAnsiTheme="minorEastAsia" w:eastAsiaTheme="minorEastAsia"/>
                <w:color w:val="auto"/>
                <w:kern w:val="0"/>
                <w:sz w:val="21"/>
                <w:szCs w:val="21"/>
              </w:rPr>
            </w:pPr>
          </w:p>
        </w:tc>
        <w:tc>
          <w:tcPr>
            <w:tcW w:w="3242" w:type="pct"/>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建筑及机电设备防雷接地齐全有效。</w:t>
            </w:r>
          </w:p>
        </w:tc>
        <w:tc>
          <w:tcPr>
            <w:tcW w:w="1016" w:type="pct"/>
            <w:vMerge w:val="continue"/>
            <w:vAlign w:val="center"/>
          </w:tcPr>
          <w:p>
            <w:pPr>
              <w:spacing w:after="0" w:line="300" w:lineRule="exact"/>
              <w:ind w:left="0" w:firstLine="0"/>
              <w:rPr>
                <w:rFonts w:cs="宋体" w:asciiTheme="minorEastAsia" w:hAnsiTheme="minorEastAsia" w:eastAsiaTheme="minorEastAsia"/>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742" w:type="pct"/>
            <w:vMerge w:val="continue"/>
            <w:vAlign w:val="center"/>
          </w:tcPr>
          <w:p>
            <w:pPr>
              <w:spacing w:after="0" w:line="300" w:lineRule="exact"/>
              <w:ind w:left="0" w:firstLine="0"/>
              <w:rPr>
                <w:rFonts w:cs="宋体" w:asciiTheme="minorEastAsia" w:hAnsiTheme="minorEastAsia" w:eastAsiaTheme="minorEastAsia"/>
                <w:color w:val="auto"/>
                <w:kern w:val="0"/>
                <w:sz w:val="21"/>
                <w:szCs w:val="21"/>
              </w:rPr>
            </w:pPr>
          </w:p>
        </w:tc>
        <w:tc>
          <w:tcPr>
            <w:tcW w:w="3242" w:type="pct"/>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边沟、排水管道通畅，无杂草、淤泥。</w:t>
            </w:r>
          </w:p>
        </w:tc>
        <w:tc>
          <w:tcPr>
            <w:tcW w:w="1016" w:type="pct"/>
            <w:vMerge w:val="continue"/>
            <w:vAlign w:val="center"/>
          </w:tcPr>
          <w:p>
            <w:pPr>
              <w:spacing w:after="0" w:line="300" w:lineRule="exact"/>
              <w:ind w:left="0" w:firstLine="0"/>
              <w:rPr>
                <w:rFonts w:cs="宋体" w:asciiTheme="minorEastAsia" w:hAnsiTheme="minorEastAsia" w:eastAsiaTheme="minorEastAsia"/>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742" w:type="pct"/>
            <w:vMerge w:val="continue"/>
            <w:vAlign w:val="center"/>
          </w:tcPr>
          <w:p>
            <w:pPr>
              <w:spacing w:after="0" w:line="300" w:lineRule="exact"/>
              <w:ind w:left="0" w:firstLine="0"/>
              <w:rPr>
                <w:rFonts w:cs="宋体" w:asciiTheme="minorEastAsia" w:hAnsiTheme="minorEastAsia" w:eastAsiaTheme="minorEastAsia"/>
                <w:color w:val="auto"/>
                <w:kern w:val="0"/>
                <w:sz w:val="21"/>
                <w:szCs w:val="21"/>
              </w:rPr>
            </w:pPr>
          </w:p>
        </w:tc>
        <w:tc>
          <w:tcPr>
            <w:tcW w:w="3242" w:type="pct"/>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室外电气设备、线路无裸露，设备设施防雨措施齐全。</w:t>
            </w:r>
          </w:p>
        </w:tc>
        <w:tc>
          <w:tcPr>
            <w:tcW w:w="1016" w:type="pct"/>
            <w:vMerge w:val="continue"/>
            <w:vAlign w:val="center"/>
          </w:tcPr>
          <w:p>
            <w:pPr>
              <w:spacing w:after="0" w:line="300" w:lineRule="exact"/>
              <w:ind w:left="0" w:firstLine="0"/>
              <w:rPr>
                <w:rFonts w:cs="宋体" w:asciiTheme="minorEastAsia" w:hAnsiTheme="minorEastAsia" w:eastAsiaTheme="minorEastAsia"/>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742" w:type="pct"/>
            <w:shd w:val="clear" w:color="auto" w:fill="auto"/>
            <w:vAlign w:val="center"/>
          </w:tcPr>
          <w:p>
            <w:pPr>
              <w:spacing w:after="0" w:line="300" w:lineRule="exact"/>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其他</w:t>
            </w:r>
          </w:p>
        </w:tc>
        <w:tc>
          <w:tcPr>
            <w:tcW w:w="3242" w:type="pct"/>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按上级要求开展其他防汛工作。</w:t>
            </w:r>
          </w:p>
        </w:tc>
        <w:tc>
          <w:tcPr>
            <w:tcW w:w="1016" w:type="pct"/>
            <w:vMerge w:val="continue"/>
            <w:vAlign w:val="center"/>
          </w:tcPr>
          <w:p>
            <w:pPr>
              <w:spacing w:after="0" w:line="300" w:lineRule="exact"/>
              <w:ind w:left="0" w:firstLine="0"/>
              <w:rPr>
                <w:rFonts w:cs="宋体" w:asciiTheme="minorEastAsia" w:hAnsiTheme="minorEastAsia" w:eastAsiaTheme="minorEastAsia"/>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5000" w:type="pct"/>
            <w:gridSpan w:val="3"/>
            <w:shd w:val="clear" w:color="auto" w:fill="auto"/>
            <w:vAlign w:val="center"/>
          </w:tcPr>
          <w:p>
            <w:pPr>
              <w:spacing w:after="0" w:line="300" w:lineRule="exact"/>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组织人：               参加人员：                               日期：</w:t>
            </w:r>
          </w:p>
        </w:tc>
      </w:tr>
    </w:tbl>
    <w:p>
      <w:pPr>
        <w:widowControl w:val="0"/>
        <w:spacing w:after="0" w:line="560" w:lineRule="exact"/>
        <w:ind w:left="0" w:firstLine="432" w:firstLineChars="200"/>
        <w:jc w:val="center"/>
        <w:rPr>
          <w:rFonts w:cs="Calibri" w:asciiTheme="minorEastAsia" w:hAnsiTheme="minorEastAsia" w:eastAsiaTheme="minorEastAsia"/>
          <w:color w:val="auto"/>
          <w:sz w:val="22"/>
          <w:szCs w:val="24"/>
        </w:rPr>
      </w:pPr>
    </w:p>
    <w:p>
      <w:pPr>
        <w:widowControl w:val="0"/>
        <w:spacing w:after="0" w:line="360" w:lineRule="auto"/>
        <w:ind w:left="0" w:firstLine="482"/>
        <w:jc w:val="both"/>
        <w:outlineLvl w:val="2"/>
        <w:rPr>
          <w:rFonts w:cs="Calibri" w:asciiTheme="minorEastAsia" w:hAnsiTheme="minorEastAsia" w:eastAsiaTheme="minorEastAsia"/>
          <w:b/>
          <w:color w:val="auto"/>
          <w:szCs w:val="24"/>
        </w:rPr>
      </w:pPr>
      <w:r>
        <w:rPr>
          <w:rFonts w:cs="Calibri" w:asciiTheme="minorEastAsia" w:hAnsiTheme="minorEastAsia" w:eastAsiaTheme="minorEastAsia"/>
          <w:b/>
          <w:color w:val="auto"/>
          <w:szCs w:val="24"/>
        </w:rPr>
        <w:br w:type="page"/>
      </w:r>
    </w:p>
    <w:p>
      <w:pPr>
        <w:widowControl w:val="0"/>
        <w:spacing w:after="0" w:line="360" w:lineRule="auto"/>
        <w:ind w:left="0" w:firstLine="482"/>
        <w:jc w:val="both"/>
        <w:outlineLvl w:val="2"/>
        <w:rPr>
          <w:rFonts w:cs="Calibri" w:asciiTheme="minorEastAsia" w:hAnsiTheme="minorEastAsia" w:eastAsiaTheme="minorEastAsia"/>
          <w:b/>
          <w:color w:val="auto"/>
          <w:szCs w:val="24"/>
        </w:rPr>
      </w:pPr>
      <w:bookmarkStart w:id="26" w:name="_Toc80301759"/>
      <w:r>
        <w:rPr>
          <w:rFonts w:hint="eastAsia" w:cs="Calibri" w:asciiTheme="minorEastAsia" w:hAnsiTheme="minorEastAsia" w:eastAsiaTheme="minorEastAsia"/>
          <w:b/>
          <w:color w:val="auto"/>
          <w:szCs w:val="24"/>
        </w:rPr>
        <w:t>3.4.2今冬明春防火专项隐患排查记录</w:t>
      </w:r>
      <w:bookmarkEnd w:id="26"/>
    </w:p>
    <w:p>
      <w:pPr>
        <w:widowControl w:val="0"/>
        <w:spacing w:after="0" w:line="560" w:lineRule="exact"/>
        <w:ind w:left="0" w:firstLine="432" w:firstLineChars="200"/>
        <w:jc w:val="center"/>
        <w:rPr>
          <w:rFonts w:cs="Calibri" w:asciiTheme="minorEastAsia" w:hAnsiTheme="minorEastAsia" w:eastAsiaTheme="minorEastAsia"/>
          <w:b/>
          <w:color w:val="auto"/>
          <w:sz w:val="22"/>
          <w:szCs w:val="24"/>
        </w:rPr>
      </w:pPr>
      <w:r>
        <w:rPr>
          <w:rFonts w:hint="eastAsia" w:cs="Calibri" w:asciiTheme="minorEastAsia" w:hAnsiTheme="minorEastAsia" w:eastAsiaTheme="minorEastAsia"/>
          <w:b/>
          <w:color w:val="auto"/>
          <w:sz w:val="22"/>
          <w:szCs w:val="24"/>
        </w:rPr>
        <w:t>表3-</w:t>
      </w:r>
      <w:r>
        <w:rPr>
          <w:rFonts w:cs="Calibri" w:asciiTheme="minorEastAsia" w:hAnsiTheme="minorEastAsia" w:eastAsiaTheme="minorEastAsia"/>
          <w:b/>
          <w:color w:val="auto"/>
          <w:sz w:val="22"/>
          <w:szCs w:val="24"/>
        </w:rPr>
        <w:t>11</w:t>
      </w:r>
      <w:r>
        <w:rPr>
          <w:rFonts w:hint="eastAsia" w:cs="Calibri" w:asciiTheme="minorEastAsia" w:hAnsiTheme="minorEastAsia" w:eastAsiaTheme="minorEastAsia"/>
          <w:b/>
          <w:color w:val="auto"/>
          <w:sz w:val="22"/>
          <w:szCs w:val="24"/>
        </w:rPr>
        <w:t xml:space="preserve"> 今冬明春防火专项隐患专项隐患排查记录表</w:t>
      </w:r>
    </w:p>
    <w:tbl>
      <w:tblPr>
        <w:tblStyle w:val="30"/>
        <w:tblW w:w="9060"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344"/>
        <w:gridCol w:w="5875"/>
        <w:gridCol w:w="184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blHeader/>
        </w:trPr>
        <w:tc>
          <w:tcPr>
            <w:tcW w:w="1344" w:type="dxa"/>
            <w:shd w:val="clear" w:color="auto" w:fill="F1F1F1" w:themeFill="background1" w:themeFillShade="F2"/>
            <w:vAlign w:val="center"/>
          </w:tcPr>
          <w:p>
            <w:pPr>
              <w:spacing w:after="0" w:line="240" w:lineRule="auto"/>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排查要点</w:t>
            </w:r>
          </w:p>
        </w:tc>
        <w:tc>
          <w:tcPr>
            <w:tcW w:w="5875" w:type="dxa"/>
            <w:shd w:val="clear" w:color="auto" w:fill="F1F1F1" w:themeFill="background1" w:themeFillShade="F2"/>
            <w:vAlign w:val="center"/>
          </w:tcPr>
          <w:p>
            <w:pPr>
              <w:spacing w:after="0" w:line="240" w:lineRule="auto"/>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排查内容</w:t>
            </w:r>
          </w:p>
        </w:tc>
        <w:tc>
          <w:tcPr>
            <w:tcW w:w="1841" w:type="dxa"/>
            <w:shd w:val="clear" w:color="auto" w:fill="F1F1F1" w:themeFill="background1" w:themeFillShade="F2"/>
            <w:vAlign w:val="center"/>
          </w:tcPr>
          <w:p>
            <w:pPr>
              <w:spacing w:after="0" w:line="240" w:lineRule="auto"/>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排查结果</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344" w:type="dxa"/>
            <w:vMerge w:val="restart"/>
            <w:shd w:val="clear" w:color="auto" w:fill="auto"/>
            <w:vAlign w:val="center"/>
          </w:tcPr>
          <w:p>
            <w:pPr>
              <w:spacing w:after="0" w:line="240" w:lineRule="auto"/>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组织准备</w:t>
            </w:r>
          </w:p>
        </w:tc>
        <w:tc>
          <w:tcPr>
            <w:tcW w:w="5875" w:type="dxa"/>
            <w:shd w:val="clear" w:color="auto" w:fill="auto"/>
            <w:vAlign w:val="center"/>
          </w:tcPr>
          <w:p>
            <w:pPr>
              <w:spacing w:after="0" w:line="240" w:lineRule="auto"/>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领导小组成立，组织体系及职责明确。</w:t>
            </w:r>
          </w:p>
        </w:tc>
        <w:tc>
          <w:tcPr>
            <w:tcW w:w="1841" w:type="dxa"/>
            <w:vMerge w:val="restart"/>
            <w:shd w:val="clear" w:color="auto" w:fill="auto"/>
            <w:vAlign w:val="center"/>
          </w:tcPr>
          <w:p>
            <w:pPr>
              <w:spacing w:after="0" w:line="240" w:lineRule="auto"/>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344" w:type="dxa"/>
            <w:vMerge w:val="continue"/>
            <w:vAlign w:val="center"/>
          </w:tcPr>
          <w:p>
            <w:pPr>
              <w:spacing w:after="0" w:line="240" w:lineRule="auto"/>
              <w:ind w:left="0" w:firstLine="0"/>
              <w:rPr>
                <w:rFonts w:cs="宋体" w:asciiTheme="minorEastAsia" w:hAnsiTheme="minorEastAsia" w:eastAsiaTheme="minorEastAsia"/>
                <w:color w:val="auto"/>
                <w:kern w:val="0"/>
                <w:sz w:val="21"/>
                <w:szCs w:val="21"/>
              </w:rPr>
            </w:pPr>
          </w:p>
        </w:tc>
        <w:tc>
          <w:tcPr>
            <w:tcW w:w="5875" w:type="dxa"/>
            <w:shd w:val="clear" w:color="auto" w:fill="auto"/>
            <w:vAlign w:val="center"/>
          </w:tcPr>
          <w:p>
            <w:pPr>
              <w:spacing w:after="0" w:line="240" w:lineRule="auto"/>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应急队伍成立，人员充足、信息明确。</w:t>
            </w:r>
          </w:p>
        </w:tc>
        <w:tc>
          <w:tcPr>
            <w:tcW w:w="1841" w:type="dxa"/>
            <w:vMerge w:val="continue"/>
            <w:vAlign w:val="center"/>
          </w:tcPr>
          <w:p>
            <w:pPr>
              <w:spacing w:after="0" w:line="240" w:lineRule="auto"/>
              <w:ind w:left="0" w:firstLine="0"/>
              <w:rPr>
                <w:rFonts w:cs="宋体" w:asciiTheme="minorEastAsia" w:hAnsiTheme="minorEastAsia" w:eastAsiaTheme="minorEastAsia"/>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344" w:type="dxa"/>
            <w:vMerge w:val="continue"/>
            <w:vAlign w:val="center"/>
          </w:tcPr>
          <w:p>
            <w:pPr>
              <w:spacing w:after="0" w:line="240" w:lineRule="auto"/>
              <w:ind w:left="0" w:firstLine="0"/>
              <w:rPr>
                <w:rFonts w:cs="宋体" w:asciiTheme="minorEastAsia" w:hAnsiTheme="minorEastAsia" w:eastAsiaTheme="minorEastAsia"/>
                <w:color w:val="auto"/>
                <w:kern w:val="0"/>
                <w:sz w:val="21"/>
                <w:szCs w:val="21"/>
              </w:rPr>
            </w:pPr>
          </w:p>
        </w:tc>
        <w:tc>
          <w:tcPr>
            <w:tcW w:w="5875" w:type="dxa"/>
            <w:shd w:val="clear" w:color="auto" w:fill="auto"/>
            <w:vAlign w:val="center"/>
          </w:tcPr>
          <w:p>
            <w:pPr>
              <w:spacing w:after="0" w:line="240" w:lineRule="auto"/>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按规定开展动员准备工作。</w:t>
            </w:r>
          </w:p>
        </w:tc>
        <w:tc>
          <w:tcPr>
            <w:tcW w:w="1841" w:type="dxa"/>
            <w:vMerge w:val="continue"/>
            <w:vAlign w:val="center"/>
          </w:tcPr>
          <w:p>
            <w:pPr>
              <w:spacing w:after="0" w:line="240" w:lineRule="auto"/>
              <w:ind w:left="0" w:firstLine="0"/>
              <w:rPr>
                <w:rFonts w:cs="宋体" w:asciiTheme="minorEastAsia" w:hAnsiTheme="minorEastAsia" w:eastAsiaTheme="minorEastAsia"/>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344" w:type="dxa"/>
            <w:vMerge w:val="restart"/>
            <w:shd w:val="clear" w:color="auto" w:fill="auto"/>
            <w:vAlign w:val="center"/>
          </w:tcPr>
          <w:p>
            <w:pPr>
              <w:spacing w:after="0" w:line="240" w:lineRule="auto"/>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应急预案</w:t>
            </w:r>
          </w:p>
        </w:tc>
        <w:tc>
          <w:tcPr>
            <w:tcW w:w="5875" w:type="dxa"/>
            <w:shd w:val="clear" w:color="auto" w:fill="auto"/>
            <w:vAlign w:val="center"/>
          </w:tcPr>
          <w:p>
            <w:pPr>
              <w:spacing w:after="0" w:line="240" w:lineRule="auto"/>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应急预案（现场处置方案）建立健全、内容合理。</w:t>
            </w:r>
          </w:p>
        </w:tc>
        <w:tc>
          <w:tcPr>
            <w:tcW w:w="1841" w:type="dxa"/>
            <w:vMerge w:val="restart"/>
            <w:shd w:val="clear" w:color="auto" w:fill="auto"/>
            <w:vAlign w:val="center"/>
          </w:tcPr>
          <w:p>
            <w:pPr>
              <w:spacing w:after="0" w:line="240" w:lineRule="auto"/>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344" w:type="dxa"/>
            <w:vMerge w:val="continue"/>
            <w:vAlign w:val="center"/>
          </w:tcPr>
          <w:p>
            <w:pPr>
              <w:spacing w:after="0" w:line="240" w:lineRule="auto"/>
              <w:ind w:left="0" w:firstLine="0"/>
              <w:rPr>
                <w:rFonts w:cs="宋体" w:asciiTheme="minorEastAsia" w:hAnsiTheme="minorEastAsia" w:eastAsiaTheme="minorEastAsia"/>
                <w:color w:val="auto"/>
                <w:kern w:val="0"/>
                <w:sz w:val="21"/>
                <w:szCs w:val="21"/>
              </w:rPr>
            </w:pPr>
          </w:p>
        </w:tc>
        <w:tc>
          <w:tcPr>
            <w:tcW w:w="5875" w:type="dxa"/>
            <w:shd w:val="clear" w:color="auto" w:fill="auto"/>
            <w:vAlign w:val="center"/>
          </w:tcPr>
          <w:p>
            <w:pPr>
              <w:spacing w:after="0" w:line="240" w:lineRule="auto"/>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按规定开展消防及应急疏散演练。</w:t>
            </w:r>
          </w:p>
        </w:tc>
        <w:tc>
          <w:tcPr>
            <w:tcW w:w="1841" w:type="dxa"/>
            <w:vMerge w:val="continue"/>
            <w:vAlign w:val="center"/>
          </w:tcPr>
          <w:p>
            <w:pPr>
              <w:spacing w:after="0" w:line="240" w:lineRule="auto"/>
              <w:ind w:left="0" w:firstLine="0"/>
              <w:rPr>
                <w:rFonts w:cs="宋体" w:asciiTheme="minorEastAsia" w:hAnsiTheme="minorEastAsia" w:eastAsiaTheme="minorEastAsia"/>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344" w:type="dxa"/>
            <w:vMerge w:val="restart"/>
            <w:shd w:val="clear" w:color="auto" w:fill="auto"/>
            <w:vAlign w:val="center"/>
          </w:tcPr>
          <w:p>
            <w:pPr>
              <w:spacing w:after="0" w:line="240" w:lineRule="auto"/>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监测预警</w:t>
            </w:r>
          </w:p>
        </w:tc>
        <w:tc>
          <w:tcPr>
            <w:tcW w:w="5875" w:type="dxa"/>
            <w:shd w:val="clear" w:color="auto" w:fill="auto"/>
            <w:vAlign w:val="center"/>
          </w:tcPr>
          <w:p>
            <w:pPr>
              <w:spacing w:after="0" w:line="240" w:lineRule="auto"/>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按规定开展领导带班、员工值班。</w:t>
            </w:r>
          </w:p>
        </w:tc>
        <w:tc>
          <w:tcPr>
            <w:tcW w:w="1841" w:type="dxa"/>
            <w:vMerge w:val="restart"/>
            <w:shd w:val="clear" w:color="auto" w:fill="auto"/>
            <w:vAlign w:val="center"/>
          </w:tcPr>
          <w:p>
            <w:pPr>
              <w:spacing w:after="0" w:line="240" w:lineRule="auto"/>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344" w:type="dxa"/>
            <w:vMerge w:val="continue"/>
            <w:vAlign w:val="center"/>
          </w:tcPr>
          <w:p>
            <w:pPr>
              <w:spacing w:after="0" w:line="240" w:lineRule="auto"/>
              <w:ind w:left="0" w:firstLine="0"/>
              <w:rPr>
                <w:rFonts w:cs="宋体" w:asciiTheme="minorEastAsia" w:hAnsiTheme="minorEastAsia" w:eastAsiaTheme="minorEastAsia"/>
                <w:color w:val="auto"/>
                <w:kern w:val="0"/>
                <w:sz w:val="21"/>
                <w:szCs w:val="21"/>
              </w:rPr>
            </w:pPr>
          </w:p>
        </w:tc>
        <w:tc>
          <w:tcPr>
            <w:tcW w:w="5875" w:type="dxa"/>
            <w:shd w:val="clear" w:color="auto" w:fill="auto"/>
            <w:vAlign w:val="center"/>
          </w:tcPr>
          <w:p>
            <w:pPr>
              <w:spacing w:after="0" w:line="240" w:lineRule="auto"/>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专人监测预警、信息收集齐全。</w:t>
            </w:r>
          </w:p>
        </w:tc>
        <w:tc>
          <w:tcPr>
            <w:tcW w:w="1841" w:type="dxa"/>
            <w:vMerge w:val="continue"/>
            <w:vAlign w:val="center"/>
          </w:tcPr>
          <w:p>
            <w:pPr>
              <w:spacing w:after="0" w:line="240" w:lineRule="auto"/>
              <w:ind w:left="0" w:firstLine="0"/>
              <w:rPr>
                <w:rFonts w:cs="宋体" w:asciiTheme="minorEastAsia" w:hAnsiTheme="minorEastAsia" w:eastAsiaTheme="minorEastAsia"/>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344" w:type="dxa"/>
            <w:vMerge w:val="continue"/>
            <w:vAlign w:val="center"/>
          </w:tcPr>
          <w:p>
            <w:pPr>
              <w:spacing w:after="0" w:line="240" w:lineRule="auto"/>
              <w:ind w:left="0" w:firstLine="0"/>
              <w:rPr>
                <w:rFonts w:cs="宋体" w:asciiTheme="minorEastAsia" w:hAnsiTheme="minorEastAsia" w:eastAsiaTheme="minorEastAsia"/>
                <w:color w:val="auto"/>
                <w:kern w:val="0"/>
                <w:sz w:val="21"/>
                <w:szCs w:val="21"/>
              </w:rPr>
            </w:pPr>
          </w:p>
        </w:tc>
        <w:tc>
          <w:tcPr>
            <w:tcW w:w="5875" w:type="dxa"/>
            <w:shd w:val="clear" w:color="auto" w:fill="auto"/>
            <w:vAlign w:val="center"/>
          </w:tcPr>
          <w:p>
            <w:pPr>
              <w:spacing w:after="0" w:line="240" w:lineRule="auto"/>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按规定开展上传下达工作。</w:t>
            </w:r>
          </w:p>
        </w:tc>
        <w:tc>
          <w:tcPr>
            <w:tcW w:w="1841" w:type="dxa"/>
            <w:vMerge w:val="continue"/>
            <w:vAlign w:val="center"/>
          </w:tcPr>
          <w:p>
            <w:pPr>
              <w:spacing w:after="0" w:line="240" w:lineRule="auto"/>
              <w:ind w:left="0" w:firstLine="0"/>
              <w:rPr>
                <w:rFonts w:cs="宋体" w:asciiTheme="minorEastAsia" w:hAnsiTheme="minorEastAsia" w:eastAsiaTheme="minorEastAsia"/>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344" w:type="dxa"/>
            <w:vMerge w:val="restart"/>
            <w:shd w:val="clear" w:color="auto" w:fill="auto"/>
            <w:vAlign w:val="center"/>
          </w:tcPr>
          <w:p>
            <w:pPr>
              <w:spacing w:after="0" w:line="240" w:lineRule="auto"/>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应急物资及设备设施保障</w:t>
            </w:r>
          </w:p>
        </w:tc>
        <w:tc>
          <w:tcPr>
            <w:tcW w:w="5875" w:type="dxa"/>
            <w:shd w:val="clear" w:color="auto" w:fill="auto"/>
            <w:vAlign w:val="center"/>
          </w:tcPr>
          <w:p>
            <w:pPr>
              <w:spacing w:after="0" w:line="240" w:lineRule="auto"/>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灭火器、消防水、消防沙、铁锹等应急物资配备齐全有效，位置合理。</w:t>
            </w:r>
          </w:p>
        </w:tc>
        <w:tc>
          <w:tcPr>
            <w:tcW w:w="1841" w:type="dxa"/>
            <w:vMerge w:val="restart"/>
            <w:shd w:val="clear" w:color="auto" w:fill="auto"/>
            <w:vAlign w:val="center"/>
          </w:tcPr>
          <w:p>
            <w:pPr>
              <w:spacing w:after="0" w:line="240" w:lineRule="auto"/>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344" w:type="dxa"/>
            <w:vMerge w:val="continue"/>
            <w:vAlign w:val="center"/>
          </w:tcPr>
          <w:p>
            <w:pPr>
              <w:spacing w:after="0" w:line="240" w:lineRule="auto"/>
              <w:ind w:left="0" w:firstLine="0"/>
              <w:rPr>
                <w:rFonts w:cs="宋体" w:asciiTheme="minorEastAsia" w:hAnsiTheme="minorEastAsia" w:eastAsiaTheme="minorEastAsia"/>
                <w:color w:val="auto"/>
                <w:kern w:val="0"/>
                <w:sz w:val="21"/>
                <w:szCs w:val="21"/>
              </w:rPr>
            </w:pPr>
          </w:p>
        </w:tc>
        <w:tc>
          <w:tcPr>
            <w:tcW w:w="5875" w:type="dxa"/>
            <w:shd w:val="clear" w:color="auto" w:fill="auto"/>
            <w:vAlign w:val="center"/>
          </w:tcPr>
          <w:p>
            <w:pPr>
              <w:spacing w:after="0" w:line="240" w:lineRule="auto"/>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边沟及站区、周边杂草处理完毕。</w:t>
            </w:r>
          </w:p>
        </w:tc>
        <w:tc>
          <w:tcPr>
            <w:tcW w:w="1841" w:type="dxa"/>
            <w:vMerge w:val="continue"/>
            <w:vAlign w:val="center"/>
          </w:tcPr>
          <w:p>
            <w:pPr>
              <w:spacing w:after="0" w:line="240" w:lineRule="auto"/>
              <w:ind w:left="0" w:firstLine="0"/>
              <w:rPr>
                <w:rFonts w:cs="宋体" w:asciiTheme="minorEastAsia" w:hAnsiTheme="minorEastAsia" w:eastAsiaTheme="minorEastAsia"/>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344" w:type="dxa"/>
            <w:vMerge w:val="continue"/>
            <w:vAlign w:val="center"/>
          </w:tcPr>
          <w:p>
            <w:pPr>
              <w:spacing w:after="0" w:line="240" w:lineRule="auto"/>
              <w:ind w:left="0" w:firstLine="0"/>
              <w:rPr>
                <w:rFonts w:cs="宋体" w:asciiTheme="minorEastAsia" w:hAnsiTheme="minorEastAsia" w:eastAsiaTheme="minorEastAsia"/>
                <w:color w:val="auto"/>
                <w:kern w:val="0"/>
                <w:sz w:val="21"/>
                <w:szCs w:val="21"/>
              </w:rPr>
            </w:pPr>
          </w:p>
        </w:tc>
        <w:tc>
          <w:tcPr>
            <w:tcW w:w="5875" w:type="dxa"/>
            <w:shd w:val="clear" w:color="auto" w:fill="auto"/>
            <w:vAlign w:val="center"/>
          </w:tcPr>
          <w:p>
            <w:pPr>
              <w:spacing w:after="0" w:line="240" w:lineRule="auto"/>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易燃易爆物品存储、使用符合规定。</w:t>
            </w:r>
          </w:p>
        </w:tc>
        <w:tc>
          <w:tcPr>
            <w:tcW w:w="1841" w:type="dxa"/>
            <w:vMerge w:val="continue"/>
            <w:vAlign w:val="center"/>
          </w:tcPr>
          <w:p>
            <w:pPr>
              <w:spacing w:after="0" w:line="240" w:lineRule="auto"/>
              <w:ind w:left="0" w:firstLine="0"/>
              <w:rPr>
                <w:rFonts w:cs="宋体" w:asciiTheme="minorEastAsia" w:hAnsiTheme="minorEastAsia" w:eastAsiaTheme="minorEastAsia"/>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344" w:type="dxa"/>
            <w:vMerge w:val="continue"/>
            <w:vAlign w:val="center"/>
          </w:tcPr>
          <w:p>
            <w:pPr>
              <w:spacing w:after="0" w:line="240" w:lineRule="auto"/>
              <w:ind w:left="0" w:firstLine="0"/>
              <w:rPr>
                <w:rFonts w:cs="宋体" w:asciiTheme="minorEastAsia" w:hAnsiTheme="minorEastAsia" w:eastAsiaTheme="minorEastAsia"/>
                <w:color w:val="auto"/>
                <w:kern w:val="0"/>
                <w:sz w:val="21"/>
                <w:szCs w:val="21"/>
              </w:rPr>
            </w:pPr>
          </w:p>
        </w:tc>
        <w:tc>
          <w:tcPr>
            <w:tcW w:w="5875" w:type="dxa"/>
            <w:shd w:val="clear" w:color="auto" w:fill="auto"/>
            <w:vAlign w:val="center"/>
          </w:tcPr>
          <w:p>
            <w:pPr>
              <w:spacing w:after="0" w:line="240" w:lineRule="auto"/>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电气设备设施绝缘可靠、无私拉乱接、超负荷用电等现象。</w:t>
            </w:r>
          </w:p>
        </w:tc>
        <w:tc>
          <w:tcPr>
            <w:tcW w:w="1841" w:type="dxa"/>
            <w:vMerge w:val="continue"/>
            <w:vAlign w:val="center"/>
          </w:tcPr>
          <w:p>
            <w:pPr>
              <w:spacing w:after="0" w:line="240" w:lineRule="auto"/>
              <w:ind w:left="0" w:firstLine="0"/>
              <w:rPr>
                <w:rFonts w:cs="宋体" w:asciiTheme="minorEastAsia" w:hAnsiTheme="minorEastAsia" w:eastAsiaTheme="minorEastAsia"/>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1344" w:type="dxa"/>
            <w:shd w:val="clear" w:color="auto" w:fill="auto"/>
            <w:vAlign w:val="center"/>
          </w:tcPr>
          <w:p>
            <w:pPr>
              <w:spacing w:after="0" w:line="240" w:lineRule="auto"/>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其他</w:t>
            </w:r>
          </w:p>
        </w:tc>
        <w:tc>
          <w:tcPr>
            <w:tcW w:w="5875" w:type="dxa"/>
            <w:shd w:val="clear" w:color="auto" w:fill="auto"/>
            <w:vAlign w:val="center"/>
          </w:tcPr>
          <w:p>
            <w:pPr>
              <w:spacing w:after="0" w:line="240" w:lineRule="auto"/>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按上级要求开展防火专项隐患排查治理工作。</w:t>
            </w:r>
          </w:p>
        </w:tc>
        <w:tc>
          <w:tcPr>
            <w:tcW w:w="1841" w:type="dxa"/>
            <w:shd w:val="clear" w:color="auto" w:fill="auto"/>
            <w:vAlign w:val="center"/>
          </w:tcPr>
          <w:p>
            <w:pPr>
              <w:spacing w:after="0" w:line="240" w:lineRule="auto"/>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9060" w:type="dxa"/>
            <w:gridSpan w:val="3"/>
            <w:shd w:val="clear" w:color="auto" w:fill="auto"/>
            <w:vAlign w:val="center"/>
          </w:tcPr>
          <w:p>
            <w:pPr>
              <w:spacing w:after="0" w:line="240" w:lineRule="auto"/>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组织人：               参加人员：                               日期：</w:t>
            </w:r>
          </w:p>
        </w:tc>
      </w:tr>
    </w:tbl>
    <w:p>
      <w:pPr>
        <w:widowControl w:val="0"/>
        <w:spacing w:after="0" w:line="560" w:lineRule="exact"/>
        <w:ind w:left="0" w:firstLine="432" w:firstLineChars="200"/>
        <w:jc w:val="center"/>
        <w:rPr>
          <w:rFonts w:cs="Calibri" w:asciiTheme="minorEastAsia" w:hAnsiTheme="minorEastAsia" w:eastAsiaTheme="minorEastAsia"/>
          <w:b/>
          <w:color w:val="auto"/>
          <w:sz w:val="22"/>
          <w:szCs w:val="24"/>
        </w:rPr>
      </w:pPr>
    </w:p>
    <w:p>
      <w:pPr>
        <w:widowControl w:val="0"/>
        <w:spacing w:after="0" w:line="560" w:lineRule="exact"/>
        <w:ind w:left="0" w:firstLine="432" w:firstLineChars="200"/>
        <w:jc w:val="center"/>
        <w:rPr>
          <w:rFonts w:cs="Calibri" w:asciiTheme="minorEastAsia" w:hAnsiTheme="minorEastAsia" w:eastAsiaTheme="minorEastAsia"/>
          <w:b/>
          <w:color w:val="auto"/>
          <w:sz w:val="22"/>
          <w:szCs w:val="24"/>
        </w:rPr>
      </w:pPr>
    </w:p>
    <w:p>
      <w:pPr>
        <w:widowControl w:val="0"/>
        <w:spacing w:after="0" w:line="360" w:lineRule="auto"/>
        <w:ind w:left="0" w:firstLine="482"/>
        <w:jc w:val="both"/>
        <w:outlineLvl w:val="2"/>
        <w:rPr>
          <w:rFonts w:cs="Calibri" w:asciiTheme="minorEastAsia" w:hAnsiTheme="minorEastAsia" w:eastAsiaTheme="minorEastAsia"/>
          <w:b/>
          <w:color w:val="auto"/>
          <w:szCs w:val="24"/>
        </w:rPr>
      </w:pPr>
      <w:r>
        <w:rPr>
          <w:rFonts w:cs="Calibri" w:asciiTheme="minorEastAsia" w:hAnsiTheme="minorEastAsia" w:eastAsiaTheme="minorEastAsia"/>
          <w:b/>
          <w:color w:val="auto"/>
          <w:szCs w:val="24"/>
        </w:rPr>
        <w:br w:type="page"/>
      </w:r>
    </w:p>
    <w:p>
      <w:pPr>
        <w:widowControl w:val="0"/>
        <w:spacing w:after="0" w:line="360" w:lineRule="auto"/>
        <w:ind w:left="0" w:firstLine="482"/>
        <w:jc w:val="both"/>
        <w:outlineLvl w:val="2"/>
        <w:rPr>
          <w:rFonts w:cs="Calibri" w:asciiTheme="minorEastAsia" w:hAnsiTheme="minorEastAsia" w:eastAsiaTheme="minorEastAsia"/>
          <w:b/>
          <w:color w:val="auto"/>
          <w:szCs w:val="24"/>
        </w:rPr>
      </w:pPr>
      <w:bookmarkStart w:id="27" w:name="_Toc80301760"/>
      <w:r>
        <w:rPr>
          <w:rFonts w:hint="eastAsia" w:cs="Calibri" w:asciiTheme="minorEastAsia" w:hAnsiTheme="minorEastAsia" w:eastAsiaTheme="minorEastAsia"/>
          <w:b/>
          <w:color w:val="auto"/>
          <w:szCs w:val="24"/>
        </w:rPr>
        <w:t>3.4.3除雪专项隐患排查记录</w:t>
      </w:r>
      <w:bookmarkEnd w:id="27"/>
    </w:p>
    <w:p>
      <w:pPr>
        <w:widowControl w:val="0"/>
        <w:spacing w:after="0" w:line="560" w:lineRule="exact"/>
        <w:ind w:left="0" w:firstLine="432" w:firstLineChars="200"/>
        <w:jc w:val="center"/>
        <w:rPr>
          <w:rFonts w:cs="Calibri" w:asciiTheme="minorEastAsia" w:hAnsiTheme="minorEastAsia" w:eastAsiaTheme="minorEastAsia"/>
          <w:b/>
          <w:color w:val="auto"/>
          <w:sz w:val="22"/>
          <w:szCs w:val="24"/>
        </w:rPr>
      </w:pPr>
      <w:r>
        <w:rPr>
          <w:rFonts w:hint="eastAsia" w:cs="Calibri" w:asciiTheme="minorEastAsia" w:hAnsiTheme="minorEastAsia" w:eastAsiaTheme="minorEastAsia"/>
          <w:b/>
          <w:color w:val="auto"/>
          <w:sz w:val="22"/>
          <w:szCs w:val="24"/>
        </w:rPr>
        <w:t>表3-</w:t>
      </w:r>
      <w:r>
        <w:rPr>
          <w:rFonts w:cs="Calibri" w:asciiTheme="minorEastAsia" w:hAnsiTheme="minorEastAsia" w:eastAsiaTheme="minorEastAsia"/>
          <w:b/>
          <w:color w:val="auto"/>
          <w:sz w:val="22"/>
          <w:szCs w:val="24"/>
        </w:rPr>
        <w:t>12</w:t>
      </w:r>
      <w:r>
        <w:rPr>
          <w:rFonts w:hint="eastAsia" w:cs="Calibri" w:asciiTheme="minorEastAsia" w:hAnsiTheme="minorEastAsia" w:eastAsiaTheme="minorEastAsia"/>
          <w:b/>
          <w:color w:val="auto"/>
          <w:sz w:val="22"/>
          <w:szCs w:val="24"/>
        </w:rPr>
        <w:t xml:space="preserve"> 除雪专项隐患排查记录表</w:t>
      </w:r>
    </w:p>
    <w:tbl>
      <w:tblPr>
        <w:tblStyle w:val="30"/>
        <w:tblW w:w="9060" w:type="dxa"/>
        <w:tblInd w:w="0" w:type="dxa"/>
        <w:tblLayout w:type="fixed"/>
        <w:tblCellMar>
          <w:top w:w="0" w:type="dxa"/>
          <w:left w:w="108" w:type="dxa"/>
          <w:bottom w:w="0" w:type="dxa"/>
          <w:right w:w="108" w:type="dxa"/>
        </w:tblCellMar>
      </w:tblPr>
      <w:tblGrid>
        <w:gridCol w:w="1344"/>
        <w:gridCol w:w="5875"/>
        <w:gridCol w:w="1841"/>
      </w:tblGrid>
      <w:tr>
        <w:tblPrEx>
          <w:tblCellMar>
            <w:top w:w="0" w:type="dxa"/>
            <w:left w:w="108" w:type="dxa"/>
            <w:bottom w:w="0" w:type="dxa"/>
            <w:right w:w="108" w:type="dxa"/>
          </w:tblCellMar>
        </w:tblPrEx>
        <w:trPr>
          <w:trHeight w:val="600" w:hRule="atLeast"/>
          <w:tblHeader/>
        </w:trPr>
        <w:tc>
          <w:tcPr>
            <w:tcW w:w="1344"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after="0" w:line="240" w:lineRule="auto"/>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排查要点</w:t>
            </w:r>
          </w:p>
        </w:tc>
        <w:tc>
          <w:tcPr>
            <w:tcW w:w="5875" w:type="dxa"/>
            <w:tcBorders>
              <w:top w:val="single" w:color="auto" w:sz="4" w:space="0"/>
              <w:left w:val="nil"/>
              <w:bottom w:val="single" w:color="auto" w:sz="4" w:space="0"/>
              <w:right w:val="single" w:color="auto" w:sz="4" w:space="0"/>
            </w:tcBorders>
            <w:shd w:val="clear" w:color="auto" w:fill="F1F1F1" w:themeFill="background1" w:themeFillShade="F2"/>
            <w:vAlign w:val="center"/>
          </w:tcPr>
          <w:p>
            <w:pPr>
              <w:spacing w:after="0" w:line="240" w:lineRule="auto"/>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排查内容</w:t>
            </w:r>
          </w:p>
        </w:tc>
        <w:tc>
          <w:tcPr>
            <w:tcW w:w="1841" w:type="dxa"/>
            <w:tcBorders>
              <w:top w:val="single" w:color="auto" w:sz="4" w:space="0"/>
              <w:left w:val="nil"/>
              <w:bottom w:val="single" w:color="auto" w:sz="4" w:space="0"/>
              <w:right w:val="single" w:color="auto" w:sz="4" w:space="0"/>
            </w:tcBorders>
            <w:shd w:val="clear" w:color="auto" w:fill="F1F1F1" w:themeFill="background1" w:themeFillShade="F2"/>
            <w:vAlign w:val="center"/>
          </w:tcPr>
          <w:p>
            <w:pPr>
              <w:spacing w:after="0" w:line="240" w:lineRule="auto"/>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排查结果</w:t>
            </w:r>
          </w:p>
        </w:tc>
      </w:tr>
      <w:tr>
        <w:tblPrEx>
          <w:tblCellMar>
            <w:top w:w="0" w:type="dxa"/>
            <w:left w:w="108" w:type="dxa"/>
            <w:bottom w:w="0" w:type="dxa"/>
            <w:right w:w="108" w:type="dxa"/>
          </w:tblCellMar>
        </w:tblPrEx>
        <w:trPr>
          <w:trHeight w:val="600" w:hRule="atLeast"/>
        </w:trPr>
        <w:tc>
          <w:tcPr>
            <w:tcW w:w="1344" w:type="dxa"/>
            <w:vMerge w:val="restart"/>
            <w:tcBorders>
              <w:top w:val="nil"/>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组织准备</w:t>
            </w:r>
          </w:p>
        </w:tc>
        <w:tc>
          <w:tcPr>
            <w:tcW w:w="5875" w:type="dxa"/>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领导小组成立，组织体系及职责明确。</w:t>
            </w:r>
          </w:p>
        </w:tc>
        <w:tc>
          <w:tcPr>
            <w:tcW w:w="1841" w:type="dxa"/>
            <w:vMerge w:val="restart"/>
            <w:tcBorders>
              <w:top w:val="nil"/>
              <w:left w:val="single" w:color="auto" w:sz="4" w:space="0"/>
              <w:bottom w:val="single" w:color="000000" w:sz="4" w:space="0"/>
              <w:right w:val="single" w:color="auto" w:sz="4" w:space="0"/>
            </w:tcBorders>
            <w:shd w:val="clear" w:color="auto" w:fill="auto"/>
            <w:vAlign w:val="center"/>
          </w:tcPr>
          <w:p>
            <w:pPr>
              <w:spacing w:after="0" w:line="240" w:lineRule="auto"/>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　</w:t>
            </w:r>
          </w:p>
        </w:tc>
      </w:tr>
      <w:tr>
        <w:tblPrEx>
          <w:tblCellMar>
            <w:top w:w="0" w:type="dxa"/>
            <w:left w:w="108" w:type="dxa"/>
            <w:bottom w:w="0" w:type="dxa"/>
            <w:right w:w="108" w:type="dxa"/>
          </w:tblCellMar>
        </w:tblPrEx>
        <w:trPr>
          <w:trHeight w:val="600" w:hRule="atLeast"/>
        </w:trPr>
        <w:tc>
          <w:tcPr>
            <w:tcW w:w="1344" w:type="dxa"/>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cs="宋体" w:asciiTheme="minorEastAsia" w:hAnsiTheme="minorEastAsia" w:eastAsiaTheme="minorEastAsia"/>
                <w:color w:val="auto"/>
                <w:kern w:val="0"/>
                <w:sz w:val="21"/>
                <w:szCs w:val="21"/>
              </w:rPr>
            </w:pPr>
          </w:p>
        </w:tc>
        <w:tc>
          <w:tcPr>
            <w:tcW w:w="5875" w:type="dxa"/>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应急队伍成立，人员充足、信息明确。</w:t>
            </w:r>
          </w:p>
        </w:tc>
        <w:tc>
          <w:tcPr>
            <w:tcW w:w="1841" w:type="dxa"/>
            <w:vMerge w:val="continue"/>
            <w:tcBorders>
              <w:top w:val="nil"/>
              <w:left w:val="single" w:color="auto" w:sz="4" w:space="0"/>
              <w:bottom w:val="single" w:color="000000" w:sz="4" w:space="0"/>
              <w:right w:val="single" w:color="auto" w:sz="4" w:space="0"/>
            </w:tcBorders>
            <w:vAlign w:val="center"/>
          </w:tcPr>
          <w:p>
            <w:pPr>
              <w:spacing w:after="0" w:line="240" w:lineRule="auto"/>
              <w:ind w:left="0" w:firstLine="0"/>
              <w:rPr>
                <w:rFonts w:cs="宋体" w:asciiTheme="minorEastAsia" w:hAnsiTheme="minorEastAsia" w:eastAsiaTheme="minorEastAsia"/>
                <w:color w:val="auto"/>
                <w:kern w:val="0"/>
                <w:sz w:val="21"/>
                <w:szCs w:val="21"/>
              </w:rPr>
            </w:pPr>
          </w:p>
        </w:tc>
      </w:tr>
      <w:tr>
        <w:tblPrEx>
          <w:tblCellMar>
            <w:top w:w="0" w:type="dxa"/>
            <w:left w:w="108" w:type="dxa"/>
            <w:bottom w:w="0" w:type="dxa"/>
            <w:right w:w="108" w:type="dxa"/>
          </w:tblCellMar>
        </w:tblPrEx>
        <w:trPr>
          <w:trHeight w:val="600" w:hRule="atLeast"/>
        </w:trPr>
        <w:tc>
          <w:tcPr>
            <w:tcW w:w="1344" w:type="dxa"/>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cs="宋体" w:asciiTheme="minorEastAsia" w:hAnsiTheme="minorEastAsia" w:eastAsiaTheme="minorEastAsia"/>
                <w:color w:val="auto"/>
                <w:kern w:val="0"/>
                <w:sz w:val="21"/>
                <w:szCs w:val="21"/>
              </w:rPr>
            </w:pPr>
          </w:p>
        </w:tc>
        <w:tc>
          <w:tcPr>
            <w:tcW w:w="5875" w:type="dxa"/>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按规定开展动员准备工作。</w:t>
            </w:r>
          </w:p>
        </w:tc>
        <w:tc>
          <w:tcPr>
            <w:tcW w:w="1841" w:type="dxa"/>
            <w:vMerge w:val="continue"/>
            <w:tcBorders>
              <w:top w:val="nil"/>
              <w:left w:val="single" w:color="auto" w:sz="4" w:space="0"/>
              <w:bottom w:val="single" w:color="000000" w:sz="4" w:space="0"/>
              <w:right w:val="single" w:color="auto" w:sz="4" w:space="0"/>
            </w:tcBorders>
            <w:vAlign w:val="center"/>
          </w:tcPr>
          <w:p>
            <w:pPr>
              <w:spacing w:after="0" w:line="240" w:lineRule="auto"/>
              <w:ind w:left="0" w:firstLine="0"/>
              <w:rPr>
                <w:rFonts w:cs="宋体" w:asciiTheme="minorEastAsia" w:hAnsiTheme="minorEastAsia" w:eastAsiaTheme="minorEastAsia"/>
                <w:color w:val="auto"/>
                <w:kern w:val="0"/>
                <w:sz w:val="21"/>
                <w:szCs w:val="21"/>
              </w:rPr>
            </w:pPr>
          </w:p>
        </w:tc>
      </w:tr>
      <w:tr>
        <w:tblPrEx>
          <w:tblCellMar>
            <w:top w:w="0" w:type="dxa"/>
            <w:left w:w="108" w:type="dxa"/>
            <w:bottom w:w="0" w:type="dxa"/>
            <w:right w:w="108" w:type="dxa"/>
          </w:tblCellMar>
        </w:tblPrEx>
        <w:trPr>
          <w:trHeight w:val="600" w:hRule="atLeast"/>
        </w:trPr>
        <w:tc>
          <w:tcPr>
            <w:tcW w:w="1344" w:type="dxa"/>
            <w:vMerge w:val="restart"/>
            <w:tcBorders>
              <w:top w:val="nil"/>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应急预案</w:t>
            </w:r>
          </w:p>
        </w:tc>
        <w:tc>
          <w:tcPr>
            <w:tcW w:w="5875" w:type="dxa"/>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应急预案（现场处置方案）建立健全、内容合理。</w:t>
            </w:r>
          </w:p>
        </w:tc>
        <w:tc>
          <w:tcPr>
            <w:tcW w:w="1841" w:type="dxa"/>
            <w:vMerge w:val="restart"/>
            <w:tcBorders>
              <w:top w:val="nil"/>
              <w:left w:val="single" w:color="auto" w:sz="4" w:space="0"/>
              <w:bottom w:val="single" w:color="000000" w:sz="4" w:space="0"/>
              <w:right w:val="single" w:color="auto" w:sz="4" w:space="0"/>
            </w:tcBorders>
            <w:shd w:val="clear" w:color="auto" w:fill="auto"/>
            <w:vAlign w:val="center"/>
          </w:tcPr>
          <w:p>
            <w:pPr>
              <w:spacing w:after="0" w:line="240" w:lineRule="auto"/>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　</w:t>
            </w:r>
          </w:p>
        </w:tc>
      </w:tr>
      <w:tr>
        <w:tblPrEx>
          <w:tblCellMar>
            <w:top w:w="0" w:type="dxa"/>
            <w:left w:w="108" w:type="dxa"/>
            <w:bottom w:w="0" w:type="dxa"/>
            <w:right w:w="108" w:type="dxa"/>
          </w:tblCellMar>
        </w:tblPrEx>
        <w:trPr>
          <w:trHeight w:val="600" w:hRule="atLeast"/>
        </w:trPr>
        <w:tc>
          <w:tcPr>
            <w:tcW w:w="1344" w:type="dxa"/>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cs="宋体" w:asciiTheme="minorEastAsia" w:hAnsiTheme="minorEastAsia" w:eastAsiaTheme="minorEastAsia"/>
                <w:color w:val="auto"/>
                <w:kern w:val="0"/>
                <w:sz w:val="21"/>
                <w:szCs w:val="21"/>
              </w:rPr>
            </w:pPr>
          </w:p>
        </w:tc>
        <w:tc>
          <w:tcPr>
            <w:tcW w:w="5875" w:type="dxa"/>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按规定开展应急演练。</w:t>
            </w:r>
          </w:p>
        </w:tc>
        <w:tc>
          <w:tcPr>
            <w:tcW w:w="1841" w:type="dxa"/>
            <w:vMerge w:val="continue"/>
            <w:tcBorders>
              <w:top w:val="nil"/>
              <w:left w:val="single" w:color="auto" w:sz="4" w:space="0"/>
              <w:bottom w:val="single" w:color="000000" w:sz="4" w:space="0"/>
              <w:right w:val="single" w:color="auto" w:sz="4" w:space="0"/>
            </w:tcBorders>
            <w:vAlign w:val="center"/>
          </w:tcPr>
          <w:p>
            <w:pPr>
              <w:spacing w:after="0" w:line="240" w:lineRule="auto"/>
              <w:ind w:left="0" w:firstLine="0"/>
              <w:rPr>
                <w:rFonts w:cs="宋体" w:asciiTheme="minorEastAsia" w:hAnsiTheme="minorEastAsia" w:eastAsiaTheme="minorEastAsia"/>
                <w:color w:val="auto"/>
                <w:kern w:val="0"/>
                <w:sz w:val="21"/>
                <w:szCs w:val="21"/>
              </w:rPr>
            </w:pPr>
          </w:p>
        </w:tc>
      </w:tr>
      <w:tr>
        <w:tblPrEx>
          <w:tblCellMar>
            <w:top w:w="0" w:type="dxa"/>
            <w:left w:w="108" w:type="dxa"/>
            <w:bottom w:w="0" w:type="dxa"/>
            <w:right w:w="108" w:type="dxa"/>
          </w:tblCellMar>
        </w:tblPrEx>
        <w:trPr>
          <w:trHeight w:val="600" w:hRule="atLeast"/>
        </w:trPr>
        <w:tc>
          <w:tcPr>
            <w:tcW w:w="1344" w:type="dxa"/>
            <w:vMerge w:val="restart"/>
            <w:tcBorders>
              <w:top w:val="nil"/>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监测预警</w:t>
            </w:r>
          </w:p>
        </w:tc>
        <w:tc>
          <w:tcPr>
            <w:tcW w:w="5875" w:type="dxa"/>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按规定开展领导带班、员工值班。</w:t>
            </w:r>
          </w:p>
        </w:tc>
        <w:tc>
          <w:tcPr>
            <w:tcW w:w="1841" w:type="dxa"/>
            <w:vMerge w:val="restart"/>
            <w:tcBorders>
              <w:top w:val="nil"/>
              <w:left w:val="single" w:color="auto" w:sz="4" w:space="0"/>
              <w:bottom w:val="single" w:color="000000" w:sz="4" w:space="0"/>
              <w:right w:val="single" w:color="auto" w:sz="4" w:space="0"/>
            </w:tcBorders>
            <w:shd w:val="clear" w:color="auto" w:fill="auto"/>
            <w:vAlign w:val="center"/>
          </w:tcPr>
          <w:p>
            <w:pPr>
              <w:spacing w:after="0" w:line="240" w:lineRule="auto"/>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　</w:t>
            </w:r>
          </w:p>
        </w:tc>
      </w:tr>
      <w:tr>
        <w:tblPrEx>
          <w:tblCellMar>
            <w:top w:w="0" w:type="dxa"/>
            <w:left w:w="108" w:type="dxa"/>
            <w:bottom w:w="0" w:type="dxa"/>
            <w:right w:w="108" w:type="dxa"/>
          </w:tblCellMar>
        </w:tblPrEx>
        <w:trPr>
          <w:trHeight w:val="600" w:hRule="atLeast"/>
        </w:trPr>
        <w:tc>
          <w:tcPr>
            <w:tcW w:w="1344" w:type="dxa"/>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cs="宋体" w:asciiTheme="minorEastAsia" w:hAnsiTheme="minorEastAsia" w:eastAsiaTheme="minorEastAsia"/>
                <w:color w:val="auto"/>
                <w:kern w:val="0"/>
                <w:sz w:val="21"/>
                <w:szCs w:val="21"/>
              </w:rPr>
            </w:pPr>
          </w:p>
        </w:tc>
        <w:tc>
          <w:tcPr>
            <w:tcW w:w="5875" w:type="dxa"/>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专人监测预警、信息收集齐全。</w:t>
            </w:r>
          </w:p>
        </w:tc>
        <w:tc>
          <w:tcPr>
            <w:tcW w:w="1841" w:type="dxa"/>
            <w:vMerge w:val="continue"/>
            <w:tcBorders>
              <w:top w:val="nil"/>
              <w:left w:val="single" w:color="auto" w:sz="4" w:space="0"/>
              <w:bottom w:val="single" w:color="000000" w:sz="4" w:space="0"/>
              <w:right w:val="single" w:color="auto" w:sz="4" w:space="0"/>
            </w:tcBorders>
            <w:vAlign w:val="center"/>
          </w:tcPr>
          <w:p>
            <w:pPr>
              <w:spacing w:after="0" w:line="240" w:lineRule="auto"/>
              <w:ind w:left="0" w:firstLine="0"/>
              <w:rPr>
                <w:rFonts w:cs="宋体" w:asciiTheme="minorEastAsia" w:hAnsiTheme="minorEastAsia" w:eastAsiaTheme="minorEastAsia"/>
                <w:color w:val="auto"/>
                <w:kern w:val="0"/>
                <w:sz w:val="21"/>
                <w:szCs w:val="21"/>
              </w:rPr>
            </w:pPr>
          </w:p>
        </w:tc>
      </w:tr>
      <w:tr>
        <w:tblPrEx>
          <w:tblCellMar>
            <w:top w:w="0" w:type="dxa"/>
            <w:left w:w="108" w:type="dxa"/>
            <w:bottom w:w="0" w:type="dxa"/>
            <w:right w:w="108" w:type="dxa"/>
          </w:tblCellMar>
        </w:tblPrEx>
        <w:trPr>
          <w:trHeight w:val="600" w:hRule="atLeast"/>
        </w:trPr>
        <w:tc>
          <w:tcPr>
            <w:tcW w:w="1344" w:type="dxa"/>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cs="宋体" w:asciiTheme="minorEastAsia" w:hAnsiTheme="minorEastAsia" w:eastAsiaTheme="minorEastAsia"/>
                <w:color w:val="auto"/>
                <w:kern w:val="0"/>
                <w:sz w:val="21"/>
                <w:szCs w:val="21"/>
              </w:rPr>
            </w:pPr>
          </w:p>
        </w:tc>
        <w:tc>
          <w:tcPr>
            <w:tcW w:w="5875" w:type="dxa"/>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按规定开展上传下达工作。</w:t>
            </w:r>
          </w:p>
        </w:tc>
        <w:tc>
          <w:tcPr>
            <w:tcW w:w="1841" w:type="dxa"/>
            <w:vMerge w:val="continue"/>
            <w:tcBorders>
              <w:top w:val="nil"/>
              <w:left w:val="single" w:color="auto" w:sz="4" w:space="0"/>
              <w:bottom w:val="single" w:color="000000" w:sz="4" w:space="0"/>
              <w:right w:val="single" w:color="auto" w:sz="4" w:space="0"/>
            </w:tcBorders>
            <w:vAlign w:val="center"/>
          </w:tcPr>
          <w:p>
            <w:pPr>
              <w:spacing w:after="0" w:line="240" w:lineRule="auto"/>
              <w:ind w:left="0" w:firstLine="0"/>
              <w:rPr>
                <w:rFonts w:cs="宋体" w:asciiTheme="minorEastAsia" w:hAnsiTheme="minorEastAsia" w:eastAsiaTheme="minorEastAsia"/>
                <w:color w:val="auto"/>
                <w:kern w:val="0"/>
                <w:sz w:val="21"/>
                <w:szCs w:val="21"/>
              </w:rPr>
            </w:pPr>
          </w:p>
        </w:tc>
      </w:tr>
      <w:tr>
        <w:tblPrEx>
          <w:tblCellMar>
            <w:top w:w="0" w:type="dxa"/>
            <w:left w:w="108" w:type="dxa"/>
            <w:bottom w:w="0" w:type="dxa"/>
            <w:right w:w="108" w:type="dxa"/>
          </w:tblCellMar>
        </w:tblPrEx>
        <w:trPr>
          <w:trHeight w:val="600" w:hRule="atLeast"/>
        </w:trPr>
        <w:tc>
          <w:tcPr>
            <w:tcW w:w="1344" w:type="dxa"/>
            <w:vMerge w:val="restart"/>
            <w:tcBorders>
              <w:top w:val="nil"/>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应急保障</w:t>
            </w:r>
          </w:p>
        </w:tc>
        <w:tc>
          <w:tcPr>
            <w:tcW w:w="5875" w:type="dxa"/>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通讯器材及线路齐全有效。</w:t>
            </w:r>
          </w:p>
        </w:tc>
        <w:tc>
          <w:tcPr>
            <w:tcW w:w="1841" w:type="dxa"/>
            <w:vMerge w:val="restart"/>
            <w:tcBorders>
              <w:top w:val="nil"/>
              <w:left w:val="single" w:color="auto" w:sz="4" w:space="0"/>
              <w:bottom w:val="single" w:color="000000" w:sz="4" w:space="0"/>
              <w:right w:val="single" w:color="auto" w:sz="4" w:space="0"/>
            </w:tcBorders>
            <w:shd w:val="clear" w:color="auto" w:fill="auto"/>
            <w:vAlign w:val="center"/>
          </w:tcPr>
          <w:p>
            <w:pPr>
              <w:spacing w:after="0" w:line="240" w:lineRule="auto"/>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　</w:t>
            </w:r>
          </w:p>
        </w:tc>
      </w:tr>
      <w:tr>
        <w:tblPrEx>
          <w:tblCellMar>
            <w:top w:w="0" w:type="dxa"/>
            <w:left w:w="108" w:type="dxa"/>
            <w:bottom w:w="0" w:type="dxa"/>
            <w:right w:w="108" w:type="dxa"/>
          </w:tblCellMar>
        </w:tblPrEx>
        <w:trPr>
          <w:trHeight w:val="600" w:hRule="atLeast"/>
        </w:trPr>
        <w:tc>
          <w:tcPr>
            <w:tcW w:w="1344" w:type="dxa"/>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cs="宋体" w:asciiTheme="minorEastAsia" w:hAnsiTheme="minorEastAsia" w:eastAsiaTheme="minorEastAsia"/>
                <w:color w:val="auto"/>
                <w:kern w:val="0"/>
                <w:sz w:val="21"/>
                <w:szCs w:val="21"/>
              </w:rPr>
            </w:pPr>
          </w:p>
        </w:tc>
        <w:tc>
          <w:tcPr>
            <w:tcW w:w="5875" w:type="dxa"/>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除雪资金充足。</w:t>
            </w:r>
          </w:p>
        </w:tc>
        <w:tc>
          <w:tcPr>
            <w:tcW w:w="1841" w:type="dxa"/>
            <w:vMerge w:val="continue"/>
            <w:tcBorders>
              <w:top w:val="nil"/>
              <w:left w:val="single" w:color="auto" w:sz="4" w:space="0"/>
              <w:bottom w:val="single" w:color="000000" w:sz="4" w:space="0"/>
              <w:right w:val="single" w:color="auto" w:sz="4" w:space="0"/>
            </w:tcBorders>
            <w:vAlign w:val="center"/>
          </w:tcPr>
          <w:p>
            <w:pPr>
              <w:spacing w:after="0" w:line="240" w:lineRule="auto"/>
              <w:ind w:left="0" w:firstLine="0"/>
              <w:rPr>
                <w:rFonts w:cs="宋体" w:asciiTheme="minorEastAsia" w:hAnsiTheme="minorEastAsia" w:eastAsiaTheme="minorEastAsia"/>
                <w:color w:val="auto"/>
                <w:kern w:val="0"/>
                <w:sz w:val="21"/>
                <w:szCs w:val="21"/>
              </w:rPr>
            </w:pPr>
          </w:p>
        </w:tc>
      </w:tr>
      <w:tr>
        <w:tblPrEx>
          <w:tblCellMar>
            <w:top w:w="0" w:type="dxa"/>
            <w:left w:w="108" w:type="dxa"/>
            <w:bottom w:w="0" w:type="dxa"/>
            <w:right w:w="108" w:type="dxa"/>
          </w:tblCellMar>
        </w:tblPrEx>
        <w:trPr>
          <w:trHeight w:val="600" w:hRule="atLeast"/>
        </w:trPr>
        <w:tc>
          <w:tcPr>
            <w:tcW w:w="1344" w:type="dxa"/>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cs="宋体" w:asciiTheme="minorEastAsia" w:hAnsiTheme="minorEastAsia" w:eastAsiaTheme="minorEastAsia"/>
                <w:color w:val="auto"/>
                <w:kern w:val="0"/>
                <w:sz w:val="21"/>
                <w:szCs w:val="21"/>
              </w:rPr>
            </w:pPr>
          </w:p>
        </w:tc>
        <w:tc>
          <w:tcPr>
            <w:tcW w:w="5875" w:type="dxa"/>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hint="eastAsia" w:cs="宋体" w:asciiTheme="minorEastAsia" w:hAnsiTheme="minorEastAsia" w:eastAsiaTheme="minorEastAsia"/>
                <w:color w:val="auto"/>
                <w:kern w:val="0"/>
                <w:sz w:val="21"/>
                <w:szCs w:val="21"/>
                <w:lang w:eastAsia="zh-CN"/>
              </w:rPr>
            </w:pPr>
            <w:r>
              <w:rPr>
                <w:rFonts w:hint="eastAsia" w:cs="宋体" w:asciiTheme="minorEastAsia" w:hAnsiTheme="minorEastAsia" w:eastAsiaTheme="minorEastAsia"/>
                <w:color w:val="auto"/>
                <w:kern w:val="0"/>
                <w:sz w:val="21"/>
                <w:szCs w:val="21"/>
              </w:rPr>
              <w:t>应急物资配备齐全，位置合理。</w:t>
            </w:r>
          </w:p>
          <w:p>
            <w:pPr>
              <w:spacing w:after="0" w:line="240" w:lineRule="auto"/>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除雪铲、融雪剂、铁锹、扫帚、手套、防滑鞋、防滑垫等。</w:t>
            </w:r>
          </w:p>
        </w:tc>
        <w:tc>
          <w:tcPr>
            <w:tcW w:w="1841" w:type="dxa"/>
            <w:vMerge w:val="continue"/>
            <w:tcBorders>
              <w:top w:val="nil"/>
              <w:left w:val="single" w:color="auto" w:sz="4" w:space="0"/>
              <w:bottom w:val="single" w:color="000000" w:sz="4" w:space="0"/>
              <w:right w:val="single" w:color="auto" w:sz="4" w:space="0"/>
            </w:tcBorders>
            <w:vAlign w:val="center"/>
          </w:tcPr>
          <w:p>
            <w:pPr>
              <w:spacing w:after="0" w:line="240" w:lineRule="auto"/>
              <w:ind w:left="0" w:firstLine="0"/>
              <w:rPr>
                <w:rFonts w:cs="宋体" w:asciiTheme="minorEastAsia" w:hAnsiTheme="minorEastAsia" w:eastAsiaTheme="minorEastAsia"/>
                <w:color w:val="auto"/>
                <w:kern w:val="0"/>
                <w:sz w:val="21"/>
                <w:szCs w:val="21"/>
              </w:rPr>
            </w:pPr>
          </w:p>
        </w:tc>
      </w:tr>
      <w:tr>
        <w:tblPrEx>
          <w:tblCellMar>
            <w:top w:w="0" w:type="dxa"/>
            <w:left w:w="108" w:type="dxa"/>
            <w:bottom w:w="0" w:type="dxa"/>
            <w:right w:w="108" w:type="dxa"/>
          </w:tblCellMar>
        </w:tblPrEx>
        <w:trPr>
          <w:trHeight w:val="600" w:hRule="atLeast"/>
        </w:trPr>
        <w:tc>
          <w:tcPr>
            <w:tcW w:w="1344" w:type="dxa"/>
            <w:vMerge w:val="restart"/>
            <w:tcBorders>
              <w:top w:val="nil"/>
              <w:left w:val="single" w:color="auto" w:sz="4" w:space="0"/>
              <w:bottom w:val="single" w:color="auto" w:sz="4" w:space="0"/>
              <w:right w:val="single" w:color="auto" w:sz="4" w:space="0"/>
            </w:tcBorders>
            <w:shd w:val="clear" w:color="auto" w:fill="auto"/>
            <w:vAlign w:val="center"/>
          </w:tcPr>
          <w:p>
            <w:pPr>
              <w:spacing w:after="0" w:line="240" w:lineRule="auto"/>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设备设施防护</w:t>
            </w:r>
          </w:p>
        </w:tc>
        <w:tc>
          <w:tcPr>
            <w:tcW w:w="5875" w:type="dxa"/>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收费顶棚、室外设备、基础结构稳固。</w:t>
            </w:r>
          </w:p>
        </w:tc>
        <w:tc>
          <w:tcPr>
            <w:tcW w:w="1841" w:type="dxa"/>
            <w:vMerge w:val="restart"/>
            <w:tcBorders>
              <w:top w:val="nil"/>
              <w:left w:val="single" w:color="auto" w:sz="4" w:space="0"/>
              <w:bottom w:val="single" w:color="000000" w:sz="4" w:space="0"/>
              <w:right w:val="single" w:color="auto" w:sz="4" w:space="0"/>
            </w:tcBorders>
            <w:shd w:val="clear" w:color="auto" w:fill="auto"/>
            <w:vAlign w:val="center"/>
          </w:tcPr>
          <w:p>
            <w:pPr>
              <w:spacing w:after="0" w:line="240" w:lineRule="auto"/>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　</w:t>
            </w:r>
          </w:p>
        </w:tc>
      </w:tr>
      <w:tr>
        <w:tblPrEx>
          <w:tblCellMar>
            <w:top w:w="0" w:type="dxa"/>
            <w:left w:w="108" w:type="dxa"/>
            <w:bottom w:w="0" w:type="dxa"/>
            <w:right w:w="108" w:type="dxa"/>
          </w:tblCellMar>
        </w:tblPrEx>
        <w:trPr>
          <w:trHeight w:val="600" w:hRule="atLeast"/>
        </w:trPr>
        <w:tc>
          <w:tcPr>
            <w:tcW w:w="1344" w:type="dxa"/>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cs="宋体" w:asciiTheme="minorEastAsia" w:hAnsiTheme="minorEastAsia" w:eastAsiaTheme="minorEastAsia"/>
                <w:color w:val="auto"/>
                <w:kern w:val="0"/>
                <w:sz w:val="21"/>
                <w:szCs w:val="21"/>
              </w:rPr>
            </w:pPr>
          </w:p>
        </w:tc>
        <w:tc>
          <w:tcPr>
            <w:tcW w:w="5875" w:type="dxa"/>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雾灯、车道指示灯齐全有效。</w:t>
            </w:r>
          </w:p>
        </w:tc>
        <w:tc>
          <w:tcPr>
            <w:tcW w:w="1841" w:type="dxa"/>
            <w:vMerge w:val="continue"/>
            <w:tcBorders>
              <w:top w:val="nil"/>
              <w:left w:val="single" w:color="auto" w:sz="4" w:space="0"/>
              <w:bottom w:val="single" w:color="000000" w:sz="4" w:space="0"/>
              <w:right w:val="single" w:color="auto" w:sz="4" w:space="0"/>
            </w:tcBorders>
            <w:vAlign w:val="center"/>
          </w:tcPr>
          <w:p>
            <w:pPr>
              <w:spacing w:after="0" w:line="240" w:lineRule="auto"/>
              <w:ind w:left="0" w:firstLine="0"/>
              <w:rPr>
                <w:rFonts w:cs="宋体" w:asciiTheme="minorEastAsia" w:hAnsiTheme="minorEastAsia" w:eastAsiaTheme="minorEastAsia"/>
                <w:color w:val="auto"/>
                <w:kern w:val="0"/>
                <w:sz w:val="21"/>
                <w:szCs w:val="21"/>
              </w:rPr>
            </w:pPr>
          </w:p>
        </w:tc>
      </w:tr>
      <w:tr>
        <w:tblPrEx>
          <w:tblCellMar>
            <w:top w:w="0" w:type="dxa"/>
            <w:left w:w="108" w:type="dxa"/>
            <w:bottom w:w="0" w:type="dxa"/>
            <w:right w:w="108" w:type="dxa"/>
          </w:tblCellMar>
        </w:tblPrEx>
        <w:trPr>
          <w:trHeight w:val="600" w:hRule="atLeast"/>
        </w:trPr>
        <w:tc>
          <w:tcPr>
            <w:tcW w:w="1344" w:type="dxa"/>
            <w:vMerge w:val="continue"/>
            <w:tcBorders>
              <w:top w:val="nil"/>
              <w:left w:val="single" w:color="auto" w:sz="4" w:space="0"/>
              <w:bottom w:val="single" w:color="auto" w:sz="4" w:space="0"/>
              <w:right w:val="single" w:color="auto" w:sz="4" w:space="0"/>
            </w:tcBorders>
            <w:vAlign w:val="center"/>
          </w:tcPr>
          <w:p>
            <w:pPr>
              <w:spacing w:after="0" w:line="240" w:lineRule="auto"/>
              <w:ind w:left="0" w:firstLine="0"/>
              <w:rPr>
                <w:rFonts w:cs="宋体" w:asciiTheme="minorEastAsia" w:hAnsiTheme="minorEastAsia" w:eastAsiaTheme="minorEastAsia"/>
                <w:color w:val="auto"/>
                <w:kern w:val="0"/>
                <w:sz w:val="21"/>
                <w:szCs w:val="21"/>
              </w:rPr>
            </w:pPr>
          </w:p>
        </w:tc>
        <w:tc>
          <w:tcPr>
            <w:tcW w:w="5875" w:type="dxa"/>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室外电气设备、线路无裸露。</w:t>
            </w:r>
          </w:p>
        </w:tc>
        <w:tc>
          <w:tcPr>
            <w:tcW w:w="1841" w:type="dxa"/>
            <w:vMerge w:val="continue"/>
            <w:tcBorders>
              <w:top w:val="nil"/>
              <w:left w:val="single" w:color="auto" w:sz="4" w:space="0"/>
              <w:bottom w:val="single" w:color="000000" w:sz="4" w:space="0"/>
              <w:right w:val="single" w:color="auto" w:sz="4" w:space="0"/>
            </w:tcBorders>
            <w:vAlign w:val="center"/>
          </w:tcPr>
          <w:p>
            <w:pPr>
              <w:spacing w:after="0" w:line="240" w:lineRule="auto"/>
              <w:ind w:left="0" w:firstLine="0"/>
              <w:rPr>
                <w:rFonts w:cs="宋体" w:asciiTheme="minorEastAsia" w:hAnsiTheme="minorEastAsia" w:eastAsiaTheme="minorEastAsia"/>
                <w:color w:val="auto"/>
                <w:kern w:val="0"/>
                <w:sz w:val="21"/>
                <w:szCs w:val="21"/>
              </w:rPr>
            </w:pPr>
          </w:p>
        </w:tc>
      </w:tr>
      <w:tr>
        <w:tblPrEx>
          <w:tblCellMar>
            <w:top w:w="0" w:type="dxa"/>
            <w:left w:w="108" w:type="dxa"/>
            <w:bottom w:w="0" w:type="dxa"/>
            <w:right w:w="108" w:type="dxa"/>
          </w:tblCellMar>
        </w:tblPrEx>
        <w:trPr>
          <w:trHeight w:val="600" w:hRule="atLeast"/>
        </w:trPr>
        <w:tc>
          <w:tcPr>
            <w:tcW w:w="1344"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其他</w:t>
            </w:r>
          </w:p>
        </w:tc>
        <w:tc>
          <w:tcPr>
            <w:tcW w:w="5875" w:type="dxa"/>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按上级要求开展其他除雪工作。</w:t>
            </w:r>
          </w:p>
        </w:tc>
        <w:tc>
          <w:tcPr>
            <w:tcW w:w="1841" w:type="dxa"/>
            <w:tcBorders>
              <w:top w:val="nil"/>
              <w:left w:val="nil"/>
              <w:bottom w:val="single" w:color="auto" w:sz="4" w:space="0"/>
              <w:right w:val="single" w:color="auto" w:sz="4" w:space="0"/>
            </w:tcBorders>
            <w:shd w:val="clear" w:color="auto" w:fill="auto"/>
            <w:vAlign w:val="center"/>
          </w:tcPr>
          <w:p>
            <w:pPr>
              <w:spacing w:after="0" w:line="240" w:lineRule="auto"/>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　</w:t>
            </w:r>
          </w:p>
        </w:tc>
      </w:tr>
      <w:tr>
        <w:tblPrEx>
          <w:tblCellMar>
            <w:top w:w="0" w:type="dxa"/>
            <w:left w:w="108" w:type="dxa"/>
            <w:bottom w:w="0" w:type="dxa"/>
            <w:right w:w="108" w:type="dxa"/>
          </w:tblCellMar>
        </w:tblPrEx>
        <w:trPr>
          <w:trHeight w:val="600" w:hRule="atLeast"/>
        </w:trPr>
        <w:tc>
          <w:tcPr>
            <w:tcW w:w="9060" w:type="dxa"/>
            <w:gridSpan w:val="3"/>
            <w:tcBorders>
              <w:top w:val="single" w:color="auto" w:sz="4" w:space="0"/>
              <w:left w:val="single" w:color="auto" w:sz="4" w:space="0"/>
              <w:bottom w:val="single" w:color="auto" w:sz="4" w:space="0"/>
              <w:right w:val="single" w:color="000000" w:sz="4" w:space="0"/>
            </w:tcBorders>
            <w:shd w:val="clear" w:color="auto" w:fill="auto"/>
            <w:vAlign w:val="center"/>
          </w:tcPr>
          <w:p>
            <w:pPr>
              <w:spacing w:after="0" w:line="240" w:lineRule="auto"/>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组织人：               参加人员：                               日期：</w:t>
            </w:r>
          </w:p>
        </w:tc>
      </w:tr>
    </w:tbl>
    <w:p>
      <w:pPr>
        <w:widowControl w:val="0"/>
        <w:spacing w:after="0" w:line="360" w:lineRule="auto"/>
        <w:ind w:left="0" w:firstLine="482"/>
        <w:jc w:val="both"/>
        <w:outlineLvl w:val="2"/>
        <w:rPr>
          <w:rFonts w:cs="Calibri" w:asciiTheme="minorEastAsia" w:hAnsiTheme="minorEastAsia" w:eastAsiaTheme="minorEastAsia"/>
          <w:b/>
          <w:color w:val="auto"/>
          <w:szCs w:val="24"/>
        </w:rPr>
      </w:pPr>
      <w:r>
        <w:rPr>
          <w:rFonts w:cs="Calibri" w:asciiTheme="minorEastAsia" w:hAnsiTheme="minorEastAsia" w:eastAsiaTheme="minorEastAsia"/>
          <w:b/>
          <w:color w:val="auto"/>
          <w:szCs w:val="24"/>
        </w:rPr>
        <w:br w:type="page"/>
      </w:r>
    </w:p>
    <w:p>
      <w:pPr>
        <w:widowControl w:val="0"/>
        <w:spacing w:after="0" w:line="360" w:lineRule="auto"/>
        <w:ind w:left="0" w:firstLine="482"/>
        <w:jc w:val="both"/>
        <w:outlineLvl w:val="2"/>
        <w:rPr>
          <w:rFonts w:cs="Calibri" w:asciiTheme="minorEastAsia" w:hAnsiTheme="minorEastAsia" w:eastAsiaTheme="minorEastAsia"/>
          <w:b/>
          <w:color w:val="auto"/>
          <w:szCs w:val="24"/>
        </w:rPr>
      </w:pPr>
      <w:bookmarkStart w:id="28" w:name="_Toc80301761"/>
      <w:r>
        <w:rPr>
          <w:rFonts w:hint="eastAsia" w:cs="Calibri" w:asciiTheme="minorEastAsia" w:hAnsiTheme="minorEastAsia" w:eastAsiaTheme="minorEastAsia"/>
          <w:b/>
          <w:color w:val="auto"/>
          <w:szCs w:val="24"/>
        </w:rPr>
        <w:t>3.4.4保畅专项隐患排查记录</w:t>
      </w:r>
      <w:bookmarkEnd w:id="28"/>
    </w:p>
    <w:p>
      <w:pPr>
        <w:widowControl w:val="0"/>
        <w:spacing w:after="0" w:line="560" w:lineRule="exact"/>
        <w:ind w:left="0" w:firstLine="432" w:firstLineChars="200"/>
        <w:jc w:val="center"/>
        <w:rPr>
          <w:rFonts w:cs="Calibri" w:asciiTheme="minorEastAsia" w:hAnsiTheme="minorEastAsia" w:eastAsiaTheme="minorEastAsia"/>
          <w:b/>
          <w:color w:val="auto"/>
          <w:sz w:val="22"/>
          <w:szCs w:val="24"/>
        </w:rPr>
      </w:pPr>
      <w:r>
        <w:rPr>
          <w:rFonts w:hint="eastAsia" w:cs="Calibri" w:asciiTheme="minorEastAsia" w:hAnsiTheme="minorEastAsia" w:eastAsiaTheme="minorEastAsia"/>
          <w:b/>
          <w:color w:val="auto"/>
          <w:sz w:val="22"/>
          <w:szCs w:val="24"/>
        </w:rPr>
        <w:t>表3-1</w:t>
      </w:r>
      <w:r>
        <w:rPr>
          <w:rFonts w:cs="Calibri" w:asciiTheme="minorEastAsia" w:hAnsiTheme="minorEastAsia" w:eastAsiaTheme="minorEastAsia"/>
          <w:b/>
          <w:color w:val="auto"/>
          <w:sz w:val="22"/>
          <w:szCs w:val="24"/>
        </w:rPr>
        <w:t>3</w:t>
      </w:r>
      <w:r>
        <w:rPr>
          <w:rFonts w:hint="eastAsia" w:cs="Calibri" w:asciiTheme="minorEastAsia" w:hAnsiTheme="minorEastAsia" w:eastAsiaTheme="minorEastAsia"/>
          <w:b/>
          <w:color w:val="auto"/>
          <w:sz w:val="22"/>
          <w:szCs w:val="24"/>
        </w:rPr>
        <w:t xml:space="preserve"> 保畅专项隐患排查记录表</w:t>
      </w:r>
    </w:p>
    <w:tbl>
      <w:tblPr>
        <w:tblStyle w:val="30"/>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4"/>
        <w:gridCol w:w="5875"/>
        <w:gridCol w:w="1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blHeader/>
        </w:trPr>
        <w:tc>
          <w:tcPr>
            <w:tcW w:w="1344" w:type="dxa"/>
            <w:shd w:val="clear" w:color="auto" w:fill="F1F1F1" w:themeFill="background1" w:themeFillShade="F2"/>
            <w:vAlign w:val="center"/>
          </w:tcPr>
          <w:p>
            <w:pPr>
              <w:spacing w:after="0" w:line="240" w:lineRule="auto"/>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排查要点</w:t>
            </w:r>
          </w:p>
        </w:tc>
        <w:tc>
          <w:tcPr>
            <w:tcW w:w="5875" w:type="dxa"/>
            <w:shd w:val="clear" w:color="auto" w:fill="F1F1F1" w:themeFill="background1" w:themeFillShade="F2"/>
            <w:vAlign w:val="center"/>
          </w:tcPr>
          <w:p>
            <w:pPr>
              <w:spacing w:after="0" w:line="240" w:lineRule="auto"/>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排查内容</w:t>
            </w:r>
          </w:p>
        </w:tc>
        <w:tc>
          <w:tcPr>
            <w:tcW w:w="1841" w:type="dxa"/>
            <w:shd w:val="clear" w:color="auto" w:fill="F1F1F1" w:themeFill="background1" w:themeFillShade="F2"/>
            <w:vAlign w:val="center"/>
          </w:tcPr>
          <w:p>
            <w:pPr>
              <w:spacing w:after="0" w:line="240" w:lineRule="auto"/>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排查结果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344" w:type="dxa"/>
            <w:vMerge w:val="restart"/>
            <w:shd w:val="clear" w:color="auto" w:fill="auto"/>
            <w:vAlign w:val="center"/>
          </w:tcPr>
          <w:p>
            <w:pPr>
              <w:spacing w:after="0" w:line="240" w:lineRule="auto"/>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组织准备</w:t>
            </w:r>
          </w:p>
        </w:tc>
        <w:tc>
          <w:tcPr>
            <w:tcW w:w="5875" w:type="dxa"/>
            <w:shd w:val="clear" w:color="auto" w:fill="auto"/>
            <w:vAlign w:val="center"/>
          </w:tcPr>
          <w:p>
            <w:pPr>
              <w:spacing w:after="0" w:line="240" w:lineRule="auto"/>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领导小组成立，组织体系及职责明确。</w:t>
            </w:r>
          </w:p>
        </w:tc>
        <w:tc>
          <w:tcPr>
            <w:tcW w:w="1841" w:type="dxa"/>
            <w:vMerge w:val="restart"/>
            <w:shd w:val="clear" w:color="auto" w:fill="auto"/>
            <w:vAlign w:val="center"/>
          </w:tcPr>
          <w:p>
            <w:pPr>
              <w:spacing w:after="0" w:line="240" w:lineRule="auto"/>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344" w:type="dxa"/>
            <w:vMerge w:val="continue"/>
            <w:vAlign w:val="center"/>
          </w:tcPr>
          <w:p>
            <w:pPr>
              <w:spacing w:after="0" w:line="240" w:lineRule="auto"/>
              <w:ind w:left="0" w:firstLine="0"/>
              <w:rPr>
                <w:rFonts w:cs="宋体" w:asciiTheme="minorEastAsia" w:hAnsiTheme="minorEastAsia" w:eastAsiaTheme="minorEastAsia"/>
                <w:color w:val="auto"/>
                <w:kern w:val="0"/>
                <w:sz w:val="21"/>
                <w:szCs w:val="21"/>
              </w:rPr>
            </w:pPr>
          </w:p>
        </w:tc>
        <w:tc>
          <w:tcPr>
            <w:tcW w:w="5875" w:type="dxa"/>
            <w:shd w:val="clear" w:color="auto" w:fill="auto"/>
            <w:vAlign w:val="center"/>
          </w:tcPr>
          <w:p>
            <w:pPr>
              <w:spacing w:after="0" w:line="240" w:lineRule="auto"/>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按规定开展动员准备和业务培训。</w:t>
            </w:r>
          </w:p>
        </w:tc>
        <w:tc>
          <w:tcPr>
            <w:tcW w:w="1841" w:type="dxa"/>
            <w:vMerge w:val="continue"/>
            <w:vAlign w:val="center"/>
          </w:tcPr>
          <w:p>
            <w:pPr>
              <w:spacing w:after="0" w:line="240" w:lineRule="auto"/>
              <w:ind w:left="0" w:firstLine="0"/>
              <w:rPr>
                <w:rFonts w:cs="宋体" w:asciiTheme="minorEastAsia" w:hAnsiTheme="minorEastAsia" w:eastAsiaTheme="minorEastAsia"/>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344" w:type="dxa"/>
            <w:vMerge w:val="continue"/>
            <w:vAlign w:val="center"/>
          </w:tcPr>
          <w:p>
            <w:pPr>
              <w:spacing w:after="0" w:line="240" w:lineRule="auto"/>
              <w:ind w:left="0" w:firstLine="0"/>
              <w:rPr>
                <w:rFonts w:cs="宋体" w:asciiTheme="minorEastAsia" w:hAnsiTheme="minorEastAsia" w:eastAsiaTheme="minorEastAsia"/>
                <w:color w:val="auto"/>
                <w:kern w:val="0"/>
                <w:sz w:val="21"/>
                <w:szCs w:val="21"/>
              </w:rPr>
            </w:pPr>
          </w:p>
        </w:tc>
        <w:tc>
          <w:tcPr>
            <w:tcW w:w="5875" w:type="dxa"/>
            <w:shd w:val="clear" w:color="auto" w:fill="auto"/>
            <w:vAlign w:val="center"/>
          </w:tcPr>
          <w:p>
            <w:pPr>
              <w:spacing w:after="0" w:line="240" w:lineRule="auto"/>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人员充足，按规定备勤。</w:t>
            </w:r>
          </w:p>
        </w:tc>
        <w:tc>
          <w:tcPr>
            <w:tcW w:w="1841" w:type="dxa"/>
            <w:vMerge w:val="continue"/>
            <w:vAlign w:val="center"/>
          </w:tcPr>
          <w:p>
            <w:pPr>
              <w:spacing w:after="0" w:line="240" w:lineRule="auto"/>
              <w:ind w:left="0" w:firstLine="0"/>
              <w:rPr>
                <w:rFonts w:cs="宋体" w:asciiTheme="minorEastAsia" w:hAnsiTheme="minorEastAsia" w:eastAsiaTheme="minorEastAsia"/>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344" w:type="dxa"/>
            <w:vMerge w:val="continue"/>
            <w:vAlign w:val="center"/>
          </w:tcPr>
          <w:p>
            <w:pPr>
              <w:spacing w:after="0" w:line="240" w:lineRule="auto"/>
              <w:ind w:left="0" w:firstLine="0"/>
              <w:rPr>
                <w:rFonts w:cs="宋体" w:asciiTheme="minorEastAsia" w:hAnsiTheme="minorEastAsia" w:eastAsiaTheme="minorEastAsia"/>
                <w:color w:val="auto"/>
                <w:kern w:val="0"/>
                <w:sz w:val="21"/>
                <w:szCs w:val="21"/>
              </w:rPr>
            </w:pPr>
          </w:p>
        </w:tc>
        <w:tc>
          <w:tcPr>
            <w:tcW w:w="5875" w:type="dxa"/>
            <w:shd w:val="clear" w:color="auto" w:fill="auto"/>
            <w:vAlign w:val="center"/>
          </w:tcPr>
          <w:p>
            <w:pPr>
              <w:spacing w:after="0" w:line="240" w:lineRule="auto"/>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路警联勤联动准备完成。</w:t>
            </w:r>
          </w:p>
        </w:tc>
        <w:tc>
          <w:tcPr>
            <w:tcW w:w="1841" w:type="dxa"/>
            <w:vMerge w:val="continue"/>
            <w:vAlign w:val="center"/>
          </w:tcPr>
          <w:p>
            <w:pPr>
              <w:spacing w:after="0" w:line="240" w:lineRule="auto"/>
              <w:ind w:left="0" w:firstLine="0"/>
              <w:rPr>
                <w:rFonts w:cs="宋体" w:asciiTheme="minorEastAsia" w:hAnsiTheme="minorEastAsia" w:eastAsiaTheme="minorEastAsia"/>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344" w:type="dxa"/>
            <w:vMerge w:val="restart"/>
            <w:shd w:val="clear" w:color="auto" w:fill="auto"/>
            <w:vAlign w:val="center"/>
          </w:tcPr>
          <w:p>
            <w:pPr>
              <w:spacing w:after="0" w:line="240" w:lineRule="auto"/>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应急预案</w:t>
            </w:r>
          </w:p>
        </w:tc>
        <w:tc>
          <w:tcPr>
            <w:tcW w:w="5875" w:type="dxa"/>
            <w:shd w:val="clear" w:color="auto" w:fill="auto"/>
            <w:vAlign w:val="center"/>
          </w:tcPr>
          <w:p>
            <w:pPr>
              <w:spacing w:after="0" w:line="240" w:lineRule="auto"/>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应急预案（现场处置方案）建立健全、内容合理。</w:t>
            </w:r>
          </w:p>
        </w:tc>
        <w:tc>
          <w:tcPr>
            <w:tcW w:w="1841" w:type="dxa"/>
            <w:vMerge w:val="restart"/>
            <w:shd w:val="clear" w:color="auto" w:fill="auto"/>
            <w:vAlign w:val="center"/>
          </w:tcPr>
          <w:p>
            <w:pPr>
              <w:spacing w:after="0" w:line="240" w:lineRule="auto"/>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344" w:type="dxa"/>
            <w:vMerge w:val="continue"/>
            <w:vAlign w:val="center"/>
          </w:tcPr>
          <w:p>
            <w:pPr>
              <w:spacing w:after="0" w:line="240" w:lineRule="auto"/>
              <w:ind w:left="0" w:firstLine="0"/>
              <w:rPr>
                <w:rFonts w:cs="宋体" w:asciiTheme="minorEastAsia" w:hAnsiTheme="minorEastAsia" w:eastAsiaTheme="minorEastAsia"/>
                <w:color w:val="auto"/>
                <w:kern w:val="0"/>
                <w:sz w:val="21"/>
                <w:szCs w:val="21"/>
              </w:rPr>
            </w:pPr>
          </w:p>
        </w:tc>
        <w:tc>
          <w:tcPr>
            <w:tcW w:w="5875" w:type="dxa"/>
            <w:shd w:val="clear" w:color="auto" w:fill="auto"/>
            <w:vAlign w:val="center"/>
          </w:tcPr>
          <w:p>
            <w:pPr>
              <w:spacing w:after="0" w:line="240" w:lineRule="auto"/>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按规定开展应急演练。</w:t>
            </w:r>
          </w:p>
        </w:tc>
        <w:tc>
          <w:tcPr>
            <w:tcW w:w="1841" w:type="dxa"/>
            <w:vMerge w:val="continue"/>
            <w:vAlign w:val="center"/>
          </w:tcPr>
          <w:p>
            <w:pPr>
              <w:spacing w:after="0" w:line="240" w:lineRule="auto"/>
              <w:ind w:left="0" w:firstLine="0"/>
              <w:rPr>
                <w:rFonts w:cs="宋体" w:asciiTheme="minorEastAsia" w:hAnsiTheme="minorEastAsia" w:eastAsiaTheme="minorEastAsia"/>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344" w:type="dxa"/>
            <w:vMerge w:val="restart"/>
            <w:shd w:val="clear" w:color="auto" w:fill="auto"/>
            <w:vAlign w:val="center"/>
          </w:tcPr>
          <w:p>
            <w:pPr>
              <w:spacing w:after="0" w:line="240" w:lineRule="auto"/>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监测预警</w:t>
            </w:r>
          </w:p>
        </w:tc>
        <w:tc>
          <w:tcPr>
            <w:tcW w:w="5875" w:type="dxa"/>
            <w:shd w:val="clear" w:color="auto" w:fill="auto"/>
            <w:vAlign w:val="center"/>
          </w:tcPr>
          <w:p>
            <w:pPr>
              <w:spacing w:after="0" w:line="240" w:lineRule="auto"/>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按规定开展领导带班、员工值班。</w:t>
            </w:r>
          </w:p>
        </w:tc>
        <w:tc>
          <w:tcPr>
            <w:tcW w:w="1841" w:type="dxa"/>
            <w:vMerge w:val="restart"/>
            <w:shd w:val="clear" w:color="auto" w:fill="auto"/>
            <w:vAlign w:val="center"/>
          </w:tcPr>
          <w:p>
            <w:pPr>
              <w:spacing w:after="0" w:line="240" w:lineRule="auto"/>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344" w:type="dxa"/>
            <w:vMerge w:val="continue"/>
            <w:vAlign w:val="center"/>
          </w:tcPr>
          <w:p>
            <w:pPr>
              <w:spacing w:after="0" w:line="240" w:lineRule="auto"/>
              <w:ind w:left="0" w:firstLine="0"/>
              <w:rPr>
                <w:rFonts w:cs="宋体" w:asciiTheme="minorEastAsia" w:hAnsiTheme="minorEastAsia" w:eastAsiaTheme="minorEastAsia"/>
                <w:color w:val="auto"/>
                <w:kern w:val="0"/>
                <w:sz w:val="21"/>
                <w:szCs w:val="21"/>
              </w:rPr>
            </w:pPr>
          </w:p>
        </w:tc>
        <w:tc>
          <w:tcPr>
            <w:tcW w:w="5875" w:type="dxa"/>
            <w:shd w:val="clear" w:color="auto" w:fill="auto"/>
            <w:vAlign w:val="center"/>
          </w:tcPr>
          <w:p>
            <w:pPr>
              <w:spacing w:after="0" w:line="240" w:lineRule="auto"/>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按规定开展上传下达工作。</w:t>
            </w:r>
          </w:p>
        </w:tc>
        <w:tc>
          <w:tcPr>
            <w:tcW w:w="1841" w:type="dxa"/>
            <w:vMerge w:val="continue"/>
            <w:vAlign w:val="center"/>
          </w:tcPr>
          <w:p>
            <w:pPr>
              <w:spacing w:after="0" w:line="240" w:lineRule="auto"/>
              <w:ind w:left="0" w:firstLine="0"/>
              <w:rPr>
                <w:rFonts w:cs="宋体" w:asciiTheme="minorEastAsia" w:hAnsiTheme="minorEastAsia" w:eastAsiaTheme="minorEastAsia"/>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344" w:type="dxa"/>
            <w:vMerge w:val="restart"/>
            <w:shd w:val="clear" w:color="auto" w:fill="auto"/>
            <w:vAlign w:val="center"/>
          </w:tcPr>
          <w:p>
            <w:pPr>
              <w:spacing w:after="0" w:line="240" w:lineRule="auto"/>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应急及设备设施保障</w:t>
            </w:r>
          </w:p>
        </w:tc>
        <w:tc>
          <w:tcPr>
            <w:tcW w:w="5875" w:type="dxa"/>
            <w:shd w:val="clear" w:color="auto" w:fill="auto"/>
            <w:vAlign w:val="center"/>
          </w:tcPr>
          <w:p>
            <w:pPr>
              <w:spacing w:after="0" w:line="240" w:lineRule="auto"/>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通讯器材及线路齐全有效。</w:t>
            </w:r>
          </w:p>
        </w:tc>
        <w:tc>
          <w:tcPr>
            <w:tcW w:w="1841" w:type="dxa"/>
            <w:vMerge w:val="restart"/>
            <w:shd w:val="clear" w:color="auto" w:fill="auto"/>
            <w:vAlign w:val="center"/>
          </w:tcPr>
          <w:p>
            <w:pPr>
              <w:spacing w:after="0" w:line="240" w:lineRule="auto"/>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344" w:type="dxa"/>
            <w:vMerge w:val="continue"/>
            <w:vAlign w:val="center"/>
          </w:tcPr>
          <w:p>
            <w:pPr>
              <w:spacing w:after="0" w:line="240" w:lineRule="auto"/>
              <w:ind w:left="0" w:firstLine="0"/>
              <w:rPr>
                <w:rFonts w:cs="宋体" w:asciiTheme="minorEastAsia" w:hAnsiTheme="minorEastAsia" w:eastAsiaTheme="minorEastAsia"/>
                <w:color w:val="auto"/>
                <w:kern w:val="0"/>
                <w:sz w:val="21"/>
                <w:szCs w:val="21"/>
              </w:rPr>
            </w:pPr>
          </w:p>
        </w:tc>
        <w:tc>
          <w:tcPr>
            <w:tcW w:w="5875" w:type="dxa"/>
            <w:shd w:val="clear" w:color="auto" w:fill="auto"/>
            <w:vAlign w:val="center"/>
          </w:tcPr>
          <w:p>
            <w:pPr>
              <w:spacing w:after="0" w:line="240" w:lineRule="auto"/>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CPC卡、纸质通行券、定额票据、零钞等收费用品齐全。</w:t>
            </w:r>
          </w:p>
        </w:tc>
        <w:tc>
          <w:tcPr>
            <w:tcW w:w="1841" w:type="dxa"/>
            <w:vMerge w:val="continue"/>
            <w:vAlign w:val="center"/>
          </w:tcPr>
          <w:p>
            <w:pPr>
              <w:spacing w:after="0" w:line="240" w:lineRule="auto"/>
              <w:ind w:left="0" w:firstLine="0"/>
              <w:rPr>
                <w:rFonts w:cs="宋体" w:asciiTheme="minorEastAsia" w:hAnsiTheme="minorEastAsia" w:eastAsiaTheme="minorEastAsia"/>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344" w:type="dxa"/>
            <w:vMerge w:val="continue"/>
            <w:vAlign w:val="center"/>
          </w:tcPr>
          <w:p>
            <w:pPr>
              <w:spacing w:after="0" w:line="240" w:lineRule="auto"/>
              <w:ind w:left="0" w:firstLine="0"/>
              <w:rPr>
                <w:rFonts w:cs="宋体" w:asciiTheme="minorEastAsia" w:hAnsiTheme="minorEastAsia" w:eastAsiaTheme="minorEastAsia"/>
                <w:color w:val="auto"/>
                <w:kern w:val="0"/>
                <w:sz w:val="21"/>
                <w:szCs w:val="21"/>
              </w:rPr>
            </w:pPr>
          </w:p>
        </w:tc>
        <w:tc>
          <w:tcPr>
            <w:tcW w:w="5875" w:type="dxa"/>
            <w:shd w:val="clear" w:color="auto" w:fill="auto"/>
            <w:vAlign w:val="center"/>
          </w:tcPr>
          <w:p>
            <w:pPr>
              <w:spacing w:after="0" w:line="240" w:lineRule="auto"/>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收费软硬件系统维护、运行正常。</w:t>
            </w:r>
          </w:p>
        </w:tc>
        <w:tc>
          <w:tcPr>
            <w:tcW w:w="1841" w:type="dxa"/>
            <w:vMerge w:val="continue"/>
            <w:vAlign w:val="center"/>
          </w:tcPr>
          <w:p>
            <w:pPr>
              <w:spacing w:after="0" w:line="240" w:lineRule="auto"/>
              <w:ind w:left="0" w:firstLine="0"/>
              <w:rPr>
                <w:rFonts w:cs="宋体" w:asciiTheme="minorEastAsia" w:hAnsiTheme="minorEastAsia" w:eastAsiaTheme="minorEastAsia"/>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344" w:type="dxa"/>
            <w:vMerge w:val="continue"/>
            <w:vAlign w:val="center"/>
          </w:tcPr>
          <w:p>
            <w:pPr>
              <w:spacing w:after="0" w:line="240" w:lineRule="auto"/>
              <w:ind w:left="0" w:firstLine="0"/>
              <w:rPr>
                <w:rFonts w:cs="宋体" w:asciiTheme="minorEastAsia" w:hAnsiTheme="minorEastAsia" w:eastAsiaTheme="minorEastAsia"/>
                <w:color w:val="auto"/>
                <w:kern w:val="0"/>
                <w:sz w:val="21"/>
                <w:szCs w:val="21"/>
              </w:rPr>
            </w:pPr>
          </w:p>
        </w:tc>
        <w:tc>
          <w:tcPr>
            <w:tcW w:w="5875" w:type="dxa"/>
            <w:shd w:val="clear" w:color="auto" w:fill="auto"/>
            <w:vAlign w:val="center"/>
          </w:tcPr>
          <w:p>
            <w:pPr>
              <w:spacing w:after="0" w:line="240" w:lineRule="auto"/>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服务保障物资准备完毕。</w:t>
            </w:r>
          </w:p>
        </w:tc>
        <w:tc>
          <w:tcPr>
            <w:tcW w:w="1841" w:type="dxa"/>
            <w:vMerge w:val="continue"/>
            <w:vAlign w:val="center"/>
          </w:tcPr>
          <w:p>
            <w:pPr>
              <w:spacing w:after="0" w:line="240" w:lineRule="auto"/>
              <w:ind w:left="0" w:firstLine="0"/>
              <w:rPr>
                <w:rFonts w:cs="宋体" w:asciiTheme="minorEastAsia" w:hAnsiTheme="minorEastAsia" w:eastAsiaTheme="minorEastAsia"/>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344" w:type="dxa"/>
            <w:vMerge w:val="continue"/>
            <w:vAlign w:val="center"/>
          </w:tcPr>
          <w:p>
            <w:pPr>
              <w:spacing w:after="0" w:line="240" w:lineRule="auto"/>
              <w:ind w:left="0" w:firstLine="0"/>
              <w:rPr>
                <w:rFonts w:cs="宋体" w:asciiTheme="minorEastAsia" w:hAnsiTheme="minorEastAsia" w:eastAsiaTheme="minorEastAsia"/>
                <w:color w:val="auto"/>
                <w:kern w:val="0"/>
                <w:sz w:val="21"/>
                <w:szCs w:val="21"/>
              </w:rPr>
            </w:pPr>
          </w:p>
        </w:tc>
        <w:tc>
          <w:tcPr>
            <w:tcW w:w="5875" w:type="dxa"/>
            <w:shd w:val="clear" w:color="auto" w:fill="auto"/>
            <w:vAlign w:val="center"/>
          </w:tcPr>
          <w:p>
            <w:pPr>
              <w:spacing w:after="0" w:line="240" w:lineRule="auto"/>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广场卫生清洁完成。</w:t>
            </w:r>
          </w:p>
        </w:tc>
        <w:tc>
          <w:tcPr>
            <w:tcW w:w="1841" w:type="dxa"/>
            <w:vMerge w:val="continue"/>
            <w:vAlign w:val="center"/>
          </w:tcPr>
          <w:p>
            <w:pPr>
              <w:spacing w:after="0" w:line="240" w:lineRule="auto"/>
              <w:ind w:left="0" w:firstLine="0"/>
              <w:rPr>
                <w:rFonts w:cs="宋体" w:asciiTheme="minorEastAsia" w:hAnsiTheme="minorEastAsia" w:eastAsiaTheme="minorEastAsia"/>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344" w:type="dxa"/>
            <w:vMerge w:val="continue"/>
            <w:vAlign w:val="center"/>
          </w:tcPr>
          <w:p>
            <w:pPr>
              <w:spacing w:after="0" w:line="240" w:lineRule="auto"/>
              <w:ind w:left="0" w:firstLine="0"/>
              <w:rPr>
                <w:rFonts w:cs="宋体" w:asciiTheme="minorEastAsia" w:hAnsiTheme="minorEastAsia" w:eastAsiaTheme="minorEastAsia"/>
                <w:color w:val="auto"/>
                <w:kern w:val="0"/>
                <w:sz w:val="21"/>
                <w:szCs w:val="21"/>
              </w:rPr>
            </w:pPr>
          </w:p>
        </w:tc>
        <w:tc>
          <w:tcPr>
            <w:tcW w:w="5875" w:type="dxa"/>
            <w:shd w:val="clear" w:color="auto" w:fill="auto"/>
            <w:vAlign w:val="center"/>
          </w:tcPr>
          <w:p>
            <w:pPr>
              <w:spacing w:after="0" w:line="240" w:lineRule="auto"/>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应急发电、消防及防暴等应急物资准备完毕。</w:t>
            </w:r>
          </w:p>
        </w:tc>
        <w:tc>
          <w:tcPr>
            <w:tcW w:w="1841" w:type="dxa"/>
            <w:vMerge w:val="continue"/>
            <w:vAlign w:val="center"/>
          </w:tcPr>
          <w:p>
            <w:pPr>
              <w:spacing w:after="0" w:line="240" w:lineRule="auto"/>
              <w:ind w:left="0" w:firstLine="0"/>
              <w:rPr>
                <w:rFonts w:cs="宋体" w:asciiTheme="minorEastAsia" w:hAnsiTheme="minorEastAsia" w:eastAsiaTheme="minorEastAsia"/>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344" w:type="dxa"/>
            <w:shd w:val="clear" w:color="auto" w:fill="auto"/>
            <w:vAlign w:val="center"/>
          </w:tcPr>
          <w:p>
            <w:pPr>
              <w:spacing w:after="0" w:line="240" w:lineRule="auto"/>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其他</w:t>
            </w:r>
          </w:p>
        </w:tc>
        <w:tc>
          <w:tcPr>
            <w:tcW w:w="5875" w:type="dxa"/>
            <w:shd w:val="clear" w:color="auto" w:fill="auto"/>
            <w:vAlign w:val="center"/>
          </w:tcPr>
          <w:p>
            <w:pPr>
              <w:spacing w:after="0" w:line="240" w:lineRule="auto"/>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按上级要求开展其他节假日专项隐患排查治理工作。</w:t>
            </w:r>
          </w:p>
        </w:tc>
        <w:tc>
          <w:tcPr>
            <w:tcW w:w="1841" w:type="dxa"/>
            <w:shd w:val="clear" w:color="auto" w:fill="auto"/>
            <w:vAlign w:val="center"/>
          </w:tcPr>
          <w:p>
            <w:pPr>
              <w:spacing w:after="0" w:line="240" w:lineRule="auto"/>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060" w:type="dxa"/>
            <w:gridSpan w:val="3"/>
            <w:shd w:val="clear" w:color="auto" w:fill="auto"/>
            <w:vAlign w:val="center"/>
          </w:tcPr>
          <w:p>
            <w:pPr>
              <w:spacing w:after="0" w:line="240" w:lineRule="auto"/>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组织人：               参加人员：                               日期：</w:t>
            </w:r>
          </w:p>
        </w:tc>
      </w:tr>
    </w:tbl>
    <w:p>
      <w:pPr>
        <w:widowControl w:val="0"/>
        <w:spacing w:after="0" w:line="560" w:lineRule="exact"/>
        <w:ind w:left="0" w:firstLine="432" w:firstLineChars="200"/>
        <w:jc w:val="center"/>
        <w:rPr>
          <w:rFonts w:cs="Calibri" w:asciiTheme="minorEastAsia" w:hAnsiTheme="minorEastAsia" w:eastAsiaTheme="minorEastAsia"/>
          <w:color w:val="auto"/>
          <w:sz w:val="22"/>
          <w:szCs w:val="24"/>
        </w:rPr>
      </w:pPr>
    </w:p>
    <w:bookmarkEnd w:id="14"/>
    <w:bookmarkEnd w:id="15"/>
    <w:p>
      <w:pPr>
        <w:widowControl w:val="0"/>
        <w:spacing w:after="0" w:line="360" w:lineRule="auto"/>
        <w:ind w:left="0" w:firstLine="482"/>
        <w:jc w:val="both"/>
        <w:outlineLvl w:val="2"/>
        <w:rPr>
          <w:rFonts w:cs="Calibri" w:asciiTheme="minorEastAsia" w:hAnsiTheme="minorEastAsia" w:eastAsiaTheme="minorEastAsia"/>
          <w:b/>
          <w:color w:val="auto"/>
          <w:szCs w:val="24"/>
        </w:rPr>
      </w:pPr>
      <w:r>
        <w:rPr>
          <w:rFonts w:cs="Calibri" w:asciiTheme="minorEastAsia" w:hAnsiTheme="minorEastAsia" w:eastAsiaTheme="minorEastAsia"/>
          <w:b/>
          <w:color w:val="auto"/>
          <w:szCs w:val="24"/>
        </w:rPr>
        <w:br w:type="page"/>
      </w:r>
    </w:p>
    <w:p>
      <w:pPr>
        <w:widowControl w:val="0"/>
        <w:spacing w:after="0" w:line="360" w:lineRule="auto"/>
        <w:ind w:left="0" w:firstLine="482"/>
        <w:jc w:val="both"/>
        <w:outlineLvl w:val="2"/>
        <w:rPr>
          <w:rFonts w:cs="Calibri" w:asciiTheme="minorEastAsia" w:hAnsiTheme="minorEastAsia" w:eastAsiaTheme="minorEastAsia"/>
          <w:b/>
          <w:color w:val="auto"/>
          <w:szCs w:val="24"/>
        </w:rPr>
      </w:pPr>
      <w:bookmarkStart w:id="29" w:name="_Toc80301762"/>
      <w:r>
        <w:rPr>
          <w:rFonts w:hint="eastAsia" w:cs="Calibri" w:asciiTheme="minorEastAsia" w:hAnsiTheme="minorEastAsia" w:eastAsiaTheme="minorEastAsia"/>
          <w:b/>
          <w:color w:val="auto"/>
          <w:szCs w:val="24"/>
        </w:rPr>
        <w:t>3.4.5防疫专项隐患排查记录</w:t>
      </w:r>
      <w:bookmarkEnd w:id="29"/>
    </w:p>
    <w:p>
      <w:pPr>
        <w:widowControl w:val="0"/>
        <w:spacing w:after="0" w:line="480" w:lineRule="exact"/>
        <w:ind w:left="0" w:firstLine="432" w:firstLineChars="200"/>
        <w:jc w:val="center"/>
        <w:rPr>
          <w:rFonts w:cs="Calibri" w:asciiTheme="minorEastAsia" w:hAnsiTheme="minorEastAsia" w:eastAsiaTheme="minorEastAsia"/>
          <w:b/>
          <w:color w:val="auto"/>
          <w:sz w:val="22"/>
          <w:szCs w:val="24"/>
        </w:rPr>
      </w:pPr>
      <w:r>
        <w:rPr>
          <w:rFonts w:hint="eastAsia" w:cs="Calibri" w:asciiTheme="minorEastAsia" w:hAnsiTheme="minorEastAsia" w:eastAsiaTheme="minorEastAsia"/>
          <w:b/>
          <w:color w:val="auto"/>
          <w:sz w:val="22"/>
          <w:szCs w:val="24"/>
        </w:rPr>
        <w:t>表3-1</w:t>
      </w:r>
      <w:r>
        <w:rPr>
          <w:rFonts w:cs="Calibri" w:asciiTheme="minorEastAsia" w:hAnsiTheme="minorEastAsia" w:eastAsiaTheme="minorEastAsia"/>
          <w:b/>
          <w:color w:val="auto"/>
          <w:sz w:val="22"/>
          <w:szCs w:val="24"/>
        </w:rPr>
        <w:t>4</w:t>
      </w:r>
      <w:r>
        <w:rPr>
          <w:rFonts w:hint="eastAsia" w:cs="Calibri" w:asciiTheme="minorEastAsia" w:hAnsiTheme="minorEastAsia" w:eastAsiaTheme="minorEastAsia"/>
          <w:b/>
          <w:color w:val="auto"/>
          <w:sz w:val="22"/>
          <w:szCs w:val="24"/>
        </w:rPr>
        <w:t>防疫专项隐患专项隐患排查记录表</w:t>
      </w:r>
    </w:p>
    <w:tbl>
      <w:tblPr>
        <w:tblStyle w:val="30"/>
        <w:tblW w:w="9060"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344"/>
        <w:gridCol w:w="6419"/>
        <w:gridCol w:w="129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blHeader/>
        </w:trPr>
        <w:tc>
          <w:tcPr>
            <w:tcW w:w="1344" w:type="dxa"/>
            <w:tcBorders>
              <w:top w:val="single" w:color="auto" w:sz="4" w:space="0"/>
              <w:bottom w:val="single" w:color="auto" w:sz="6" w:space="0"/>
            </w:tcBorders>
            <w:shd w:val="clear" w:color="auto" w:fill="F1F1F1" w:themeFill="background1" w:themeFillShade="F2"/>
            <w:vAlign w:val="center"/>
          </w:tcPr>
          <w:p>
            <w:pPr>
              <w:spacing w:after="0" w:line="240" w:lineRule="auto"/>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排查要点</w:t>
            </w:r>
          </w:p>
        </w:tc>
        <w:tc>
          <w:tcPr>
            <w:tcW w:w="6419" w:type="dxa"/>
            <w:tcBorders>
              <w:top w:val="single" w:color="auto" w:sz="4" w:space="0"/>
              <w:bottom w:val="single" w:color="auto" w:sz="6" w:space="0"/>
            </w:tcBorders>
            <w:shd w:val="clear" w:color="auto" w:fill="F1F1F1" w:themeFill="background1" w:themeFillShade="F2"/>
            <w:vAlign w:val="center"/>
          </w:tcPr>
          <w:p>
            <w:pPr>
              <w:spacing w:after="0" w:line="240" w:lineRule="auto"/>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排查内容</w:t>
            </w:r>
          </w:p>
        </w:tc>
        <w:tc>
          <w:tcPr>
            <w:tcW w:w="1297" w:type="dxa"/>
            <w:tcBorders>
              <w:top w:val="single" w:color="auto" w:sz="4" w:space="0"/>
              <w:bottom w:val="single" w:color="auto" w:sz="6" w:space="0"/>
            </w:tcBorders>
            <w:shd w:val="clear" w:color="auto" w:fill="F1F1F1" w:themeFill="background1" w:themeFillShade="F2"/>
            <w:vAlign w:val="center"/>
          </w:tcPr>
          <w:p>
            <w:pPr>
              <w:spacing w:after="0" w:line="240" w:lineRule="auto"/>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排查结果</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344" w:type="dxa"/>
            <w:vMerge w:val="restart"/>
            <w:tcBorders>
              <w:top w:val="single" w:color="auto" w:sz="6" w:space="0"/>
            </w:tcBorders>
            <w:shd w:val="clear" w:color="auto" w:fill="auto"/>
            <w:vAlign w:val="center"/>
          </w:tcPr>
          <w:p>
            <w:pPr>
              <w:spacing w:after="0" w:line="240" w:lineRule="auto"/>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组织准备</w:t>
            </w:r>
          </w:p>
        </w:tc>
        <w:tc>
          <w:tcPr>
            <w:tcW w:w="6419" w:type="dxa"/>
            <w:tcBorders>
              <w:top w:val="single" w:color="auto" w:sz="6" w:space="0"/>
            </w:tcBorders>
            <w:shd w:val="clear" w:color="auto" w:fill="auto"/>
            <w:vAlign w:val="center"/>
          </w:tcPr>
          <w:p>
            <w:pPr>
              <w:spacing w:after="0" w:line="240" w:lineRule="auto"/>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领导小组成立，组织体系及职责明确。</w:t>
            </w:r>
          </w:p>
        </w:tc>
        <w:tc>
          <w:tcPr>
            <w:tcW w:w="1297" w:type="dxa"/>
            <w:vMerge w:val="restart"/>
            <w:tcBorders>
              <w:top w:val="single" w:color="auto" w:sz="6" w:space="0"/>
            </w:tcBorders>
            <w:shd w:val="clear" w:color="auto" w:fill="auto"/>
            <w:vAlign w:val="center"/>
          </w:tcPr>
          <w:p>
            <w:pPr>
              <w:spacing w:after="0" w:line="240" w:lineRule="auto"/>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344" w:type="dxa"/>
            <w:vMerge w:val="continue"/>
            <w:vAlign w:val="center"/>
          </w:tcPr>
          <w:p>
            <w:pPr>
              <w:spacing w:after="0" w:line="240" w:lineRule="auto"/>
              <w:ind w:left="0" w:firstLine="0"/>
              <w:rPr>
                <w:rFonts w:cs="宋体" w:asciiTheme="minorEastAsia" w:hAnsiTheme="minorEastAsia" w:eastAsiaTheme="minorEastAsia"/>
                <w:color w:val="auto"/>
                <w:kern w:val="0"/>
                <w:sz w:val="21"/>
                <w:szCs w:val="21"/>
              </w:rPr>
            </w:pPr>
          </w:p>
        </w:tc>
        <w:tc>
          <w:tcPr>
            <w:tcW w:w="6419" w:type="dxa"/>
            <w:shd w:val="clear" w:color="auto" w:fill="auto"/>
            <w:vAlign w:val="center"/>
          </w:tcPr>
          <w:p>
            <w:pPr>
              <w:spacing w:after="0" w:line="240" w:lineRule="auto"/>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应急队伍成立，疏导及防疫人员配备充足。</w:t>
            </w:r>
          </w:p>
        </w:tc>
        <w:tc>
          <w:tcPr>
            <w:tcW w:w="1297" w:type="dxa"/>
            <w:vMerge w:val="continue"/>
            <w:vAlign w:val="center"/>
          </w:tcPr>
          <w:p>
            <w:pPr>
              <w:spacing w:after="0" w:line="240" w:lineRule="auto"/>
              <w:ind w:left="0" w:firstLine="0"/>
              <w:rPr>
                <w:rFonts w:cs="宋体" w:asciiTheme="minorEastAsia" w:hAnsiTheme="minorEastAsia" w:eastAsiaTheme="minorEastAsia"/>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344" w:type="dxa"/>
            <w:vMerge w:val="continue"/>
            <w:vAlign w:val="center"/>
          </w:tcPr>
          <w:p>
            <w:pPr>
              <w:spacing w:after="0" w:line="240" w:lineRule="auto"/>
              <w:ind w:left="0" w:firstLine="0"/>
              <w:rPr>
                <w:rFonts w:cs="宋体" w:asciiTheme="minorEastAsia" w:hAnsiTheme="minorEastAsia" w:eastAsiaTheme="minorEastAsia"/>
                <w:color w:val="auto"/>
                <w:kern w:val="0"/>
                <w:sz w:val="21"/>
                <w:szCs w:val="21"/>
              </w:rPr>
            </w:pPr>
          </w:p>
        </w:tc>
        <w:tc>
          <w:tcPr>
            <w:tcW w:w="6419" w:type="dxa"/>
            <w:shd w:val="clear" w:color="auto" w:fill="auto"/>
            <w:vAlign w:val="center"/>
          </w:tcPr>
          <w:p>
            <w:pPr>
              <w:spacing w:after="0" w:line="240" w:lineRule="auto"/>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与交警、路政、医院、防疫等部门联防联控机制健全，信息通道畅通。</w:t>
            </w:r>
          </w:p>
        </w:tc>
        <w:tc>
          <w:tcPr>
            <w:tcW w:w="1297" w:type="dxa"/>
            <w:vMerge w:val="continue"/>
            <w:vAlign w:val="center"/>
          </w:tcPr>
          <w:p>
            <w:pPr>
              <w:spacing w:after="0" w:line="240" w:lineRule="auto"/>
              <w:ind w:left="0" w:firstLine="0"/>
              <w:rPr>
                <w:rFonts w:cs="宋体" w:asciiTheme="minorEastAsia" w:hAnsiTheme="minorEastAsia" w:eastAsiaTheme="minorEastAsia"/>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344" w:type="dxa"/>
            <w:vMerge w:val="continue"/>
            <w:vAlign w:val="center"/>
          </w:tcPr>
          <w:p>
            <w:pPr>
              <w:spacing w:after="0" w:line="240" w:lineRule="auto"/>
              <w:ind w:left="0" w:firstLine="0"/>
              <w:rPr>
                <w:rFonts w:cs="宋体" w:asciiTheme="minorEastAsia" w:hAnsiTheme="minorEastAsia" w:eastAsiaTheme="minorEastAsia"/>
                <w:color w:val="auto"/>
                <w:kern w:val="0"/>
                <w:sz w:val="21"/>
                <w:szCs w:val="21"/>
              </w:rPr>
            </w:pPr>
          </w:p>
        </w:tc>
        <w:tc>
          <w:tcPr>
            <w:tcW w:w="6419" w:type="dxa"/>
            <w:shd w:val="clear" w:color="auto" w:fill="auto"/>
            <w:vAlign w:val="center"/>
          </w:tcPr>
          <w:p>
            <w:pPr>
              <w:spacing w:after="0" w:line="240" w:lineRule="auto"/>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按规定开展动员准备和教育培训工作。</w:t>
            </w:r>
          </w:p>
        </w:tc>
        <w:tc>
          <w:tcPr>
            <w:tcW w:w="1297" w:type="dxa"/>
            <w:vMerge w:val="continue"/>
            <w:vAlign w:val="center"/>
          </w:tcPr>
          <w:p>
            <w:pPr>
              <w:spacing w:after="0" w:line="240" w:lineRule="auto"/>
              <w:ind w:left="0" w:firstLine="0"/>
              <w:rPr>
                <w:rFonts w:cs="宋体" w:asciiTheme="minorEastAsia" w:hAnsiTheme="minorEastAsia" w:eastAsiaTheme="minorEastAsia"/>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344" w:type="dxa"/>
            <w:shd w:val="clear" w:color="auto" w:fill="auto"/>
            <w:vAlign w:val="center"/>
          </w:tcPr>
          <w:p>
            <w:pPr>
              <w:spacing w:after="0" w:line="240" w:lineRule="auto"/>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应急预案</w:t>
            </w:r>
          </w:p>
        </w:tc>
        <w:tc>
          <w:tcPr>
            <w:tcW w:w="6419" w:type="dxa"/>
            <w:shd w:val="clear" w:color="auto" w:fill="auto"/>
            <w:vAlign w:val="center"/>
          </w:tcPr>
          <w:p>
            <w:pPr>
              <w:spacing w:after="0" w:line="240" w:lineRule="auto"/>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应急预案或处置方案建立健全、内容合理，按规定开展应急演练。</w:t>
            </w:r>
          </w:p>
        </w:tc>
        <w:tc>
          <w:tcPr>
            <w:tcW w:w="1297" w:type="dxa"/>
            <w:shd w:val="clear" w:color="auto" w:fill="auto"/>
            <w:vAlign w:val="center"/>
          </w:tcPr>
          <w:p>
            <w:pPr>
              <w:spacing w:after="0" w:line="240" w:lineRule="auto"/>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344" w:type="dxa"/>
            <w:vMerge w:val="restart"/>
            <w:shd w:val="clear" w:color="auto" w:fill="auto"/>
            <w:vAlign w:val="center"/>
          </w:tcPr>
          <w:p>
            <w:pPr>
              <w:spacing w:after="0" w:line="240" w:lineRule="auto"/>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监测预警</w:t>
            </w:r>
          </w:p>
        </w:tc>
        <w:tc>
          <w:tcPr>
            <w:tcW w:w="6419" w:type="dxa"/>
            <w:shd w:val="clear" w:color="auto" w:fill="auto"/>
            <w:vAlign w:val="center"/>
          </w:tcPr>
          <w:p>
            <w:pPr>
              <w:spacing w:after="0" w:line="240" w:lineRule="auto"/>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按规定开展领导带班、员工值班。</w:t>
            </w:r>
          </w:p>
        </w:tc>
        <w:tc>
          <w:tcPr>
            <w:tcW w:w="1297" w:type="dxa"/>
            <w:vMerge w:val="restart"/>
            <w:shd w:val="clear" w:color="auto" w:fill="auto"/>
            <w:vAlign w:val="center"/>
          </w:tcPr>
          <w:p>
            <w:pPr>
              <w:spacing w:after="0" w:line="240" w:lineRule="auto"/>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344" w:type="dxa"/>
            <w:vMerge w:val="continue"/>
            <w:vAlign w:val="center"/>
          </w:tcPr>
          <w:p>
            <w:pPr>
              <w:spacing w:after="0" w:line="240" w:lineRule="auto"/>
              <w:ind w:left="0" w:firstLine="0"/>
              <w:rPr>
                <w:rFonts w:cs="宋体" w:asciiTheme="minorEastAsia" w:hAnsiTheme="minorEastAsia" w:eastAsiaTheme="minorEastAsia"/>
                <w:color w:val="auto"/>
                <w:kern w:val="0"/>
                <w:sz w:val="21"/>
                <w:szCs w:val="21"/>
              </w:rPr>
            </w:pPr>
          </w:p>
        </w:tc>
        <w:tc>
          <w:tcPr>
            <w:tcW w:w="6419" w:type="dxa"/>
            <w:shd w:val="clear" w:color="auto" w:fill="auto"/>
            <w:vAlign w:val="center"/>
          </w:tcPr>
          <w:p>
            <w:pPr>
              <w:spacing w:after="0" w:line="240" w:lineRule="auto"/>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专人监测预警、信息收集齐全，按规定开展上传下达工作。</w:t>
            </w:r>
          </w:p>
        </w:tc>
        <w:tc>
          <w:tcPr>
            <w:tcW w:w="1297" w:type="dxa"/>
            <w:vMerge w:val="continue"/>
            <w:vAlign w:val="center"/>
          </w:tcPr>
          <w:p>
            <w:pPr>
              <w:spacing w:after="0" w:line="240" w:lineRule="auto"/>
              <w:ind w:left="0" w:firstLine="0"/>
              <w:rPr>
                <w:rFonts w:cs="宋体" w:asciiTheme="minorEastAsia" w:hAnsiTheme="minorEastAsia" w:eastAsiaTheme="minorEastAsia"/>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344" w:type="dxa"/>
            <w:vMerge w:val="restart"/>
            <w:shd w:val="clear" w:color="auto" w:fill="auto"/>
            <w:vAlign w:val="center"/>
          </w:tcPr>
          <w:p>
            <w:pPr>
              <w:spacing w:after="0" w:line="240" w:lineRule="auto"/>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收费广场</w:t>
            </w:r>
          </w:p>
        </w:tc>
        <w:tc>
          <w:tcPr>
            <w:tcW w:w="6419" w:type="dxa"/>
            <w:shd w:val="clear" w:color="auto" w:fill="auto"/>
            <w:vAlign w:val="center"/>
          </w:tcPr>
          <w:p>
            <w:pPr>
              <w:spacing w:after="0" w:line="240" w:lineRule="auto"/>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按规定设置检测通道，配置防疫检测设备和信息登记准备工作。</w:t>
            </w:r>
          </w:p>
        </w:tc>
        <w:tc>
          <w:tcPr>
            <w:tcW w:w="1297" w:type="dxa"/>
            <w:vMerge w:val="restart"/>
            <w:shd w:val="clear" w:color="auto" w:fill="auto"/>
            <w:vAlign w:val="center"/>
          </w:tcPr>
          <w:p>
            <w:pPr>
              <w:spacing w:after="0" w:line="240" w:lineRule="auto"/>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344" w:type="dxa"/>
            <w:vMerge w:val="continue"/>
            <w:vAlign w:val="center"/>
          </w:tcPr>
          <w:p>
            <w:pPr>
              <w:spacing w:after="0" w:line="240" w:lineRule="auto"/>
              <w:ind w:left="0" w:firstLine="0"/>
              <w:rPr>
                <w:rFonts w:cs="宋体" w:asciiTheme="minorEastAsia" w:hAnsiTheme="minorEastAsia" w:eastAsiaTheme="minorEastAsia"/>
                <w:color w:val="auto"/>
                <w:kern w:val="0"/>
                <w:sz w:val="21"/>
                <w:szCs w:val="21"/>
              </w:rPr>
            </w:pPr>
          </w:p>
        </w:tc>
        <w:tc>
          <w:tcPr>
            <w:tcW w:w="6419" w:type="dxa"/>
            <w:shd w:val="clear" w:color="auto" w:fill="auto"/>
            <w:vAlign w:val="center"/>
          </w:tcPr>
          <w:p>
            <w:pPr>
              <w:spacing w:after="0" w:line="240" w:lineRule="auto"/>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个人防护装备配置齐全有效。</w:t>
            </w:r>
          </w:p>
        </w:tc>
        <w:tc>
          <w:tcPr>
            <w:tcW w:w="1297" w:type="dxa"/>
            <w:vMerge w:val="continue"/>
            <w:vAlign w:val="center"/>
          </w:tcPr>
          <w:p>
            <w:pPr>
              <w:spacing w:after="0" w:line="240" w:lineRule="auto"/>
              <w:ind w:left="0" w:firstLine="0"/>
              <w:rPr>
                <w:rFonts w:cs="宋体" w:asciiTheme="minorEastAsia" w:hAnsiTheme="minorEastAsia" w:eastAsiaTheme="minorEastAsia"/>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344" w:type="dxa"/>
            <w:vMerge w:val="continue"/>
            <w:vAlign w:val="center"/>
          </w:tcPr>
          <w:p>
            <w:pPr>
              <w:spacing w:after="0" w:line="240" w:lineRule="auto"/>
              <w:ind w:left="0" w:firstLine="0"/>
              <w:rPr>
                <w:rFonts w:cs="宋体" w:asciiTheme="minorEastAsia" w:hAnsiTheme="minorEastAsia" w:eastAsiaTheme="minorEastAsia"/>
                <w:color w:val="auto"/>
                <w:kern w:val="0"/>
                <w:sz w:val="21"/>
                <w:szCs w:val="21"/>
              </w:rPr>
            </w:pPr>
          </w:p>
        </w:tc>
        <w:tc>
          <w:tcPr>
            <w:tcW w:w="6419" w:type="dxa"/>
            <w:shd w:val="clear" w:color="auto" w:fill="auto"/>
            <w:vAlign w:val="center"/>
          </w:tcPr>
          <w:p>
            <w:pPr>
              <w:spacing w:after="0" w:line="240" w:lineRule="auto"/>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交通信息发布、上报流程清晰。</w:t>
            </w:r>
          </w:p>
        </w:tc>
        <w:tc>
          <w:tcPr>
            <w:tcW w:w="1297" w:type="dxa"/>
            <w:vMerge w:val="continue"/>
            <w:vAlign w:val="center"/>
          </w:tcPr>
          <w:p>
            <w:pPr>
              <w:spacing w:after="0" w:line="240" w:lineRule="auto"/>
              <w:ind w:left="0" w:firstLine="0"/>
              <w:rPr>
                <w:rFonts w:cs="宋体" w:asciiTheme="minorEastAsia" w:hAnsiTheme="minorEastAsia" w:eastAsiaTheme="minorEastAsia"/>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344" w:type="dxa"/>
            <w:vMerge w:val="continue"/>
            <w:vAlign w:val="center"/>
          </w:tcPr>
          <w:p>
            <w:pPr>
              <w:spacing w:after="0" w:line="240" w:lineRule="auto"/>
              <w:ind w:left="0" w:firstLine="0"/>
              <w:rPr>
                <w:rFonts w:cs="宋体" w:asciiTheme="minorEastAsia" w:hAnsiTheme="minorEastAsia" w:eastAsiaTheme="minorEastAsia"/>
                <w:color w:val="auto"/>
                <w:kern w:val="0"/>
                <w:sz w:val="21"/>
                <w:szCs w:val="21"/>
              </w:rPr>
            </w:pPr>
          </w:p>
        </w:tc>
        <w:tc>
          <w:tcPr>
            <w:tcW w:w="6419" w:type="dxa"/>
            <w:shd w:val="clear" w:color="auto" w:fill="auto"/>
            <w:vAlign w:val="center"/>
          </w:tcPr>
          <w:p>
            <w:pPr>
              <w:spacing w:after="0" w:line="240" w:lineRule="auto"/>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卡、票等通行介质按规定清洗。</w:t>
            </w:r>
          </w:p>
        </w:tc>
        <w:tc>
          <w:tcPr>
            <w:tcW w:w="1297" w:type="dxa"/>
            <w:vMerge w:val="continue"/>
            <w:vAlign w:val="center"/>
          </w:tcPr>
          <w:p>
            <w:pPr>
              <w:spacing w:after="0" w:line="240" w:lineRule="auto"/>
              <w:ind w:left="0" w:firstLine="0"/>
              <w:rPr>
                <w:rFonts w:cs="宋体" w:asciiTheme="minorEastAsia" w:hAnsiTheme="minorEastAsia" w:eastAsiaTheme="minorEastAsia"/>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344" w:type="dxa"/>
            <w:vMerge w:val="restart"/>
            <w:shd w:val="clear" w:color="auto" w:fill="auto"/>
            <w:vAlign w:val="center"/>
          </w:tcPr>
          <w:p>
            <w:pPr>
              <w:spacing w:after="0" w:line="240" w:lineRule="auto"/>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员工防疫</w:t>
            </w:r>
          </w:p>
        </w:tc>
        <w:tc>
          <w:tcPr>
            <w:tcW w:w="6419" w:type="dxa"/>
            <w:shd w:val="clear" w:color="auto" w:fill="auto"/>
            <w:vAlign w:val="center"/>
          </w:tcPr>
          <w:p>
            <w:pPr>
              <w:spacing w:after="0" w:line="240" w:lineRule="auto"/>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按规定出入登记、轮岗轮班管理。</w:t>
            </w:r>
          </w:p>
        </w:tc>
        <w:tc>
          <w:tcPr>
            <w:tcW w:w="1297" w:type="dxa"/>
            <w:vMerge w:val="restart"/>
            <w:shd w:val="clear" w:color="auto" w:fill="auto"/>
            <w:vAlign w:val="center"/>
          </w:tcPr>
          <w:p>
            <w:pPr>
              <w:spacing w:after="0" w:line="240" w:lineRule="auto"/>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344" w:type="dxa"/>
            <w:vMerge w:val="continue"/>
            <w:vAlign w:val="center"/>
          </w:tcPr>
          <w:p>
            <w:pPr>
              <w:spacing w:after="0" w:line="240" w:lineRule="auto"/>
              <w:ind w:left="0" w:firstLine="0"/>
              <w:rPr>
                <w:rFonts w:cs="宋体" w:asciiTheme="minorEastAsia" w:hAnsiTheme="minorEastAsia" w:eastAsiaTheme="minorEastAsia"/>
                <w:color w:val="auto"/>
                <w:kern w:val="0"/>
                <w:sz w:val="21"/>
                <w:szCs w:val="21"/>
              </w:rPr>
            </w:pPr>
          </w:p>
        </w:tc>
        <w:tc>
          <w:tcPr>
            <w:tcW w:w="6419" w:type="dxa"/>
            <w:shd w:val="clear" w:color="auto" w:fill="auto"/>
            <w:vAlign w:val="center"/>
          </w:tcPr>
          <w:p>
            <w:pPr>
              <w:spacing w:after="0" w:line="240" w:lineRule="auto"/>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通风空调及换气设备正常。</w:t>
            </w:r>
          </w:p>
        </w:tc>
        <w:tc>
          <w:tcPr>
            <w:tcW w:w="1297" w:type="dxa"/>
            <w:vMerge w:val="continue"/>
            <w:vAlign w:val="center"/>
          </w:tcPr>
          <w:p>
            <w:pPr>
              <w:spacing w:after="0" w:line="240" w:lineRule="auto"/>
              <w:ind w:left="0" w:firstLine="0"/>
              <w:rPr>
                <w:rFonts w:cs="宋体" w:asciiTheme="minorEastAsia" w:hAnsiTheme="minorEastAsia" w:eastAsiaTheme="minorEastAsia"/>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344" w:type="dxa"/>
            <w:vMerge w:val="continue"/>
            <w:vAlign w:val="center"/>
          </w:tcPr>
          <w:p>
            <w:pPr>
              <w:spacing w:after="0" w:line="240" w:lineRule="auto"/>
              <w:ind w:left="0" w:firstLine="0"/>
              <w:rPr>
                <w:rFonts w:cs="宋体" w:asciiTheme="minorEastAsia" w:hAnsiTheme="minorEastAsia" w:eastAsiaTheme="minorEastAsia"/>
                <w:color w:val="auto"/>
                <w:kern w:val="0"/>
                <w:sz w:val="21"/>
                <w:szCs w:val="21"/>
              </w:rPr>
            </w:pPr>
          </w:p>
        </w:tc>
        <w:tc>
          <w:tcPr>
            <w:tcW w:w="6419" w:type="dxa"/>
            <w:shd w:val="clear" w:color="auto" w:fill="auto"/>
            <w:vAlign w:val="center"/>
          </w:tcPr>
          <w:p>
            <w:pPr>
              <w:spacing w:after="0" w:line="240" w:lineRule="auto"/>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洗手、消毒、清洁、医疗等物资配备齐全。</w:t>
            </w:r>
          </w:p>
        </w:tc>
        <w:tc>
          <w:tcPr>
            <w:tcW w:w="1297" w:type="dxa"/>
            <w:vMerge w:val="continue"/>
            <w:vAlign w:val="center"/>
          </w:tcPr>
          <w:p>
            <w:pPr>
              <w:spacing w:after="0" w:line="240" w:lineRule="auto"/>
              <w:ind w:left="0" w:firstLine="0"/>
              <w:rPr>
                <w:rFonts w:cs="宋体" w:asciiTheme="minorEastAsia" w:hAnsiTheme="minorEastAsia" w:eastAsiaTheme="minorEastAsia"/>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344" w:type="dxa"/>
            <w:vMerge w:val="continue"/>
            <w:vAlign w:val="center"/>
          </w:tcPr>
          <w:p>
            <w:pPr>
              <w:spacing w:after="0" w:line="240" w:lineRule="auto"/>
              <w:ind w:left="0" w:firstLine="0"/>
              <w:rPr>
                <w:rFonts w:cs="宋体" w:asciiTheme="minorEastAsia" w:hAnsiTheme="minorEastAsia" w:eastAsiaTheme="minorEastAsia"/>
                <w:color w:val="auto"/>
                <w:kern w:val="0"/>
                <w:sz w:val="21"/>
                <w:szCs w:val="21"/>
              </w:rPr>
            </w:pPr>
          </w:p>
        </w:tc>
        <w:tc>
          <w:tcPr>
            <w:tcW w:w="6419" w:type="dxa"/>
            <w:shd w:val="clear" w:color="auto" w:fill="auto"/>
            <w:vAlign w:val="center"/>
          </w:tcPr>
          <w:p>
            <w:pPr>
              <w:spacing w:after="0" w:line="240" w:lineRule="auto"/>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员工聚集、集体活动、用餐、外出及垃圾处理符合规定。</w:t>
            </w:r>
          </w:p>
        </w:tc>
        <w:tc>
          <w:tcPr>
            <w:tcW w:w="1297" w:type="dxa"/>
            <w:vMerge w:val="continue"/>
            <w:vAlign w:val="center"/>
          </w:tcPr>
          <w:p>
            <w:pPr>
              <w:spacing w:after="0" w:line="240" w:lineRule="auto"/>
              <w:ind w:left="0" w:firstLine="0"/>
              <w:rPr>
                <w:rFonts w:cs="宋体" w:asciiTheme="minorEastAsia" w:hAnsiTheme="minorEastAsia" w:eastAsiaTheme="minorEastAsia"/>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344" w:type="dxa"/>
            <w:vMerge w:val="continue"/>
            <w:vAlign w:val="center"/>
          </w:tcPr>
          <w:p>
            <w:pPr>
              <w:spacing w:after="0" w:line="240" w:lineRule="auto"/>
              <w:ind w:left="0" w:firstLine="0"/>
              <w:rPr>
                <w:rFonts w:cs="宋体" w:asciiTheme="minorEastAsia" w:hAnsiTheme="minorEastAsia" w:eastAsiaTheme="minorEastAsia"/>
                <w:color w:val="auto"/>
                <w:kern w:val="0"/>
                <w:sz w:val="21"/>
                <w:szCs w:val="21"/>
              </w:rPr>
            </w:pPr>
          </w:p>
        </w:tc>
        <w:tc>
          <w:tcPr>
            <w:tcW w:w="6419" w:type="dxa"/>
            <w:shd w:val="clear" w:color="auto" w:fill="auto"/>
            <w:vAlign w:val="center"/>
          </w:tcPr>
          <w:p>
            <w:pPr>
              <w:spacing w:after="0" w:line="240" w:lineRule="auto"/>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按规定设置隔离观察区域。</w:t>
            </w:r>
          </w:p>
        </w:tc>
        <w:tc>
          <w:tcPr>
            <w:tcW w:w="1297" w:type="dxa"/>
            <w:vMerge w:val="continue"/>
            <w:vAlign w:val="center"/>
          </w:tcPr>
          <w:p>
            <w:pPr>
              <w:spacing w:after="0" w:line="240" w:lineRule="auto"/>
              <w:ind w:left="0" w:firstLine="0"/>
              <w:rPr>
                <w:rFonts w:cs="宋体" w:asciiTheme="minorEastAsia" w:hAnsiTheme="minorEastAsia" w:eastAsiaTheme="minorEastAsia"/>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344" w:type="dxa"/>
            <w:vMerge w:val="continue"/>
            <w:vAlign w:val="center"/>
          </w:tcPr>
          <w:p>
            <w:pPr>
              <w:spacing w:after="0" w:line="240" w:lineRule="auto"/>
              <w:ind w:left="0" w:firstLine="0"/>
              <w:rPr>
                <w:rFonts w:cs="宋体" w:asciiTheme="minorEastAsia" w:hAnsiTheme="minorEastAsia" w:eastAsiaTheme="minorEastAsia"/>
                <w:color w:val="auto"/>
                <w:kern w:val="0"/>
                <w:sz w:val="21"/>
                <w:szCs w:val="21"/>
              </w:rPr>
            </w:pPr>
          </w:p>
        </w:tc>
        <w:tc>
          <w:tcPr>
            <w:tcW w:w="6419" w:type="dxa"/>
            <w:shd w:val="clear" w:color="auto" w:fill="auto"/>
            <w:vAlign w:val="center"/>
          </w:tcPr>
          <w:p>
            <w:pPr>
              <w:spacing w:after="0" w:line="240" w:lineRule="auto"/>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员工按规定进行健康监测，上报。</w:t>
            </w:r>
          </w:p>
        </w:tc>
        <w:tc>
          <w:tcPr>
            <w:tcW w:w="1297" w:type="dxa"/>
            <w:vMerge w:val="continue"/>
            <w:vAlign w:val="center"/>
          </w:tcPr>
          <w:p>
            <w:pPr>
              <w:spacing w:after="0" w:line="240" w:lineRule="auto"/>
              <w:ind w:left="0" w:firstLine="0"/>
              <w:rPr>
                <w:rFonts w:cs="宋体" w:asciiTheme="minorEastAsia" w:hAnsiTheme="minorEastAsia" w:eastAsiaTheme="minorEastAsia"/>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344" w:type="dxa"/>
            <w:shd w:val="clear" w:color="auto" w:fill="auto"/>
            <w:vAlign w:val="center"/>
          </w:tcPr>
          <w:p>
            <w:pPr>
              <w:spacing w:after="0" w:line="240" w:lineRule="auto"/>
              <w:ind w:left="0" w:firstLine="0"/>
              <w:jc w:val="center"/>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其他</w:t>
            </w:r>
          </w:p>
        </w:tc>
        <w:tc>
          <w:tcPr>
            <w:tcW w:w="6419" w:type="dxa"/>
            <w:shd w:val="clear" w:color="auto" w:fill="auto"/>
            <w:vAlign w:val="center"/>
          </w:tcPr>
          <w:p>
            <w:pPr>
              <w:spacing w:after="0" w:line="240" w:lineRule="auto"/>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按上级要求开展其他防疫专项隐患排查治理工作。</w:t>
            </w:r>
          </w:p>
        </w:tc>
        <w:tc>
          <w:tcPr>
            <w:tcW w:w="1297" w:type="dxa"/>
            <w:vMerge w:val="continue"/>
            <w:vAlign w:val="center"/>
          </w:tcPr>
          <w:p>
            <w:pPr>
              <w:spacing w:after="0" w:line="240" w:lineRule="auto"/>
              <w:ind w:left="0" w:firstLine="0"/>
              <w:rPr>
                <w:rFonts w:cs="宋体" w:asciiTheme="minorEastAsia" w:hAnsiTheme="minorEastAsia" w:eastAsiaTheme="minorEastAsia"/>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9060" w:type="dxa"/>
            <w:gridSpan w:val="3"/>
            <w:shd w:val="clear" w:color="auto" w:fill="auto"/>
            <w:vAlign w:val="center"/>
          </w:tcPr>
          <w:p>
            <w:pPr>
              <w:spacing w:after="0" w:line="240" w:lineRule="auto"/>
              <w:ind w:left="0" w:firstLine="0"/>
              <w:rPr>
                <w:rFonts w:cs="宋体" w:asciiTheme="minorEastAsia" w:hAnsiTheme="minorEastAsia" w:eastAsiaTheme="minorEastAsia"/>
                <w:color w:val="auto"/>
                <w:kern w:val="0"/>
                <w:sz w:val="21"/>
                <w:szCs w:val="21"/>
              </w:rPr>
            </w:pPr>
            <w:r>
              <w:rPr>
                <w:rFonts w:hint="eastAsia" w:cs="宋体" w:asciiTheme="minorEastAsia" w:hAnsiTheme="minorEastAsia" w:eastAsiaTheme="minorEastAsia"/>
                <w:color w:val="auto"/>
                <w:kern w:val="0"/>
                <w:sz w:val="21"/>
                <w:szCs w:val="21"/>
              </w:rPr>
              <w:t>组织人：               参加人员：                               日期：</w:t>
            </w:r>
          </w:p>
        </w:tc>
      </w:tr>
    </w:tbl>
    <w:p>
      <w:pPr>
        <w:widowControl w:val="0"/>
        <w:spacing w:after="0" w:line="560" w:lineRule="exact"/>
        <w:ind w:left="0" w:firstLine="432" w:firstLineChars="200"/>
        <w:jc w:val="center"/>
        <w:rPr>
          <w:rFonts w:cs="Calibri" w:asciiTheme="minorEastAsia" w:hAnsiTheme="minorEastAsia" w:eastAsiaTheme="minorEastAsia"/>
          <w:color w:val="auto"/>
          <w:sz w:val="22"/>
          <w:szCs w:val="24"/>
        </w:rPr>
      </w:pPr>
    </w:p>
    <w:sectPr>
      <w:headerReference r:id="rId17" w:type="default"/>
      <w:pgSz w:w="11906" w:h="16838"/>
      <w:pgMar w:top="1080" w:right="1440" w:bottom="1080" w:left="1440" w:header="851" w:footer="850" w:gutter="0"/>
      <w:cols w:space="720" w:num="1"/>
      <w:docGrid w:type="linesAndChars" w:linePitch="584" w:charSpace="-8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等线 Light">
    <w:altName w:val="宋体"/>
    <w:panose1 w:val="00000000000000000000"/>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Cambria">
    <w:panose1 w:val="02040503050406030204"/>
    <w:charset w:val="00"/>
    <w:family w:val="roman"/>
    <w:pitch w:val="default"/>
    <w:sig w:usb0="E00002FF" w:usb1="400004FF" w:usb2="00000000" w:usb3="00000000" w:csb0="2000019F" w:csb1="00000000"/>
  </w:font>
  <w:font w:name="Calibri Light">
    <w:panose1 w:val="020F0302020204030204"/>
    <w:charset w:val="00"/>
    <w:family w:val="swiss"/>
    <w:pitch w:val="default"/>
    <w:sig w:usb0="A00002EF" w:usb1="4000207B" w:usb2="00000000" w:usb3="00000000" w:csb0="2000019F" w:csb1="00000000"/>
  </w:font>
  <w:font w:name="方正小标宋简体">
    <w:altName w:val="微软雅黑"/>
    <w:panose1 w:val="00000000000000000000"/>
    <w:charset w:val="86"/>
    <w:family w:val="auto"/>
    <w:pitch w:val="default"/>
    <w:sig w:usb0="00000000" w:usb1="00000000" w:usb2="00000010" w:usb3="00000000" w:csb0="00040000" w:csb1="00000000"/>
  </w:font>
  <w:font w:name="Arial Unicode MS">
    <w:altName w:val="Arial"/>
    <w:panose1 w:val="020B0604020202020204"/>
    <w:charset w:val="00"/>
    <w:family w:val="roman"/>
    <w:pitch w:val="default"/>
    <w:sig w:usb0="00000000" w:usb1="00000000" w:usb2="00000000" w:usb3="00000000" w:csb0="00000001" w:csb1="00000000"/>
  </w:font>
  <w:font w:name="Noto Sans CJK JP Regular">
    <w:altName w:val="Arial"/>
    <w:panose1 w:val="00000000000000000000"/>
    <w:charset w:val="00"/>
    <w:family w:val="swiss"/>
    <w:pitch w:val="default"/>
    <w:sig w:usb0="00000000" w:usb1="00000000" w:usb2="00000000" w:usb3="00000000" w:csb0="00040001" w:csb1="00000000"/>
  </w:font>
  <w:font w:name="华文中宋">
    <w:altName w:val="宋体"/>
    <w:panose1 w:val="00000000000000000000"/>
    <w:charset w:val="86"/>
    <w:family w:val="auto"/>
    <w:pitch w:val="default"/>
    <w:sig w:usb0="00000000" w:usb1="00000000" w:usb2="00000010" w:usb3="00000000" w:csb0="0004009F" w:csb1="00000000"/>
  </w:font>
  <w:font w:name="华文隶书">
    <w:altName w:val="微软雅黑"/>
    <w:panose1 w:val="00000000000000000000"/>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t xml:space="preserve">-  </w:t>
    </w:r>
    <w:r>
      <w:fldChar w:fldCharType="begin"/>
    </w:r>
    <w:r>
      <w:instrText xml:space="preserve">PAGE   \* MERGEFORMAT</w:instrText>
    </w:r>
    <w:r>
      <w:fldChar w:fldCharType="separate"/>
    </w:r>
    <w:r>
      <w:rPr>
        <w:lang w:val="zh-CN"/>
      </w:rPr>
      <w:t>6</w:t>
    </w:r>
    <w:r>
      <w:fldChar w:fldCharType="end"/>
    </w: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t xml:space="preserve">-  </w:t>
    </w:r>
    <w:r>
      <w:fldChar w:fldCharType="begin"/>
    </w:r>
    <w:r>
      <w:instrText xml:space="preserve">PAGE   \* MERGEFORMAT</w:instrText>
    </w:r>
    <w:r>
      <w:fldChar w:fldCharType="separate"/>
    </w:r>
    <w:r>
      <w:rPr>
        <w:lang w:val="zh-CN"/>
      </w:rPr>
      <w:t>40</w:t>
    </w:r>
    <w:r>
      <w:rPr>
        <w:lang w:val="zh-CN"/>
      </w:rPr>
      <w:fldChar w:fldCharType="end"/>
    </w: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t xml:space="preserve">-  </w:t>
    </w:r>
    <w:r>
      <w:fldChar w:fldCharType="begin"/>
    </w:r>
    <w:r>
      <w:instrText xml:space="preserve">PAGE   \* MERGEFORMAT</w:instrText>
    </w:r>
    <w:r>
      <w:fldChar w:fldCharType="separate"/>
    </w:r>
    <w:r>
      <w:rPr>
        <w:lang w:val="zh-CN"/>
      </w:rPr>
      <w:t>48</w:t>
    </w:r>
    <w:r>
      <w:rPr>
        <w:lang w:val="zh-CN"/>
      </w:rPr>
      <w:fldChar w:fldCharType="end"/>
    </w:r>
    <w: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t xml:space="preserve">-  </w:t>
    </w:r>
    <w:r>
      <w:fldChar w:fldCharType="begin"/>
    </w:r>
    <w:r>
      <w:instrText xml:space="preserve">PAGE   \* MERGEFORMAT</w:instrText>
    </w:r>
    <w:r>
      <w:fldChar w:fldCharType="separate"/>
    </w:r>
    <w:r>
      <w:rPr>
        <w:lang w:val="zh-CN"/>
      </w:rPr>
      <w:t>81</w:t>
    </w:r>
    <w:r>
      <w:fldChar w:fldCharType="end"/>
    </w:r>
    <w: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t xml:space="preserve">-  </w:t>
    </w:r>
    <w:r>
      <w:fldChar w:fldCharType="begin"/>
    </w:r>
    <w:r>
      <w:instrText xml:space="preserve">PAGE   \* MERGEFORMAT</w:instrText>
    </w:r>
    <w:r>
      <w:fldChar w:fldCharType="separate"/>
    </w:r>
    <w:r>
      <w:rPr>
        <w:lang w:val="zh-CN"/>
      </w:rPr>
      <w:t>87</w:t>
    </w:r>
    <w:r>
      <w:fldChar w:fldCharType="end"/>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9" w:lineRule="auto"/>
      </w:pPr>
      <w:r>
        <w:separator/>
      </w:r>
    </w:p>
  </w:footnote>
  <w:footnote w:type="continuationSeparator" w:id="1">
    <w:p>
      <w:pPr>
        <w:spacing w:before="0" w:after="0" w:line="24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single" w:color="auto" w:sz="6" w:space="0"/>
      </w:pBdr>
      <w:spacing w:after="0"/>
      <w:ind w:left="181" w:hanging="11"/>
      <w:rPr>
        <w:rFonts w:ascii="华文中宋" w:hAnsi="华文中宋" w:eastAsia="华文中宋"/>
        <w:sz w:val="24"/>
      </w:rPr>
    </w:pPr>
    <w:r>
      <w:rPr>
        <w:rFonts w:hint="eastAsia" w:asciiTheme="minorEastAsia" w:hAnsiTheme="minorEastAsia" w:eastAsiaTheme="minorEastAsia"/>
        <w:sz w:val="21"/>
      </w:rPr>
      <w:t>中电建冀交高速公路投资发展有限公司风险分级管控与隐患排查治理实施</w:t>
    </w:r>
    <w:r>
      <w:rPr>
        <w:rFonts w:asciiTheme="minorEastAsia" w:hAnsiTheme="minorEastAsia" w:eastAsiaTheme="minorEastAsia"/>
        <w:sz w:val="21"/>
      </w:rPr>
      <w:t>手册</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0" w:firstLine="0"/>
      <w:rPr>
        <w:rFonts w:asciiTheme="minorEastAsia" w:hAnsiTheme="minorEastAsia" w:eastAsiaTheme="minorEastAsia"/>
        <w:sz w:val="21"/>
      </w:rPr>
    </w:pPr>
    <w:r>
      <w:pict>
        <v:shape id="文本框 473" o:spid="_x0000_s4102" o:spt="202" type="#_x0000_t202" style="position:absolute;left:0pt;margin-left:229.25pt;margin-top:37.1pt;height:18.85pt;width:383.15pt;mso-position-horizontal-relative:page;mso-position-vertical-relative:page;z-index:251661312;v-text-anchor:middle;mso-width-relative:page;mso-height-relative:page;" filled="f" stroked="f" coordsize="21600,21600" o:allowincell="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">
          <v:path/>
          <v:fill on="f" focussize="0,0"/>
          <v:stroke on="f" joinstyle="miter"/>
          <v:imagedata o:title=""/>
          <o:lock v:ext="edit"/>
          <v:textbox inset="2.54mm,0mm,2.54mm,0mm">
            <w:txbxContent>
              <w:p>
                <w:pPr>
                  <w:ind w:left="0" w:firstLine="0"/>
                  <w:rPr>
                    <w:rFonts w:ascii="华文中宋" w:hAnsi="华文中宋" w:eastAsia="华文中宋"/>
                  </w:rPr>
                </w:pPr>
                <w:r>
                  <w:rPr>
                    <w:rFonts w:hint="eastAsia" w:asciiTheme="minorEastAsia" w:hAnsiTheme="minorEastAsia" w:eastAsiaTheme="minorEastAsia"/>
                    <w:sz w:val="21"/>
                  </w:rPr>
                  <w:t>中电建冀交高速公路投资发展有限公司风险管理与隐患排查治理</w:t>
                </w:r>
                <w:r>
                  <w:rPr>
                    <w:rFonts w:hint="eastAsia" w:asciiTheme="minorEastAsia" w:hAnsiTheme="minorEastAsia" w:eastAsiaTheme="minorEastAsia"/>
                    <w:sz w:val="21"/>
                    <w:lang w:eastAsia="zh-CN"/>
                  </w:rPr>
                  <w:t>实施手册</w:t>
                </w:r>
                <w:r>
                  <w:rPr>
                    <w:rFonts w:hint="eastAsia" w:ascii="华文中宋" w:hAnsi="华文中宋" w:eastAsia="华文中宋"/>
                    <w:sz w:val="22"/>
                  </w:rPr>
                  <w:t xml:space="preserve">                                                      </w:t>
                </w:r>
              </w:p>
            </w:txbxContent>
          </v:textbox>
        </v:shape>
      </w:pict>
    </w:r>
    <w:r>
      <w:rPr>
        <w:rFonts w:hint="eastAsia" w:ascii="华文中宋" w:hAnsi="华文中宋" w:eastAsia="华文中宋"/>
        <w:kern w:val="0"/>
        <w:szCs w:val="18"/>
      </w:rPr>
      <w:t xml:space="preserve">         </w:t>
    </w:r>
  </w:p>
  <w:p>
    <w:pPr>
      <w:ind w:left="0" w:firstLine="0"/>
      <w:rPr>
        <w:rFonts w:asciiTheme="minorEastAsia" w:hAnsiTheme="minorEastAsia" w:eastAsiaTheme="minorEastAsia"/>
        <w:sz w:val="21"/>
      </w:rPr>
    </w:pPr>
    <w:r>
      <w:rPr>
        <w:rFonts w:hint="eastAsia" w:asciiTheme="minorEastAsia" w:hAnsiTheme="minorEastAsia" w:eastAsiaTheme="minorEastAsia"/>
        <w:sz w:val="21"/>
        <w:u w:val="single"/>
      </w:rPr>
      <w:t xml:space="preserve">                                                                                                                                              </w:t>
    </w:r>
    <w:r>
      <w:rPr>
        <w:rFonts w:hint="eastAsia" w:asciiTheme="minorEastAsia" w:hAnsiTheme="minorEastAsia" w:eastAsiaTheme="minorEastAsia"/>
        <w:sz w:val="21"/>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rFonts w:hint="eastAsia"/>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single" w:color="auto" w:sz="6" w:space="0"/>
      </w:pBdr>
      <w:spacing w:after="0"/>
      <w:ind w:left="181" w:hanging="11"/>
      <w:jc w:val="left"/>
      <w:rPr>
        <w:rFonts w:ascii="华文中宋" w:hAnsi="华文中宋" w:eastAsia="华文中宋"/>
        <w:sz w:val="24"/>
      </w:rPr>
    </w:pPr>
    <w:r>
      <w:pict>
        <v:shape id="_x0000_s4101" o:spid="_x0000_s4101" o:spt="202" type="#_x0000_t202" style="position:absolute;left:0pt;margin-left:104.5pt;margin-top:65.5pt;height:15.5pt;width:385.5pt;mso-position-horizontal-relative:page;mso-position-vertical-relative:page;z-index:251659264;v-text-anchor:middle;mso-width-relative:margin;mso-height-relative:margin;" filled="f" stroked="f" coordsize="21600,21600" o:allowincell="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">
          <v:path/>
          <v:fill on="f" focussize="0,0"/>
          <v:stroke on="f" joinstyle="miter"/>
          <v:imagedata o:title=""/>
          <o:lock v:ext="edit"/>
          <v:textbox inset="2.54mm,0mm,2.54mm,0mm">
            <w:txbxContent>
              <w:p>
                <w:pPr>
                  <w:spacing w:after="0" w:line="240" w:lineRule="auto"/>
                  <w:ind w:left="10" w:hangingChars="5"/>
                  <w:rPr>
                    <w:rFonts w:ascii="华文中宋" w:hAnsi="华文中宋" w:eastAsia="华文中宋"/>
                  </w:rPr>
                </w:pPr>
                <w:r>
                  <w:rPr>
                    <w:rFonts w:hint="eastAsia" w:asciiTheme="minorEastAsia" w:hAnsiTheme="minorEastAsia" w:eastAsiaTheme="minorEastAsia"/>
                    <w:sz w:val="21"/>
                  </w:rPr>
                  <w:t>中电建冀交高速公路投资发展有限公司风险分级管控与隐患排查治理实施</w:t>
                </w:r>
                <w:r>
                  <w:rPr>
                    <w:rFonts w:asciiTheme="minorEastAsia" w:hAnsiTheme="minorEastAsia" w:eastAsiaTheme="minorEastAsia"/>
                    <w:sz w:val="21"/>
                  </w:rPr>
                  <w:t>手册</w:t>
                </w:r>
                <w:r>
                  <w:rPr>
                    <w:rFonts w:hint="eastAsia" w:asciiTheme="minorEastAsia" w:hAnsiTheme="minorEastAsia" w:eastAsiaTheme="minorEastAsia"/>
                    <w:sz w:val="22"/>
                  </w:rPr>
                  <w:t xml:space="preserve"> </w:t>
                </w:r>
                <w:r>
                  <w:rPr>
                    <w:rFonts w:hint="eastAsia" w:ascii="华文中宋" w:hAnsi="华文中宋" w:eastAsia="华文中宋"/>
                    <w:sz w:val="22"/>
                  </w:rPr>
                  <w:t xml:space="preserve">                                                      </w:t>
                </w:r>
              </w:p>
            </w:txbxContent>
          </v:textbox>
        </v:shape>
      </w:pict>
    </w:r>
    <w:r>
      <w:rPr>
        <w:rFonts w:hint="eastAsia" w:ascii="华文中宋" w:hAnsi="华文中宋" w:eastAsia="华文中宋"/>
        <w:sz w:val="24"/>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single" w:color="auto" w:sz="6" w:space="0"/>
      </w:pBdr>
      <w:spacing w:after="0"/>
      <w:ind w:left="181" w:hanging="11"/>
      <w:jc w:val="left"/>
      <w:rPr>
        <w:rFonts w:ascii="华文中宋" w:hAnsi="华文中宋" w:eastAsia="华文中宋"/>
        <w:sz w:val="24"/>
      </w:rPr>
    </w:pPr>
    <w:r>
      <w:pict>
        <v:shape id="_x0000_s4100" o:spid="_x0000_s4100" o:spt="202" type="#_x0000_t202" style="position:absolute;left:0pt;margin-left:250.9pt;margin-top:58.6pt;height:18.3pt;width:353pt;mso-position-horizontal-relative:page;mso-position-vertical-relative:page;z-index:251663360;v-text-anchor:middle;mso-width-relative:page;mso-height-relative:page;" filled="f" stroked="f" coordsize="21600,21600" o:allowincell="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">
          <v:path/>
          <v:fill on="f" focussize="0,0"/>
          <v:stroke on="f" joinstyle="miter"/>
          <v:imagedata o:title=""/>
          <o:lock v:ext="edit"/>
          <v:textbox inset="2.54mm,0mm,2.54mm,0mm">
            <w:txbxContent>
              <w:p>
                <w:pPr>
                  <w:spacing w:after="0" w:line="240" w:lineRule="auto"/>
                  <w:ind w:left="10" w:hangingChars="5"/>
                  <w:rPr>
                    <w:rFonts w:ascii="华文中宋" w:hAnsi="华文中宋" w:eastAsia="华文中宋"/>
                  </w:rPr>
                </w:pPr>
                <w:r>
                  <w:rPr>
                    <w:rFonts w:hint="eastAsia" w:asciiTheme="minorEastAsia" w:hAnsiTheme="minorEastAsia" w:eastAsiaTheme="minorEastAsia"/>
                    <w:sz w:val="21"/>
                  </w:rPr>
                  <w:t>中电建冀交高速公路投资发展有限公司风险分级管控与隐患排查治理实施</w:t>
                </w:r>
                <w:r>
                  <w:rPr>
                    <w:rFonts w:asciiTheme="minorEastAsia" w:hAnsiTheme="minorEastAsia" w:eastAsiaTheme="minorEastAsia"/>
                    <w:sz w:val="21"/>
                  </w:rPr>
                  <w:t>手册</w:t>
                </w:r>
                <w:r>
                  <w:rPr>
                    <w:rFonts w:hint="eastAsia" w:asciiTheme="minorEastAsia" w:hAnsiTheme="minorEastAsia" w:eastAsiaTheme="minorEastAsia"/>
                    <w:sz w:val="22"/>
                  </w:rPr>
                  <w:t xml:space="preserve"> </w:t>
                </w:r>
                <w:r>
                  <w:rPr>
                    <w:rFonts w:hint="eastAsia" w:ascii="华文中宋" w:hAnsi="华文中宋" w:eastAsia="华文中宋"/>
                    <w:sz w:val="22"/>
                  </w:rPr>
                  <w:t xml:space="preserve">                                                      </w:t>
                </w:r>
              </w:p>
            </w:txbxContent>
          </v:textbox>
        </v:shape>
      </w:pict>
    </w:r>
    <w:r>
      <w:rPr>
        <w:rFonts w:hint="eastAsia" w:ascii="华文中宋" w:hAnsi="华文中宋" w:eastAsia="华文中宋"/>
        <w:sz w:val="24"/>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single" w:color="auto" w:sz="6" w:space="0"/>
      </w:pBdr>
      <w:spacing w:after="0"/>
      <w:ind w:left="181" w:hanging="11"/>
      <w:jc w:val="left"/>
      <w:rPr>
        <w:rFonts w:ascii="华文中宋" w:hAnsi="华文中宋" w:eastAsia="华文中宋"/>
        <w:sz w:val="24"/>
      </w:rPr>
    </w:pPr>
    <w:r>
      <w:pict>
        <v:shape id="_x0000_s4099" o:spid="_x0000_s4099" o:spt="202" type="#_x0000_t202" style="position:absolute;left:0pt;margin-left:237.5pt;margin-top:17pt;height:16.5pt;width:392.5pt;mso-position-horizontal-relative:page;mso-position-vertical-relative:page;z-index:251660288;v-text-anchor:middle;mso-width-relative:margin;mso-height-relative:margin;" filled="f" stroked="f" coordsize="21600,21600" o:allowincell="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">
          <v:path/>
          <v:fill on="f" focussize="0,0"/>
          <v:stroke on="f" joinstyle="miter"/>
          <v:imagedata o:title=""/>
          <o:lock v:ext="edit"/>
          <v:textbox inset="2.54mm,0mm,2.54mm,0mm">
            <w:txbxContent>
              <w:p>
                <w:pPr>
                  <w:spacing w:after="0" w:line="240" w:lineRule="auto"/>
                  <w:ind w:left="10" w:hangingChars="5"/>
                  <w:rPr>
                    <w:rFonts w:ascii="华文中宋" w:hAnsi="华文中宋" w:eastAsia="华文中宋"/>
                  </w:rPr>
                </w:pPr>
                <w:r>
                  <w:rPr>
                    <w:rFonts w:hint="eastAsia" w:asciiTheme="minorEastAsia" w:hAnsiTheme="minorEastAsia" w:eastAsiaTheme="minorEastAsia"/>
                    <w:sz w:val="21"/>
                  </w:rPr>
                  <w:t>中电建冀交高速公路投资发展有限公司风险分级管控与隐患排查治理实施</w:t>
                </w:r>
                <w:r>
                  <w:rPr>
                    <w:rFonts w:asciiTheme="minorEastAsia" w:hAnsiTheme="minorEastAsia" w:eastAsiaTheme="minorEastAsia"/>
                    <w:sz w:val="21"/>
                  </w:rPr>
                  <w:t>手册</w:t>
                </w:r>
                <w:r>
                  <w:rPr>
                    <w:rFonts w:hint="eastAsia" w:asciiTheme="minorEastAsia" w:hAnsiTheme="minorEastAsia" w:eastAsiaTheme="minorEastAsia"/>
                    <w:sz w:val="22"/>
                  </w:rPr>
                  <w:t xml:space="preserve"> </w:t>
                </w:r>
                <w:r>
                  <w:rPr>
                    <w:rFonts w:hint="eastAsia" w:ascii="华文中宋" w:hAnsi="华文中宋" w:eastAsia="华文中宋"/>
                    <w:sz w:val="22"/>
                  </w:rPr>
                  <w:t xml:space="preserve">                                                      </w:t>
                </w:r>
              </w:p>
            </w:txbxContent>
          </v:textbox>
        </v:shape>
      </w:pict>
    </w:r>
    <w:r>
      <w:rPr>
        <w:rFonts w:hint="eastAsia" w:ascii="华文中宋" w:hAnsi="华文中宋" w:eastAsia="华文中宋"/>
        <w:sz w:val="24"/>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single" w:color="auto" w:sz="6" w:space="0"/>
      </w:pBdr>
      <w:spacing w:after="0"/>
      <w:ind w:left="181" w:hanging="11"/>
      <w:jc w:val="left"/>
      <w:rPr>
        <w:rFonts w:ascii="华文中宋" w:hAnsi="华文中宋" w:eastAsia="华文中宋"/>
        <w:sz w:val="24"/>
      </w:rPr>
    </w:pPr>
    <w:r>
      <w:pict>
        <v:shape id="_x0000_s4098" o:spid="_x0000_s4098" o:spt="202" type="#_x0000_t202" style="position:absolute;left:0pt;margin-left:101pt;margin-top:20.75pt;height:16.5pt;width:392.5pt;mso-position-horizontal-relative:page;mso-position-vertical-relative:page;z-index:251662336;v-text-anchor:middle;mso-width-relative:margin;mso-height-relative:margin;" filled="f" stroked="f" coordsize="21600,21600" o:allowincell="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">
          <v:path/>
          <v:fill on="f" focussize="0,0"/>
          <v:stroke on="f" joinstyle="miter"/>
          <v:imagedata o:title=""/>
          <o:lock v:ext="edit"/>
          <v:textbox inset="2.54mm,0mm,2.54mm,0mm">
            <w:txbxContent>
              <w:p>
                <w:pPr>
                  <w:spacing w:after="0" w:line="240" w:lineRule="auto"/>
                  <w:ind w:left="10" w:hangingChars="5"/>
                  <w:rPr>
                    <w:rFonts w:ascii="华文中宋" w:hAnsi="华文中宋" w:eastAsia="华文中宋"/>
                  </w:rPr>
                </w:pPr>
                <w:r>
                  <w:rPr>
                    <w:rFonts w:hint="eastAsia" w:asciiTheme="minorEastAsia" w:hAnsiTheme="minorEastAsia" w:eastAsiaTheme="minorEastAsia"/>
                    <w:sz w:val="21"/>
                  </w:rPr>
                  <w:t>中电建冀交高速公路投资发展有限公司风险分级管控与隐患排查治理实施</w:t>
                </w:r>
                <w:r>
                  <w:rPr>
                    <w:rFonts w:asciiTheme="minorEastAsia" w:hAnsiTheme="minorEastAsia" w:eastAsiaTheme="minorEastAsia"/>
                    <w:sz w:val="21"/>
                  </w:rPr>
                  <w:t>手册</w:t>
                </w:r>
                <w:r>
                  <w:rPr>
                    <w:rFonts w:hint="eastAsia" w:asciiTheme="minorEastAsia" w:hAnsiTheme="minorEastAsia" w:eastAsiaTheme="minorEastAsia"/>
                    <w:sz w:val="22"/>
                  </w:rPr>
                  <w:t xml:space="preserve"> </w:t>
                </w:r>
                <w:r>
                  <w:rPr>
                    <w:rFonts w:hint="eastAsia" w:ascii="华文中宋" w:hAnsi="华文中宋" w:eastAsia="华文中宋"/>
                    <w:sz w:val="22"/>
                  </w:rPr>
                  <w:t xml:space="preserve">                                                      </w:t>
                </w:r>
              </w:p>
            </w:txbxContent>
          </v:textbox>
        </v:shape>
      </w:pict>
    </w:r>
    <w:r>
      <w:rPr>
        <w:rFonts w:hint="eastAsia" w:ascii="华文中宋" w:hAnsi="华文中宋" w:eastAsia="华文中宋"/>
        <w:sz w:val="24"/>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single" w:color="auto" w:sz="6" w:space="0"/>
      </w:pBdr>
      <w:spacing w:after="0"/>
      <w:ind w:left="181" w:hanging="11"/>
      <w:jc w:val="left"/>
      <w:rPr>
        <w:rFonts w:ascii="华文中宋" w:hAnsi="华文中宋" w:eastAsia="华文中宋"/>
        <w:sz w:val="24"/>
      </w:rPr>
    </w:pPr>
    <w:r>
      <w:pict>
        <v:shape id="_x0000_s4097" o:spid="_x0000_s4097" o:spt="202" type="#_x0000_t202" style="position:absolute;left:0pt;margin-left:102.65pt;margin-top:43.5pt;height:17.6pt;width:384.35pt;mso-position-horizontal-relative:page;mso-position-vertical-relative:page;z-index:251664384;v-text-anchor:middle;mso-width-relative:margin;mso-height-relative:margin;" filled="f" stroked="f" coordsize="21600,21600" o:allowincell="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">
          <v:path/>
          <v:fill on="f" focussize="0,0"/>
          <v:stroke on="f" joinstyle="miter"/>
          <v:imagedata o:title=""/>
          <o:lock v:ext="edit"/>
          <v:textbox inset="2.54mm,0mm,2.54mm,0mm">
            <w:txbxContent>
              <w:p>
                <w:pPr>
                  <w:spacing w:after="0" w:line="240" w:lineRule="auto"/>
                  <w:ind w:left="10" w:hangingChars="5"/>
                  <w:rPr>
                    <w:rFonts w:ascii="华文中宋" w:hAnsi="华文中宋" w:eastAsia="华文中宋"/>
                  </w:rPr>
                </w:pPr>
                <w:r>
                  <w:rPr>
                    <w:rFonts w:hint="eastAsia" w:asciiTheme="minorEastAsia" w:hAnsiTheme="minorEastAsia" w:eastAsiaTheme="minorEastAsia"/>
                    <w:sz w:val="21"/>
                  </w:rPr>
                  <w:t>中电建冀交高速公路投资发展有限公司风险分级管控与隐患排查治理实施</w:t>
                </w:r>
                <w:r>
                  <w:rPr>
                    <w:rFonts w:asciiTheme="minorEastAsia" w:hAnsiTheme="minorEastAsia" w:eastAsiaTheme="minorEastAsia"/>
                    <w:sz w:val="21"/>
                  </w:rPr>
                  <w:t>手册</w:t>
                </w:r>
                <w:r>
                  <w:rPr>
                    <w:rFonts w:hint="eastAsia" w:asciiTheme="minorEastAsia" w:hAnsiTheme="minorEastAsia" w:eastAsiaTheme="minorEastAsia"/>
                    <w:sz w:val="22"/>
                  </w:rPr>
                  <w:t xml:space="preserve"> </w:t>
                </w:r>
                <w:r>
                  <w:rPr>
                    <w:rFonts w:hint="eastAsia" w:ascii="华文中宋" w:hAnsi="华文中宋" w:eastAsia="华文中宋"/>
                    <w:sz w:val="22"/>
                  </w:rPr>
                  <w:t xml:space="preserve">                                                      </w:t>
                </w:r>
              </w:p>
            </w:txbxContent>
          </v:textbox>
        </v:shape>
      </w:pict>
    </w:r>
    <w:r>
      <w:rPr>
        <w:rFonts w:hint="eastAsia" w:ascii="华文中宋" w:hAnsi="华文中宋" w:eastAsia="华文中宋"/>
        <w:sz w:val="2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CEB5852"/>
    <w:multiLevelType w:val="multilevel"/>
    <w:tmpl w:val="0CEB5852"/>
    <w:lvl w:ilvl="0" w:tentative="0">
      <w:start w:val="1"/>
      <w:numFmt w:val="decimal"/>
      <w:lvlText w:val="%1."/>
      <w:lvlJc w:val="left"/>
      <w:pPr>
        <w:ind w:left="478" w:hanging="360"/>
      </w:pPr>
      <w:rPr>
        <w:rFonts w:hint="default"/>
      </w:rPr>
    </w:lvl>
    <w:lvl w:ilvl="1" w:tentative="0">
      <w:start w:val="1"/>
      <w:numFmt w:val="lowerLetter"/>
      <w:lvlText w:val="%2)"/>
      <w:lvlJc w:val="left"/>
      <w:pPr>
        <w:ind w:left="958" w:hanging="420"/>
      </w:pPr>
    </w:lvl>
    <w:lvl w:ilvl="2" w:tentative="0">
      <w:start w:val="1"/>
      <w:numFmt w:val="lowerRoman"/>
      <w:lvlText w:val="%3."/>
      <w:lvlJc w:val="right"/>
      <w:pPr>
        <w:ind w:left="1378" w:hanging="420"/>
      </w:pPr>
    </w:lvl>
    <w:lvl w:ilvl="3" w:tentative="0">
      <w:start w:val="1"/>
      <w:numFmt w:val="decimal"/>
      <w:lvlText w:val="%4."/>
      <w:lvlJc w:val="left"/>
      <w:pPr>
        <w:ind w:left="1798" w:hanging="420"/>
      </w:pPr>
    </w:lvl>
    <w:lvl w:ilvl="4" w:tentative="0">
      <w:start w:val="1"/>
      <w:numFmt w:val="lowerLetter"/>
      <w:lvlText w:val="%5)"/>
      <w:lvlJc w:val="left"/>
      <w:pPr>
        <w:ind w:left="2218" w:hanging="420"/>
      </w:pPr>
    </w:lvl>
    <w:lvl w:ilvl="5" w:tentative="0">
      <w:start w:val="1"/>
      <w:numFmt w:val="lowerRoman"/>
      <w:lvlText w:val="%6."/>
      <w:lvlJc w:val="right"/>
      <w:pPr>
        <w:ind w:left="2638" w:hanging="420"/>
      </w:pPr>
    </w:lvl>
    <w:lvl w:ilvl="6" w:tentative="0">
      <w:start w:val="1"/>
      <w:numFmt w:val="decimal"/>
      <w:lvlText w:val="%7."/>
      <w:lvlJc w:val="left"/>
      <w:pPr>
        <w:ind w:left="3058" w:hanging="420"/>
      </w:pPr>
    </w:lvl>
    <w:lvl w:ilvl="7" w:tentative="0">
      <w:start w:val="1"/>
      <w:numFmt w:val="lowerLetter"/>
      <w:lvlText w:val="%8)"/>
      <w:lvlJc w:val="left"/>
      <w:pPr>
        <w:ind w:left="3478" w:hanging="420"/>
      </w:pPr>
    </w:lvl>
    <w:lvl w:ilvl="8" w:tentative="0">
      <w:start w:val="1"/>
      <w:numFmt w:val="lowerRoman"/>
      <w:lvlText w:val="%9."/>
      <w:lvlJc w:val="right"/>
      <w:pPr>
        <w:ind w:left="3898" w:hanging="420"/>
      </w:pPr>
    </w:lvl>
  </w:abstractNum>
  <w:abstractNum w:abstractNumId="1">
    <w:nsid w:val="1BD91A20"/>
    <w:multiLevelType w:val="multilevel"/>
    <w:tmpl w:val="1BD91A20"/>
    <w:lvl w:ilvl="0" w:tentative="0">
      <w:start w:val="1"/>
      <w:numFmt w:val="decimal"/>
      <w:lvlText w:val="%1."/>
      <w:lvlJc w:val="left"/>
      <w:pPr>
        <w:ind w:left="478" w:hanging="360"/>
      </w:pPr>
      <w:rPr>
        <w:rFonts w:hint="default"/>
      </w:rPr>
    </w:lvl>
    <w:lvl w:ilvl="1" w:tentative="0">
      <w:start w:val="1"/>
      <w:numFmt w:val="lowerLetter"/>
      <w:lvlText w:val="%2)"/>
      <w:lvlJc w:val="left"/>
      <w:pPr>
        <w:ind w:left="958" w:hanging="420"/>
      </w:pPr>
    </w:lvl>
    <w:lvl w:ilvl="2" w:tentative="0">
      <w:start w:val="1"/>
      <w:numFmt w:val="lowerRoman"/>
      <w:lvlText w:val="%3."/>
      <w:lvlJc w:val="right"/>
      <w:pPr>
        <w:ind w:left="1378" w:hanging="420"/>
      </w:pPr>
    </w:lvl>
    <w:lvl w:ilvl="3" w:tentative="0">
      <w:start w:val="1"/>
      <w:numFmt w:val="decimal"/>
      <w:lvlText w:val="%4."/>
      <w:lvlJc w:val="left"/>
      <w:pPr>
        <w:ind w:left="1798" w:hanging="420"/>
      </w:pPr>
    </w:lvl>
    <w:lvl w:ilvl="4" w:tentative="0">
      <w:start w:val="1"/>
      <w:numFmt w:val="lowerLetter"/>
      <w:lvlText w:val="%5)"/>
      <w:lvlJc w:val="left"/>
      <w:pPr>
        <w:ind w:left="2218" w:hanging="420"/>
      </w:pPr>
    </w:lvl>
    <w:lvl w:ilvl="5" w:tentative="0">
      <w:start w:val="1"/>
      <w:numFmt w:val="lowerRoman"/>
      <w:lvlText w:val="%6."/>
      <w:lvlJc w:val="right"/>
      <w:pPr>
        <w:ind w:left="2638" w:hanging="420"/>
      </w:pPr>
    </w:lvl>
    <w:lvl w:ilvl="6" w:tentative="0">
      <w:start w:val="1"/>
      <w:numFmt w:val="decimal"/>
      <w:lvlText w:val="%7."/>
      <w:lvlJc w:val="left"/>
      <w:pPr>
        <w:ind w:left="3058" w:hanging="420"/>
      </w:pPr>
    </w:lvl>
    <w:lvl w:ilvl="7" w:tentative="0">
      <w:start w:val="1"/>
      <w:numFmt w:val="lowerLetter"/>
      <w:lvlText w:val="%8)"/>
      <w:lvlJc w:val="left"/>
      <w:pPr>
        <w:ind w:left="3478" w:hanging="420"/>
      </w:pPr>
    </w:lvl>
    <w:lvl w:ilvl="8" w:tentative="0">
      <w:start w:val="1"/>
      <w:numFmt w:val="lowerRoman"/>
      <w:lvlText w:val="%9."/>
      <w:lvlJc w:val="right"/>
      <w:pPr>
        <w:ind w:left="3898" w:hanging="420"/>
      </w:pPr>
    </w:lvl>
  </w:abstractNum>
  <w:abstractNum w:abstractNumId="2">
    <w:nsid w:val="1F4C4C60"/>
    <w:multiLevelType w:val="multilevel"/>
    <w:tmpl w:val="1F4C4C60"/>
    <w:lvl w:ilvl="0" w:tentative="0">
      <w:start w:val="1"/>
      <w:numFmt w:val="decimal"/>
      <w:lvlText w:val="%1."/>
      <w:lvlJc w:val="left"/>
      <w:pPr>
        <w:ind w:left="478" w:hanging="360"/>
      </w:pPr>
      <w:rPr>
        <w:rFonts w:hint="default"/>
      </w:rPr>
    </w:lvl>
    <w:lvl w:ilvl="1" w:tentative="0">
      <w:start w:val="1"/>
      <w:numFmt w:val="lowerLetter"/>
      <w:lvlText w:val="%2)"/>
      <w:lvlJc w:val="left"/>
      <w:pPr>
        <w:ind w:left="958" w:hanging="420"/>
      </w:pPr>
    </w:lvl>
    <w:lvl w:ilvl="2" w:tentative="0">
      <w:start w:val="1"/>
      <w:numFmt w:val="lowerRoman"/>
      <w:lvlText w:val="%3."/>
      <w:lvlJc w:val="right"/>
      <w:pPr>
        <w:ind w:left="1378" w:hanging="420"/>
      </w:pPr>
    </w:lvl>
    <w:lvl w:ilvl="3" w:tentative="0">
      <w:start w:val="1"/>
      <w:numFmt w:val="decimal"/>
      <w:lvlText w:val="%4."/>
      <w:lvlJc w:val="left"/>
      <w:pPr>
        <w:ind w:left="1798" w:hanging="420"/>
      </w:pPr>
    </w:lvl>
    <w:lvl w:ilvl="4" w:tentative="0">
      <w:start w:val="1"/>
      <w:numFmt w:val="lowerLetter"/>
      <w:lvlText w:val="%5)"/>
      <w:lvlJc w:val="left"/>
      <w:pPr>
        <w:ind w:left="2218" w:hanging="420"/>
      </w:pPr>
    </w:lvl>
    <w:lvl w:ilvl="5" w:tentative="0">
      <w:start w:val="1"/>
      <w:numFmt w:val="lowerRoman"/>
      <w:lvlText w:val="%6."/>
      <w:lvlJc w:val="right"/>
      <w:pPr>
        <w:ind w:left="2638" w:hanging="420"/>
      </w:pPr>
    </w:lvl>
    <w:lvl w:ilvl="6" w:tentative="0">
      <w:start w:val="1"/>
      <w:numFmt w:val="decimal"/>
      <w:lvlText w:val="%7."/>
      <w:lvlJc w:val="left"/>
      <w:pPr>
        <w:ind w:left="3058" w:hanging="420"/>
      </w:pPr>
    </w:lvl>
    <w:lvl w:ilvl="7" w:tentative="0">
      <w:start w:val="1"/>
      <w:numFmt w:val="lowerLetter"/>
      <w:lvlText w:val="%8)"/>
      <w:lvlJc w:val="left"/>
      <w:pPr>
        <w:ind w:left="3478" w:hanging="420"/>
      </w:pPr>
    </w:lvl>
    <w:lvl w:ilvl="8" w:tentative="0">
      <w:start w:val="1"/>
      <w:numFmt w:val="lowerRoman"/>
      <w:lvlText w:val="%9."/>
      <w:lvlJc w:val="right"/>
      <w:pPr>
        <w:ind w:left="3898" w:hanging="420"/>
      </w:pPr>
    </w:lvl>
  </w:abstractNum>
  <w:abstractNum w:abstractNumId="3">
    <w:nsid w:val="302A7981"/>
    <w:multiLevelType w:val="multilevel"/>
    <w:tmpl w:val="302A7981"/>
    <w:lvl w:ilvl="0" w:tentative="0">
      <w:start w:val="1"/>
      <w:numFmt w:val="decimal"/>
      <w:lvlText w:val="%1."/>
      <w:lvlJc w:val="left"/>
      <w:pPr>
        <w:ind w:left="478" w:hanging="360"/>
      </w:pPr>
      <w:rPr>
        <w:rFonts w:hint="default"/>
      </w:rPr>
    </w:lvl>
    <w:lvl w:ilvl="1" w:tentative="0">
      <w:start w:val="1"/>
      <w:numFmt w:val="lowerLetter"/>
      <w:lvlText w:val="%2)"/>
      <w:lvlJc w:val="left"/>
      <w:pPr>
        <w:ind w:left="958" w:hanging="420"/>
      </w:pPr>
    </w:lvl>
    <w:lvl w:ilvl="2" w:tentative="0">
      <w:start w:val="1"/>
      <w:numFmt w:val="lowerRoman"/>
      <w:lvlText w:val="%3."/>
      <w:lvlJc w:val="right"/>
      <w:pPr>
        <w:ind w:left="1378" w:hanging="420"/>
      </w:pPr>
    </w:lvl>
    <w:lvl w:ilvl="3" w:tentative="0">
      <w:start w:val="1"/>
      <w:numFmt w:val="decimal"/>
      <w:lvlText w:val="%4."/>
      <w:lvlJc w:val="left"/>
      <w:pPr>
        <w:ind w:left="1798" w:hanging="420"/>
      </w:pPr>
    </w:lvl>
    <w:lvl w:ilvl="4" w:tentative="0">
      <w:start w:val="1"/>
      <w:numFmt w:val="lowerLetter"/>
      <w:lvlText w:val="%5)"/>
      <w:lvlJc w:val="left"/>
      <w:pPr>
        <w:ind w:left="2218" w:hanging="420"/>
      </w:pPr>
    </w:lvl>
    <w:lvl w:ilvl="5" w:tentative="0">
      <w:start w:val="1"/>
      <w:numFmt w:val="lowerRoman"/>
      <w:lvlText w:val="%6."/>
      <w:lvlJc w:val="right"/>
      <w:pPr>
        <w:ind w:left="2638" w:hanging="420"/>
      </w:pPr>
    </w:lvl>
    <w:lvl w:ilvl="6" w:tentative="0">
      <w:start w:val="1"/>
      <w:numFmt w:val="decimal"/>
      <w:lvlText w:val="%7."/>
      <w:lvlJc w:val="left"/>
      <w:pPr>
        <w:ind w:left="3058" w:hanging="420"/>
      </w:pPr>
    </w:lvl>
    <w:lvl w:ilvl="7" w:tentative="0">
      <w:start w:val="1"/>
      <w:numFmt w:val="lowerLetter"/>
      <w:lvlText w:val="%8)"/>
      <w:lvlJc w:val="left"/>
      <w:pPr>
        <w:ind w:left="3478" w:hanging="420"/>
      </w:pPr>
    </w:lvl>
    <w:lvl w:ilvl="8" w:tentative="0">
      <w:start w:val="1"/>
      <w:numFmt w:val="lowerRoman"/>
      <w:lvlText w:val="%9."/>
      <w:lvlJc w:val="right"/>
      <w:pPr>
        <w:ind w:left="3898" w:hanging="420"/>
      </w:pPr>
    </w:lvl>
  </w:abstractNum>
  <w:abstractNum w:abstractNumId="4">
    <w:nsid w:val="35E838D4"/>
    <w:multiLevelType w:val="multilevel"/>
    <w:tmpl w:val="35E838D4"/>
    <w:lvl w:ilvl="0" w:tentative="0">
      <w:start w:val="1"/>
      <w:numFmt w:val="decimal"/>
      <w:lvlText w:val="%1."/>
      <w:lvlJc w:val="left"/>
      <w:pPr>
        <w:ind w:left="478" w:hanging="360"/>
      </w:pPr>
      <w:rPr>
        <w:rFonts w:hint="default"/>
      </w:rPr>
    </w:lvl>
    <w:lvl w:ilvl="1" w:tentative="0">
      <w:start w:val="1"/>
      <w:numFmt w:val="lowerLetter"/>
      <w:lvlText w:val="%2)"/>
      <w:lvlJc w:val="left"/>
      <w:pPr>
        <w:ind w:left="958" w:hanging="420"/>
      </w:pPr>
    </w:lvl>
    <w:lvl w:ilvl="2" w:tentative="0">
      <w:start w:val="1"/>
      <w:numFmt w:val="lowerRoman"/>
      <w:lvlText w:val="%3."/>
      <w:lvlJc w:val="right"/>
      <w:pPr>
        <w:ind w:left="1378" w:hanging="420"/>
      </w:pPr>
    </w:lvl>
    <w:lvl w:ilvl="3" w:tentative="0">
      <w:start w:val="1"/>
      <w:numFmt w:val="decimal"/>
      <w:lvlText w:val="%4."/>
      <w:lvlJc w:val="left"/>
      <w:pPr>
        <w:ind w:left="1798" w:hanging="420"/>
      </w:pPr>
    </w:lvl>
    <w:lvl w:ilvl="4" w:tentative="0">
      <w:start w:val="1"/>
      <w:numFmt w:val="lowerLetter"/>
      <w:lvlText w:val="%5)"/>
      <w:lvlJc w:val="left"/>
      <w:pPr>
        <w:ind w:left="2218" w:hanging="420"/>
      </w:pPr>
    </w:lvl>
    <w:lvl w:ilvl="5" w:tentative="0">
      <w:start w:val="1"/>
      <w:numFmt w:val="lowerRoman"/>
      <w:lvlText w:val="%6."/>
      <w:lvlJc w:val="right"/>
      <w:pPr>
        <w:ind w:left="2638" w:hanging="420"/>
      </w:pPr>
    </w:lvl>
    <w:lvl w:ilvl="6" w:tentative="0">
      <w:start w:val="1"/>
      <w:numFmt w:val="decimal"/>
      <w:lvlText w:val="%7."/>
      <w:lvlJc w:val="left"/>
      <w:pPr>
        <w:ind w:left="3058" w:hanging="420"/>
      </w:pPr>
    </w:lvl>
    <w:lvl w:ilvl="7" w:tentative="0">
      <w:start w:val="1"/>
      <w:numFmt w:val="lowerLetter"/>
      <w:lvlText w:val="%8)"/>
      <w:lvlJc w:val="left"/>
      <w:pPr>
        <w:ind w:left="3478" w:hanging="420"/>
      </w:pPr>
    </w:lvl>
    <w:lvl w:ilvl="8" w:tentative="0">
      <w:start w:val="1"/>
      <w:numFmt w:val="lowerRoman"/>
      <w:lvlText w:val="%9."/>
      <w:lvlJc w:val="right"/>
      <w:pPr>
        <w:ind w:left="3898" w:hanging="420"/>
      </w:pPr>
    </w:lvl>
  </w:abstractNum>
  <w:abstractNum w:abstractNumId="5">
    <w:nsid w:val="368845A7"/>
    <w:multiLevelType w:val="multilevel"/>
    <w:tmpl w:val="368845A7"/>
    <w:lvl w:ilvl="0" w:tentative="0">
      <w:start w:val="1"/>
      <w:numFmt w:val="decimal"/>
      <w:lvlText w:val="%1."/>
      <w:lvlJc w:val="left"/>
      <w:pPr>
        <w:ind w:left="478" w:hanging="360"/>
      </w:pPr>
      <w:rPr>
        <w:rFonts w:hint="default"/>
      </w:rPr>
    </w:lvl>
    <w:lvl w:ilvl="1" w:tentative="0">
      <w:start w:val="1"/>
      <w:numFmt w:val="lowerLetter"/>
      <w:lvlText w:val="%2)"/>
      <w:lvlJc w:val="left"/>
      <w:pPr>
        <w:ind w:left="958" w:hanging="420"/>
      </w:pPr>
    </w:lvl>
    <w:lvl w:ilvl="2" w:tentative="0">
      <w:start w:val="1"/>
      <w:numFmt w:val="lowerRoman"/>
      <w:lvlText w:val="%3."/>
      <w:lvlJc w:val="right"/>
      <w:pPr>
        <w:ind w:left="1378" w:hanging="420"/>
      </w:pPr>
    </w:lvl>
    <w:lvl w:ilvl="3" w:tentative="0">
      <w:start w:val="1"/>
      <w:numFmt w:val="decimal"/>
      <w:lvlText w:val="%4."/>
      <w:lvlJc w:val="left"/>
      <w:pPr>
        <w:ind w:left="1798" w:hanging="420"/>
      </w:pPr>
    </w:lvl>
    <w:lvl w:ilvl="4" w:tentative="0">
      <w:start w:val="1"/>
      <w:numFmt w:val="lowerLetter"/>
      <w:lvlText w:val="%5)"/>
      <w:lvlJc w:val="left"/>
      <w:pPr>
        <w:ind w:left="2218" w:hanging="420"/>
      </w:pPr>
    </w:lvl>
    <w:lvl w:ilvl="5" w:tentative="0">
      <w:start w:val="1"/>
      <w:numFmt w:val="lowerRoman"/>
      <w:lvlText w:val="%6."/>
      <w:lvlJc w:val="right"/>
      <w:pPr>
        <w:ind w:left="2638" w:hanging="420"/>
      </w:pPr>
    </w:lvl>
    <w:lvl w:ilvl="6" w:tentative="0">
      <w:start w:val="1"/>
      <w:numFmt w:val="decimal"/>
      <w:lvlText w:val="%7."/>
      <w:lvlJc w:val="left"/>
      <w:pPr>
        <w:ind w:left="3058" w:hanging="420"/>
      </w:pPr>
    </w:lvl>
    <w:lvl w:ilvl="7" w:tentative="0">
      <w:start w:val="1"/>
      <w:numFmt w:val="lowerLetter"/>
      <w:lvlText w:val="%8)"/>
      <w:lvlJc w:val="left"/>
      <w:pPr>
        <w:ind w:left="3478" w:hanging="420"/>
      </w:pPr>
    </w:lvl>
    <w:lvl w:ilvl="8" w:tentative="0">
      <w:start w:val="1"/>
      <w:numFmt w:val="lowerRoman"/>
      <w:lvlText w:val="%9."/>
      <w:lvlJc w:val="right"/>
      <w:pPr>
        <w:ind w:left="3898" w:hanging="420"/>
      </w:pPr>
    </w:lvl>
  </w:abstractNum>
  <w:abstractNum w:abstractNumId="6">
    <w:nsid w:val="3EA912DE"/>
    <w:multiLevelType w:val="multilevel"/>
    <w:tmpl w:val="3EA912DE"/>
    <w:lvl w:ilvl="0" w:tentative="0">
      <w:start w:val="1"/>
      <w:numFmt w:val="decimal"/>
      <w:lvlText w:val="%1."/>
      <w:lvlJc w:val="left"/>
      <w:pPr>
        <w:ind w:left="478" w:hanging="360"/>
      </w:pPr>
      <w:rPr>
        <w:rFonts w:hint="default"/>
      </w:rPr>
    </w:lvl>
    <w:lvl w:ilvl="1" w:tentative="0">
      <w:start w:val="1"/>
      <w:numFmt w:val="lowerLetter"/>
      <w:lvlText w:val="%2)"/>
      <w:lvlJc w:val="left"/>
      <w:pPr>
        <w:ind w:left="958" w:hanging="420"/>
      </w:pPr>
    </w:lvl>
    <w:lvl w:ilvl="2" w:tentative="0">
      <w:start w:val="1"/>
      <w:numFmt w:val="lowerRoman"/>
      <w:lvlText w:val="%3."/>
      <w:lvlJc w:val="right"/>
      <w:pPr>
        <w:ind w:left="1378" w:hanging="420"/>
      </w:pPr>
    </w:lvl>
    <w:lvl w:ilvl="3" w:tentative="0">
      <w:start w:val="1"/>
      <w:numFmt w:val="decimal"/>
      <w:lvlText w:val="%4."/>
      <w:lvlJc w:val="left"/>
      <w:pPr>
        <w:ind w:left="1798" w:hanging="420"/>
      </w:pPr>
    </w:lvl>
    <w:lvl w:ilvl="4" w:tentative="0">
      <w:start w:val="1"/>
      <w:numFmt w:val="lowerLetter"/>
      <w:lvlText w:val="%5)"/>
      <w:lvlJc w:val="left"/>
      <w:pPr>
        <w:ind w:left="2218" w:hanging="420"/>
      </w:pPr>
    </w:lvl>
    <w:lvl w:ilvl="5" w:tentative="0">
      <w:start w:val="1"/>
      <w:numFmt w:val="lowerRoman"/>
      <w:lvlText w:val="%6."/>
      <w:lvlJc w:val="right"/>
      <w:pPr>
        <w:ind w:left="2638" w:hanging="420"/>
      </w:pPr>
    </w:lvl>
    <w:lvl w:ilvl="6" w:tentative="0">
      <w:start w:val="1"/>
      <w:numFmt w:val="decimal"/>
      <w:lvlText w:val="%7."/>
      <w:lvlJc w:val="left"/>
      <w:pPr>
        <w:ind w:left="3058" w:hanging="420"/>
      </w:pPr>
    </w:lvl>
    <w:lvl w:ilvl="7" w:tentative="0">
      <w:start w:val="1"/>
      <w:numFmt w:val="lowerLetter"/>
      <w:lvlText w:val="%8)"/>
      <w:lvlJc w:val="left"/>
      <w:pPr>
        <w:ind w:left="3478" w:hanging="420"/>
      </w:pPr>
    </w:lvl>
    <w:lvl w:ilvl="8" w:tentative="0">
      <w:start w:val="1"/>
      <w:numFmt w:val="lowerRoman"/>
      <w:lvlText w:val="%9."/>
      <w:lvlJc w:val="right"/>
      <w:pPr>
        <w:ind w:left="3898" w:hanging="420"/>
      </w:pPr>
    </w:lvl>
  </w:abstractNum>
  <w:abstractNum w:abstractNumId="7">
    <w:nsid w:val="3F277A9A"/>
    <w:multiLevelType w:val="multilevel"/>
    <w:tmpl w:val="3F277A9A"/>
    <w:lvl w:ilvl="0" w:tentative="0">
      <w:start w:val="1"/>
      <w:numFmt w:val="decimal"/>
      <w:lvlText w:val="%1."/>
      <w:lvlJc w:val="left"/>
      <w:pPr>
        <w:ind w:left="478" w:hanging="360"/>
      </w:pPr>
      <w:rPr>
        <w:rFonts w:hint="default"/>
      </w:rPr>
    </w:lvl>
    <w:lvl w:ilvl="1" w:tentative="0">
      <w:start w:val="1"/>
      <w:numFmt w:val="lowerLetter"/>
      <w:lvlText w:val="%2)"/>
      <w:lvlJc w:val="left"/>
      <w:pPr>
        <w:ind w:left="958" w:hanging="420"/>
      </w:pPr>
    </w:lvl>
    <w:lvl w:ilvl="2" w:tentative="0">
      <w:start w:val="1"/>
      <w:numFmt w:val="lowerRoman"/>
      <w:lvlText w:val="%3."/>
      <w:lvlJc w:val="right"/>
      <w:pPr>
        <w:ind w:left="1378" w:hanging="420"/>
      </w:pPr>
    </w:lvl>
    <w:lvl w:ilvl="3" w:tentative="0">
      <w:start w:val="1"/>
      <w:numFmt w:val="decimal"/>
      <w:lvlText w:val="%4."/>
      <w:lvlJc w:val="left"/>
      <w:pPr>
        <w:ind w:left="1798" w:hanging="420"/>
      </w:pPr>
    </w:lvl>
    <w:lvl w:ilvl="4" w:tentative="0">
      <w:start w:val="1"/>
      <w:numFmt w:val="lowerLetter"/>
      <w:lvlText w:val="%5)"/>
      <w:lvlJc w:val="left"/>
      <w:pPr>
        <w:ind w:left="2218" w:hanging="420"/>
      </w:pPr>
    </w:lvl>
    <w:lvl w:ilvl="5" w:tentative="0">
      <w:start w:val="1"/>
      <w:numFmt w:val="lowerRoman"/>
      <w:lvlText w:val="%6."/>
      <w:lvlJc w:val="right"/>
      <w:pPr>
        <w:ind w:left="2638" w:hanging="420"/>
      </w:pPr>
    </w:lvl>
    <w:lvl w:ilvl="6" w:tentative="0">
      <w:start w:val="1"/>
      <w:numFmt w:val="decimal"/>
      <w:lvlText w:val="%7."/>
      <w:lvlJc w:val="left"/>
      <w:pPr>
        <w:ind w:left="3058" w:hanging="420"/>
      </w:pPr>
    </w:lvl>
    <w:lvl w:ilvl="7" w:tentative="0">
      <w:start w:val="1"/>
      <w:numFmt w:val="lowerLetter"/>
      <w:lvlText w:val="%8)"/>
      <w:lvlJc w:val="left"/>
      <w:pPr>
        <w:ind w:left="3478" w:hanging="420"/>
      </w:pPr>
    </w:lvl>
    <w:lvl w:ilvl="8" w:tentative="0">
      <w:start w:val="1"/>
      <w:numFmt w:val="lowerRoman"/>
      <w:lvlText w:val="%9."/>
      <w:lvlJc w:val="right"/>
      <w:pPr>
        <w:ind w:left="3898" w:hanging="420"/>
      </w:pPr>
    </w:lvl>
  </w:abstractNum>
  <w:abstractNum w:abstractNumId="8">
    <w:nsid w:val="45C26F4E"/>
    <w:multiLevelType w:val="multilevel"/>
    <w:tmpl w:val="45C26F4E"/>
    <w:lvl w:ilvl="0" w:tentative="0">
      <w:start w:val="1"/>
      <w:numFmt w:val="decimal"/>
      <w:lvlText w:val="%1."/>
      <w:lvlJc w:val="left"/>
      <w:pPr>
        <w:ind w:left="478" w:hanging="360"/>
      </w:pPr>
      <w:rPr>
        <w:rFonts w:hint="default"/>
      </w:rPr>
    </w:lvl>
    <w:lvl w:ilvl="1" w:tentative="0">
      <w:start w:val="1"/>
      <w:numFmt w:val="lowerLetter"/>
      <w:lvlText w:val="%2)"/>
      <w:lvlJc w:val="left"/>
      <w:pPr>
        <w:ind w:left="958" w:hanging="420"/>
      </w:pPr>
    </w:lvl>
    <w:lvl w:ilvl="2" w:tentative="0">
      <w:start w:val="1"/>
      <w:numFmt w:val="lowerRoman"/>
      <w:lvlText w:val="%3."/>
      <w:lvlJc w:val="right"/>
      <w:pPr>
        <w:ind w:left="1378" w:hanging="420"/>
      </w:pPr>
    </w:lvl>
    <w:lvl w:ilvl="3" w:tentative="0">
      <w:start w:val="1"/>
      <w:numFmt w:val="decimal"/>
      <w:lvlText w:val="%4."/>
      <w:lvlJc w:val="left"/>
      <w:pPr>
        <w:ind w:left="1798" w:hanging="420"/>
      </w:pPr>
    </w:lvl>
    <w:lvl w:ilvl="4" w:tentative="0">
      <w:start w:val="1"/>
      <w:numFmt w:val="lowerLetter"/>
      <w:lvlText w:val="%5)"/>
      <w:lvlJc w:val="left"/>
      <w:pPr>
        <w:ind w:left="2218" w:hanging="420"/>
      </w:pPr>
    </w:lvl>
    <w:lvl w:ilvl="5" w:tentative="0">
      <w:start w:val="1"/>
      <w:numFmt w:val="lowerRoman"/>
      <w:lvlText w:val="%6."/>
      <w:lvlJc w:val="right"/>
      <w:pPr>
        <w:ind w:left="2638" w:hanging="420"/>
      </w:pPr>
    </w:lvl>
    <w:lvl w:ilvl="6" w:tentative="0">
      <w:start w:val="1"/>
      <w:numFmt w:val="decimal"/>
      <w:lvlText w:val="%7."/>
      <w:lvlJc w:val="left"/>
      <w:pPr>
        <w:ind w:left="3058" w:hanging="420"/>
      </w:pPr>
    </w:lvl>
    <w:lvl w:ilvl="7" w:tentative="0">
      <w:start w:val="1"/>
      <w:numFmt w:val="lowerLetter"/>
      <w:lvlText w:val="%8)"/>
      <w:lvlJc w:val="left"/>
      <w:pPr>
        <w:ind w:left="3478" w:hanging="420"/>
      </w:pPr>
    </w:lvl>
    <w:lvl w:ilvl="8" w:tentative="0">
      <w:start w:val="1"/>
      <w:numFmt w:val="lowerRoman"/>
      <w:lvlText w:val="%9."/>
      <w:lvlJc w:val="right"/>
      <w:pPr>
        <w:ind w:left="3898" w:hanging="420"/>
      </w:pPr>
    </w:lvl>
  </w:abstractNum>
  <w:abstractNum w:abstractNumId="9">
    <w:nsid w:val="500B0A6E"/>
    <w:multiLevelType w:val="multilevel"/>
    <w:tmpl w:val="500B0A6E"/>
    <w:lvl w:ilvl="0" w:tentative="0">
      <w:start w:val="1"/>
      <w:numFmt w:val="decimal"/>
      <w:lvlText w:val="%1."/>
      <w:lvlJc w:val="left"/>
      <w:pPr>
        <w:ind w:left="478" w:hanging="360"/>
      </w:pPr>
      <w:rPr>
        <w:rFonts w:hint="default"/>
      </w:rPr>
    </w:lvl>
    <w:lvl w:ilvl="1" w:tentative="0">
      <w:start w:val="1"/>
      <w:numFmt w:val="lowerLetter"/>
      <w:lvlText w:val="%2)"/>
      <w:lvlJc w:val="left"/>
      <w:pPr>
        <w:ind w:left="958" w:hanging="420"/>
      </w:pPr>
    </w:lvl>
    <w:lvl w:ilvl="2" w:tentative="0">
      <w:start w:val="1"/>
      <w:numFmt w:val="lowerRoman"/>
      <w:lvlText w:val="%3."/>
      <w:lvlJc w:val="right"/>
      <w:pPr>
        <w:ind w:left="1378" w:hanging="420"/>
      </w:pPr>
    </w:lvl>
    <w:lvl w:ilvl="3" w:tentative="0">
      <w:start w:val="1"/>
      <w:numFmt w:val="decimal"/>
      <w:lvlText w:val="%4."/>
      <w:lvlJc w:val="left"/>
      <w:pPr>
        <w:ind w:left="1798" w:hanging="420"/>
      </w:pPr>
    </w:lvl>
    <w:lvl w:ilvl="4" w:tentative="0">
      <w:start w:val="1"/>
      <w:numFmt w:val="lowerLetter"/>
      <w:lvlText w:val="%5)"/>
      <w:lvlJc w:val="left"/>
      <w:pPr>
        <w:ind w:left="2218" w:hanging="420"/>
      </w:pPr>
    </w:lvl>
    <w:lvl w:ilvl="5" w:tentative="0">
      <w:start w:val="1"/>
      <w:numFmt w:val="lowerRoman"/>
      <w:lvlText w:val="%6."/>
      <w:lvlJc w:val="right"/>
      <w:pPr>
        <w:ind w:left="2638" w:hanging="420"/>
      </w:pPr>
    </w:lvl>
    <w:lvl w:ilvl="6" w:tentative="0">
      <w:start w:val="1"/>
      <w:numFmt w:val="decimal"/>
      <w:lvlText w:val="%7."/>
      <w:lvlJc w:val="left"/>
      <w:pPr>
        <w:ind w:left="3058" w:hanging="420"/>
      </w:pPr>
    </w:lvl>
    <w:lvl w:ilvl="7" w:tentative="0">
      <w:start w:val="1"/>
      <w:numFmt w:val="lowerLetter"/>
      <w:lvlText w:val="%8)"/>
      <w:lvlJc w:val="left"/>
      <w:pPr>
        <w:ind w:left="3478" w:hanging="420"/>
      </w:pPr>
    </w:lvl>
    <w:lvl w:ilvl="8" w:tentative="0">
      <w:start w:val="1"/>
      <w:numFmt w:val="lowerRoman"/>
      <w:lvlText w:val="%9."/>
      <w:lvlJc w:val="right"/>
      <w:pPr>
        <w:ind w:left="3898" w:hanging="420"/>
      </w:pPr>
    </w:lvl>
  </w:abstractNum>
  <w:abstractNum w:abstractNumId="10">
    <w:nsid w:val="5F5F0B3E"/>
    <w:multiLevelType w:val="multilevel"/>
    <w:tmpl w:val="5F5F0B3E"/>
    <w:lvl w:ilvl="0" w:tentative="0">
      <w:start w:val="1"/>
      <w:numFmt w:val="decimal"/>
      <w:lvlText w:val="%1."/>
      <w:lvlJc w:val="left"/>
      <w:pPr>
        <w:ind w:left="478" w:hanging="360"/>
      </w:pPr>
      <w:rPr>
        <w:rFonts w:hint="default"/>
      </w:rPr>
    </w:lvl>
    <w:lvl w:ilvl="1" w:tentative="0">
      <w:start w:val="1"/>
      <w:numFmt w:val="lowerLetter"/>
      <w:lvlText w:val="%2)"/>
      <w:lvlJc w:val="left"/>
      <w:pPr>
        <w:ind w:left="958" w:hanging="420"/>
      </w:pPr>
    </w:lvl>
    <w:lvl w:ilvl="2" w:tentative="0">
      <w:start w:val="1"/>
      <w:numFmt w:val="lowerRoman"/>
      <w:lvlText w:val="%3."/>
      <w:lvlJc w:val="right"/>
      <w:pPr>
        <w:ind w:left="1378" w:hanging="420"/>
      </w:pPr>
    </w:lvl>
    <w:lvl w:ilvl="3" w:tentative="0">
      <w:start w:val="1"/>
      <w:numFmt w:val="decimal"/>
      <w:lvlText w:val="%4."/>
      <w:lvlJc w:val="left"/>
      <w:pPr>
        <w:ind w:left="1798" w:hanging="420"/>
      </w:pPr>
    </w:lvl>
    <w:lvl w:ilvl="4" w:tentative="0">
      <w:start w:val="1"/>
      <w:numFmt w:val="lowerLetter"/>
      <w:lvlText w:val="%5)"/>
      <w:lvlJc w:val="left"/>
      <w:pPr>
        <w:ind w:left="2218" w:hanging="420"/>
      </w:pPr>
    </w:lvl>
    <w:lvl w:ilvl="5" w:tentative="0">
      <w:start w:val="1"/>
      <w:numFmt w:val="lowerRoman"/>
      <w:lvlText w:val="%6."/>
      <w:lvlJc w:val="right"/>
      <w:pPr>
        <w:ind w:left="2638" w:hanging="420"/>
      </w:pPr>
    </w:lvl>
    <w:lvl w:ilvl="6" w:tentative="0">
      <w:start w:val="1"/>
      <w:numFmt w:val="decimal"/>
      <w:lvlText w:val="%7."/>
      <w:lvlJc w:val="left"/>
      <w:pPr>
        <w:ind w:left="3058" w:hanging="420"/>
      </w:pPr>
    </w:lvl>
    <w:lvl w:ilvl="7" w:tentative="0">
      <w:start w:val="1"/>
      <w:numFmt w:val="lowerLetter"/>
      <w:lvlText w:val="%8)"/>
      <w:lvlJc w:val="left"/>
      <w:pPr>
        <w:ind w:left="3478" w:hanging="420"/>
      </w:pPr>
    </w:lvl>
    <w:lvl w:ilvl="8" w:tentative="0">
      <w:start w:val="1"/>
      <w:numFmt w:val="lowerRoman"/>
      <w:lvlText w:val="%9."/>
      <w:lvlJc w:val="right"/>
      <w:pPr>
        <w:ind w:left="3898" w:hanging="420"/>
      </w:pPr>
    </w:lvl>
  </w:abstractNum>
  <w:abstractNum w:abstractNumId="11">
    <w:nsid w:val="61B51A30"/>
    <w:multiLevelType w:val="multilevel"/>
    <w:tmpl w:val="61B51A30"/>
    <w:lvl w:ilvl="0" w:tentative="0">
      <w:start w:val="1"/>
      <w:numFmt w:val="decimal"/>
      <w:lvlText w:val="%1."/>
      <w:lvlJc w:val="left"/>
      <w:pPr>
        <w:ind w:left="478" w:hanging="360"/>
      </w:pPr>
      <w:rPr>
        <w:rFonts w:hint="default"/>
      </w:rPr>
    </w:lvl>
    <w:lvl w:ilvl="1" w:tentative="0">
      <w:start w:val="1"/>
      <w:numFmt w:val="lowerLetter"/>
      <w:lvlText w:val="%2)"/>
      <w:lvlJc w:val="left"/>
      <w:pPr>
        <w:ind w:left="958" w:hanging="420"/>
      </w:pPr>
    </w:lvl>
    <w:lvl w:ilvl="2" w:tentative="0">
      <w:start w:val="1"/>
      <w:numFmt w:val="lowerRoman"/>
      <w:lvlText w:val="%3."/>
      <w:lvlJc w:val="right"/>
      <w:pPr>
        <w:ind w:left="1378" w:hanging="420"/>
      </w:pPr>
    </w:lvl>
    <w:lvl w:ilvl="3" w:tentative="0">
      <w:start w:val="1"/>
      <w:numFmt w:val="decimal"/>
      <w:lvlText w:val="%4."/>
      <w:lvlJc w:val="left"/>
      <w:pPr>
        <w:ind w:left="1798" w:hanging="420"/>
      </w:pPr>
    </w:lvl>
    <w:lvl w:ilvl="4" w:tentative="0">
      <w:start w:val="1"/>
      <w:numFmt w:val="lowerLetter"/>
      <w:lvlText w:val="%5)"/>
      <w:lvlJc w:val="left"/>
      <w:pPr>
        <w:ind w:left="2218" w:hanging="420"/>
      </w:pPr>
    </w:lvl>
    <w:lvl w:ilvl="5" w:tentative="0">
      <w:start w:val="1"/>
      <w:numFmt w:val="lowerRoman"/>
      <w:lvlText w:val="%6."/>
      <w:lvlJc w:val="right"/>
      <w:pPr>
        <w:ind w:left="2638" w:hanging="420"/>
      </w:pPr>
    </w:lvl>
    <w:lvl w:ilvl="6" w:tentative="0">
      <w:start w:val="1"/>
      <w:numFmt w:val="decimal"/>
      <w:lvlText w:val="%7."/>
      <w:lvlJc w:val="left"/>
      <w:pPr>
        <w:ind w:left="3058" w:hanging="420"/>
      </w:pPr>
    </w:lvl>
    <w:lvl w:ilvl="7" w:tentative="0">
      <w:start w:val="1"/>
      <w:numFmt w:val="lowerLetter"/>
      <w:lvlText w:val="%8)"/>
      <w:lvlJc w:val="left"/>
      <w:pPr>
        <w:ind w:left="3478" w:hanging="420"/>
      </w:pPr>
    </w:lvl>
    <w:lvl w:ilvl="8" w:tentative="0">
      <w:start w:val="1"/>
      <w:numFmt w:val="lowerRoman"/>
      <w:lvlText w:val="%9."/>
      <w:lvlJc w:val="right"/>
      <w:pPr>
        <w:ind w:left="3898" w:hanging="420"/>
      </w:pPr>
    </w:lvl>
  </w:abstractNum>
  <w:num w:numId="1">
    <w:abstractNumId w:val="3"/>
  </w:num>
  <w:num w:numId="2">
    <w:abstractNumId w:val="8"/>
  </w:num>
  <w:num w:numId="3">
    <w:abstractNumId w:val="9"/>
  </w:num>
  <w:num w:numId="4">
    <w:abstractNumId w:val="10"/>
  </w:num>
  <w:num w:numId="5">
    <w:abstractNumId w:val="4"/>
  </w:num>
  <w:num w:numId="6">
    <w:abstractNumId w:val="1"/>
  </w:num>
  <w:num w:numId="7">
    <w:abstractNumId w:val="0"/>
  </w:num>
  <w:num w:numId="8">
    <w:abstractNumId w:val="5"/>
  </w:num>
  <w:num w:numId="9">
    <w:abstractNumId w:val="11"/>
  </w:num>
  <w:num w:numId="10">
    <w:abstractNumId w:val="7"/>
  </w:num>
  <w:num w:numId="11">
    <w:abstractNumId w:val="6"/>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hideSpellingErrors/>
  <w:documentProtection w:enforcement="0"/>
  <w:defaultTabStop w:val="420"/>
  <w:drawingGridHorizontalSpacing w:val="118"/>
  <w:drawingGridVerticalSpacing w:val="292"/>
  <w:displayHorizontalDrawingGridEvery w:val="2"/>
  <w:displayVerticalDrawingGridEvery w:val="2"/>
  <w:noPunctuationKerning w:val="1"/>
  <w:characterSpacingControl w:val="compressPunctuation"/>
  <w:noLineBreaksAfter w:lang="zh-CN" w:val="$([{£¥·‘“〈《「『【〔〖〝﹙﹛﹝＄（．［｛￡￥"/>
  <w:noLineBreaksBefore w:lang="zh-CN" w:val="!%),.:;&gt;?]}¢¨°·ˇˉ―‖’”…‰′″›℃∶、。〃〉》」』】〕〗〞︶︺︾﹀﹄﹚﹜﹞！＂％＇），．：；？］｀｜｝～￠"/>
  <w:hdrShapeDefaults>
    <o:shapelayout v:ext="edit">
      <o:idmap v:ext="edit" data="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2"/>
  </w:compat>
  <w:docVars>
    <w:docVar w:name="commondata" w:val="eyJoZGlkIjoiMjRmYWU2YTQ4YmFjZmU4NThjZDA1NzAzZTAyMDBhMDkifQ=="/>
  </w:docVars>
  <w:rsids>
    <w:rsidRoot w:val="00104BE5"/>
    <w:rsid w:val="000002B9"/>
    <w:rsid w:val="000004CF"/>
    <w:rsid w:val="00001748"/>
    <w:rsid w:val="000025D2"/>
    <w:rsid w:val="00002700"/>
    <w:rsid w:val="000028D4"/>
    <w:rsid w:val="00005483"/>
    <w:rsid w:val="00005E8E"/>
    <w:rsid w:val="00006CDE"/>
    <w:rsid w:val="000076B0"/>
    <w:rsid w:val="0000799E"/>
    <w:rsid w:val="00007C02"/>
    <w:rsid w:val="00010357"/>
    <w:rsid w:val="000105D7"/>
    <w:rsid w:val="0001120C"/>
    <w:rsid w:val="00012E35"/>
    <w:rsid w:val="000135F9"/>
    <w:rsid w:val="0001410A"/>
    <w:rsid w:val="00014DA7"/>
    <w:rsid w:val="0001553F"/>
    <w:rsid w:val="00016F6F"/>
    <w:rsid w:val="00017D73"/>
    <w:rsid w:val="00020CB3"/>
    <w:rsid w:val="00021892"/>
    <w:rsid w:val="00021BB6"/>
    <w:rsid w:val="00022BB8"/>
    <w:rsid w:val="000233D6"/>
    <w:rsid w:val="00023851"/>
    <w:rsid w:val="00023FBD"/>
    <w:rsid w:val="0002607F"/>
    <w:rsid w:val="0002698B"/>
    <w:rsid w:val="0003105C"/>
    <w:rsid w:val="000319F9"/>
    <w:rsid w:val="00032B6F"/>
    <w:rsid w:val="00033FF1"/>
    <w:rsid w:val="00035076"/>
    <w:rsid w:val="000354D4"/>
    <w:rsid w:val="00036CB3"/>
    <w:rsid w:val="0004053E"/>
    <w:rsid w:val="00040765"/>
    <w:rsid w:val="000408FF"/>
    <w:rsid w:val="0004191B"/>
    <w:rsid w:val="000423ED"/>
    <w:rsid w:val="00042B87"/>
    <w:rsid w:val="0004341D"/>
    <w:rsid w:val="00043C86"/>
    <w:rsid w:val="00043D84"/>
    <w:rsid w:val="00043DA2"/>
    <w:rsid w:val="00044043"/>
    <w:rsid w:val="000457C1"/>
    <w:rsid w:val="00045CEB"/>
    <w:rsid w:val="00046160"/>
    <w:rsid w:val="00046823"/>
    <w:rsid w:val="00046F4A"/>
    <w:rsid w:val="000470AF"/>
    <w:rsid w:val="00047103"/>
    <w:rsid w:val="00047E5F"/>
    <w:rsid w:val="00050D14"/>
    <w:rsid w:val="00051085"/>
    <w:rsid w:val="00051372"/>
    <w:rsid w:val="00052981"/>
    <w:rsid w:val="00052B91"/>
    <w:rsid w:val="00053183"/>
    <w:rsid w:val="00053538"/>
    <w:rsid w:val="000549A4"/>
    <w:rsid w:val="00055C8F"/>
    <w:rsid w:val="00055DC5"/>
    <w:rsid w:val="00055EB8"/>
    <w:rsid w:val="0005608F"/>
    <w:rsid w:val="000563DF"/>
    <w:rsid w:val="0005685D"/>
    <w:rsid w:val="00056872"/>
    <w:rsid w:val="000568B6"/>
    <w:rsid w:val="00060426"/>
    <w:rsid w:val="0006077F"/>
    <w:rsid w:val="000615AA"/>
    <w:rsid w:val="00063C5D"/>
    <w:rsid w:val="00064611"/>
    <w:rsid w:val="0006514A"/>
    <w:rsid w:val="000655DB"/>
    <w:rsid w:val="0006598E"/>
    <w:rsid w:val="00065CAA"/>
    <w:rsid w:val="000660B8"/>
    <w:rsid w:val="0006623E"/>
    <w:rsid w:val="00066758"/>
    <w:rsid w:val="00067307"/>
    <w:rsid w:val="0006735D"/>
    <w:rsid w:val="00067448"/>
    <w:rsid w:val="00067AF1"/>
    <w:rsid w:val="00070E44"/>
    <w:rsid w:val="00071F15"/>
    <w:rsid w:val="000722FB"/>
    <w:rsid w:val="00072DDF"/>
    <w:rsid w:val="00073583"/>
    <w:rsid w:val="0007376C"/>
    <w:rsid w:val="000758C8"/>
    <w:rsid w:val="00075B1A"/>
    <w:rsid w:val="00076136"/>
    <w:rsid w:val="00077D64"/>
    <w:rsid w:val="000803D2"/>
    <w:rsid w:val="00081173"/>
    <w:rsid w:val="00081D2C"/>
    <w:rsid w:val="00082880"/>
    <w:rsid w:val="00082D47"/>
    <w:rsid w:val="00082EDE"/>
    <w:rsid w:val="00082F65"/>
    <w:rsid w:val="0008338A"/>
    <w:rsid w:val="00083E04"/>
    <w:rsid w:val="0008419E"/>
    <w:rsid w:val="00084476"/>
    <w:rsid w:val="00084C2A"/>
    <w:rsid w:val="00085573"/>
    <w:rsid w:val="000865F8"/>
    <w:rsid w:val="000875FA"/>
    <w:rsid w:val="000879D5"/>
    <w:rsid w:val="00090099"/>
    <w:rsid w:val="00090EC3"/>
    <w:rsid w:val="00090F11"/>
    <w:rsid w:val="000918B4"/>
    <w:rsid w:val="000936E5"/>
    <w:rsid w:val="0009384A"/>
    <w:rsid w:val="0009390F"/>
    <w:rsid w:val="00094723"/>
    <w:rsid w:val="000949AF"/>
    <w:rsid w:val="000949BF"/>
    <w:rsid w:val="00096B8F"/>
    <w:rsid w:val="00097EFF"/>
    <w:rsid w:val="000A036F"/>
    <w:rsid w:val="000A041D"/>
    <w:rsid w:val="000A1260"/>
    <w:rsid w:val="000A1934"/>
    <w:rsid w:val="000A1F09"/>
    <w:rsid w:val="000A2319"/>
    <w:rsid w:val="000A24F2"/>
    <w:rsid w:val="000A2643"/>
    <w:rsid w:val="000A36AA"/>
    <w:rsid w:val="000A4F04"/>
    <w:rsid w:val="000A523D"/>
    <w:rsid w:val="000A536D"/>
    <w:rsid w:val="000A6C06"/>
    <w:rsid w:val="000B07A7"/>
    <w:rsid w:val="000B1A88"/>
    <w:rsid w:val="000B1E50"/>
    <w:rsid w:val="000B210B"/>
    <w:rsid w:val="000B3421"/>
    <w:rsid w:val="000B36A3"/>
    <w:rsid w:val="000B3D2F"/>
    <w:rsid w:val="000B42DC"/>
    <w:rsid w:val="000B4BE5"/>
    <w:rsid w:val="000B6310"/>
    <w:rsid w:val="000B6330"/>
    <w:rsid w:val="000B7B1E"/>
    <w:rsid w:val="000B7B77"/>
    <w:rsid w:val="000C0246"/>
    <w:rsid w:val="000C0301"/>
    <w:rsid w:val="000C0405"/>
    <w:rsid w:val="000C04FA"/>
    <w:rsid w:val="000C0D11"/>
    <w:rsid w:val="000C12F0"/>
    <w:rsid w:val="000C2960"/>
    <w:rsid w:val="000C2B39"/>
    <w:rsid w:val="000C3798"/>
    <w:rsid w:val="000C3D71"/>
    <w:rsid w:val="000C41AC"/>
    <w:rsid w:val="000C4620"/>
    <w:rsid w:val="000C4AB5"/>
    <w:rsid w:val="000C4BF3"/>
    <w:rsid w:val="000C4D4C"/>
    <w:rsid w:val="000C5BA7"/>
    <w:rsid w:val="000C67F1"/>
    <w:rsid w:val="000C6A03"/>
    <w:rsid w:val="000C6A55"/>
    <w:rsid w:val="000C6E3F"/>
    <w:rsid w:val="000D023B"/>
    <w:rsid w:val="000D0978"/>
    <w:rsid w:val="000D0DB1"/>
    <w:rsid w:val="000D1550"/>
    <w:rsid w:val="000D277C"/>
    <w:rsid w:val="000D2890"/>
    <w:rsid w:val="000E0147"/>
    <w:rsid w:val="000E08B7"/>
    <w:rsid w:val="000E15A6"/>
    <w:rsid w:val="000E29BE"/>
    <w:rsid w:val="000E2C7F"/>
    <w:rsid w:val="000E32E9"/>
    <w:rsid w:val="000E3E9B"/>
    <w:rsid w:val="000E3FF4"/>
    <w:rsid w:val="000E431A"/>
    <w:rsid w:val="000E490B"/>
    <w:rsid w:val="000E50F3"/>
    <w:rsid w:val="000E52CC"/>
    <w:rsid w:val="000E6218"/>
    <w:rsid w:val="000E7353"/>
    <w:rsid w:val="000E79B9"/>
    <w:rsid w:val="000E7CED"/>
    <w:rsid w:val="000F1A77"/>
    <w:rsid w:val="000F1FF0"/>
    <w:rsid w:val="000F213A"/>
    <w:rsid w:val="000F3236"/>
    <w:rsid w:val="000F3775"/>
    <w:rsid w:val="000F43EC"/>
    <w:rsid w:val="000F4BF7"/>
    <w:rsid w:val="000F52AD"/>
    <w:rsid w:val="000F5741"/>
    <w:rsid w:val="000F5AB4"/>
    <w:rsid w:val="000F5CC1"/>
    <w:rsid w:val="000F645C"/>
    <w:rsid w:val="000F788A"/>
    <w:rsid w:val="000F7FDD"/>
    <w:rsid w:val="00100045"/>
    <w:rsid w:val="00100F51"/>
    <w:rsid w:val="00101568"/>
    <w:rsid w:val="0010315A"/>
    <w:rsid w:val="00104BE5"/>
    <w:rsid w:val="001059F2"/>
    <w:rsid w:val="00105CEB"/>
    <w:rsid w:val="001066AF"/>
    <w:rsid w:val="001066B2"/>
    <w:rsid w:val="0010717D"/>
    <w:rsid w:val="0011034C"/>
    <w:rsid w:val="00111F63"/>
    <w:rsid w:val="001130D6"/>
    <w:rsid w:val="00113F88"/>
    <w:rsid w:val="0011400D"/>
    <w:rsid w:val="00114720"/>
    <w:rsid w:val="0011641D"/>
    <w:rsid w:val="00117199"/>
    <w:rsid w:val="001222A3"/>
    <w:rsid w:val="00122540"/>
    <w:rsid w:val="001227DE"/>
    <w:rsid w:val="00122FE5"/>
    <w:rsid w:val="00123225"/>
    <w:rsid w:val="00125432"/>
    <w:rsid w:val="00125C03"/>
    <w:rsid w:val="00125DE8"/>
    <w:rsid w:val="0012713A"/>
    <w:rsid w:val="00127C60"/>
    <w:rsid w:val="00130121"/>
    <w:rsid w:val="00130D49"/>
    <w:rsid w:val="00133CBA"/>
    <w:rsid w:val="00133F34"/>
    <w:rsid w:val="00134860"/>
    <w:rsid w:val="0013582B"/>
    <w:rsid w:val="00135BE7"/>
    <w:rsid w:val="00135E31"/>
    <w:rsid w:val="00137643"/>
    <w:rsid w:val="001402FA"/>
    <w:rsid w:val="0014070B"/>
    <w:rsid w:val="0014148C"/>
    <w:rsid w:val="001414AB"/>
    <w:rsid w:val="0014228F"/>
    <w:rsid w:val="00142826"/>
    <w:rsid w:val="00142F07"/>
    <w:rsid w:val="00143C6D"/>
    <w:rsid w:val="0014450B"/>
    <w:rsid w:val="0014492F"/>
    <w:rsid w:val="00145F97"/>
    <w:rsid w:val="00146AB0"/>
    <w:rsid w:val="00146C60"/>
    <w:rsid w:val="00147651"/>
    <w:rsid w:val="001477CC"/>
    <w:rsid w:val="00151E75"/>
    <w:rsid w:val="00152289"/>
    <w:rsid w:val="00152434"/>
    <w:rsid w:val="00153202"/>
    <w:rsid w:val="001540D2"/>
    <w:rsid w:val="00154373"/>
    <w:rsid w:val="00154F6D"/>
    <w:rsid w:val="00155F2A"/>
    <w:rsid w:val="00156356"/>
    <w:rsid w:val="001570DB"/>
    <w:rsid w:val="00161290"/>
    <w:rsid w:val="0016257C"/>
    <w:rsid w:val="0016409F"/>
    <w:rsid w:val="00165EBD"/>
    <w:rsid w:val="00166329"/>
    <w:rsid w:val="00167DB6"/>
    <w:rsid w:val="00167E8E"/>
    <w:rsid w:val="001727DD"/>
    <w:rsid w:val="00172CA4"/>
    <w:rsid w:val="00172DD9"/>
    <w:rsid w:val="00173125"/>
    <w:rsid w:val="001740F3"/>
    <w:rsid w:val="001743C9"/>
    <w:rsid w:val="00174545"/>
    <w:rsid w:val="00174780"/>
    <w:rsid w:val="00174F14"/>
    <w:rsid w:val="001750D5"/>
    <w:rsid w:val="0017563E"/>
    <w:rsid w:val="0017570F"/>
    <w:rsid w:val="00175B2A"/>
    <w:rsid w:val="001765A6"/>
    <w:rsid w:val="00176B3E"/>
    <w:rsid w:val="0017785C"/>
    <w:rsid w:val="001778EF"/>
    <w:rsid w:val="0018049A"/>
    <w:rsid w:val="00181333"/>
    <w:rsid w:val="00181679"/>
    <w:rsid w:val="001826AF"/>
    <w:rsid w:val="00182B6B"/>
    <w:rsid w:val="00182DEF"/>
    <w:rsid w:val="00184341"/>
    <w:rsid w:val="00184B87"/>
    <w:rsid w:val="00184C64"/>
    <w:rsid w:val="00185C63"/>
    <w:rsid w:val="00186FAD"/>
    <w:rsid w:val="00187921"/>
    <w:rsid w:val="00187B9B"/>
    <w:rsid w:val="0019072C"/>
    <w:rsid w:val="0019137E"/>
    <w:rsid w:val="001928E2"/>
    <w:rsid w:val="00193C25"/>
    <w:rsid w:val="0019506B"/>
    <w:rsid w:val="00196762"/>
    <w:rsid w:val="001A03B6"/>
    <w:rsid w:val="001A1903"/>
    <w:rsid w:val="001A30D6"/>
    <w:rsid w:val="001A3169"/>
    <w:rsid w:val="001A366E"/>
    <w:rsid w:val="001A3FEF"/>
    <w:rsid w:val="001A4A1A"/>
    <w:rsid w:val="001A5761"/>
    <w:rsid w:val="001A6755"/>
    <w:rsid w:val="001A6ACA"/>
    <w:rsid w:val="001A6DCD"/>
    <w:rsid w:val="001A786A"/>
    <w:rsid w:val="001A78A2"/>
    <w:rsid w:val="001B194B"/>
    <w:rsid w:val="001B1C71"/>
    <w:rsid w:val="001B2722"/>
    <w:rsid w:val="001B28EC"/>
    <w:rsid w:val="001B3BAD"/>
    <w:rsid w:val="001B4E7B"/>
    <w:rsid w:val="001B5CE4"/>
    <w:rsid w:val="001B5EE1"/>
    <w:rsid w:val="001B6183"/>
    <w:rsid w:val="001B6852"/>
    <w:rsid w:val="001B6F27"/>
    <w:rsid w:val="001B7267"/>
    <w:rsid w:val="001B7A95"/>
    <w:rsid w:val="001B7AB5"/>
    <w:rsid w:val="001C0422"/>
    <w:rsid w:val="001C0698"/>
    <w:rsid w:val="001C1481"/>
    <w:rsid w:val="001C166F"/>
    <w:rsid w:val="001C17A9"/>
    <w:rsid w:val="001C1DFE"/>
    <w:rsid w:val="001C218C"/>
    <w:rsid w:val="001C2218"/>
    <w:rsid w:val="001C285B"/>
    <w:rsid w:val="001C3396"/>
    <w:rsid w:val="001C3622"/>
    <w:rsid w:val="001C386D"/>
    <w:rsid w:val="001C4712"/>
    <w:rsid w:val="001C4D9A"/>
    <w:rsid w:val="001C5885"/>
    <w:rsid w:val="001C5C8D"/>
    <w:rsid w:val="001C5F4C"/>
    <w:rsid w:val="001C6660"/>
    <w:rsid w:val="001C693C"/>
    <w:rsid w:val="001C6EC6"/>
    <w:rsid w:val="001C6FE3"/>
    <w:rsid w:val="001C7930"/>
    <w:rsid w:val="001D0E81"/>
    <w:rsid w:val="001D1597"/>
    <w:rsid w:val="001D1633"/>
    <w:rsid w:val="001D23EE"/>
    <w:rsid w:val="001D2C73"/>
    <w:rsid w:val="001D330A"/>
    <w:rsid w:val="001D570E"/>
    <w:rsid w:val="001E0478"/>
    <w:rsid w:val="001E0A0E"/>
    <w:rsid w:val="001E0D09"/>
    <w:rsid w:val="001E1123"/>
    <w:rsid w:val="001E179C"/>
    <w:rsid w:val="001E1BBB"/>
    <w:rsid w:val="001E2333"/>
    <w:rsid w:val="001E34E0"/>
    <w:rsid w:val="001E3866"/>
    <w:rsid w:val="001E3E0C"/>
    <w:rsid w:val="001E467A"/>
    <w:rsid w:val="001E4704"/>
    <w:rsid w:val="001E54B5"/>
    <w:rsid w:val="001E56BC"/>
    <w:rsid w:val="001E5BDE"/>
    <w:rsid w:val="001F0481"/>
    <w:rsid w:val="001F0BCA"/>
    <w:rsid w:val="001F1069"/>
    <w:rsid w:val="001F2219"/>
    <w:rsid w:val="001F2B28"/>
    <w:rsid w:val="001F390C"/>
    <w:rsid w:val="001F3D3E"/>
    <w:rsid w:val="001F488E"/>
    <w:rsid w:val="001F4AFB"/>
    <w:rsid w:val="001F4C11"/>
    <w:rsid w:val="001F4F8B"/>
    <w:rsid w:val="001F5875"/>
    <w:rsid w:val="001F5951"/>
    <w:rsid w:val="001F7108"/>
    <w:rsid w:val="001F71A4"/>
    <w:rsid w:val="001F7393"/>
    <w:rsid w:val="001F756D"/>
    <w:rsid w:val="001F7576"/>
    <w:rsid w:val="001F7FA1"/>
    <w:rsid w:val="00200140"/>
    <w:rsid w:val="0020044D"/>
    <w:rsid w:val="002004D2"/>
    <w:rsid w:val="00200551"/>
    <w:rsid w:val="00201E32"/>
    <w:rsid w:val="00202C64"/>
    <w:rsid w:val="00202D35"/>
    <w:rsid w:val="00203F10"/>
    <w:rsid w:val="00204654"/>
    <w:rsid w:val="0020485A"/>
    <w:rsid w:val="00205863"/>
    <w:rsid w:val="00205E74"/>
    <w:rsid w:val="002068D7"/>
    <w:rsid w:val="00210F20"/>
    <w:rsid w:val="00211381"/>
    <w:rsid w:val="00212381"/>
    <w:rsid w:val="002129DE"/>
    <w:rsid w:val="00214B1B"/>
    <w:rsid w:val="00215519"/>
    <w:rsid w:val="0021580F"/>
    <w:rsid w:val="0021691E"/>
    <w:rsid w:val="00216A5E"/>
    <w:rsid w:val="002170DF"/>
    <w:rsid w:val="00220B72"/>
    <w:rsid w:val="00221A78"/>
    <w:rsid w:val="00221B11"/>
    <w:rsid w:val="00222B78"/>
    <w:rsid w:val="00223213"/>
    <w:rsid w:val="0022327A"/>
    <w:rsid w:val="00225198"/>
    <w:rsid w:val="00225C8A"/>
    <w:rsid w:val="00225E6A"/>
    <w:rsid w:val="002262DC"/>
    <w:rsid w:val="0022641A"/>
    <w:rsid w:val="00226842"/>
    <w:rsid w:val="00226E00"/>
    <w:rsid w:val="00227401"/>
    <w:rsid w:val="00227424"/>
    <w:rsid w:val="00231F61"/>
    <w:rsid w:val="002329D6"/>
    <w:rsid w:val="00233CEF"/>
    <w:rsid w:val="00234164"/>
    <w:rsid w:val="00234666"/>
    <w:rsid w:val="002346FE"/>
    <w:rsid w:val="00234E1A"/>
    <w:rsid w:val="00234F60"/>
    <w:rsid w:val="00235656"/>
    <w:rsid w:val="0023589C"/>
    <w:rsid w:val="00235F35"/>
    <w:rsid w:val="00236A56"/>
    <w:rsid w:val="00237190"/>
    <w:rsid w:val="0023727A"/>
    <w:rsid w:val="002400C6"/>
    <w:rsid w:val="0024024E"/>
    <w:rsid w:val="002407AF"/>
    <w:rsid w:val="00240A9C"/>
    <w:rsid w:val="00241292"/>
    <w:rsid w:val="00242554"/>
    <w:rsid w:val="00242CA0"/>
    <w:rsid w:val="0024351C"/>
    <w:rsid w:val="00243EDB"/>
    <w:rsid w:val="0024465F"/>
    <w:rsid w:val="002447E3"/>
    <w:rsid w:val="00245078"/>
    <w:rsid w:val="00245343"/>
    <w:rsid w:val="00245BC6"/>
    <w:rsid w:val="00245DEF"/>
    <w:rsid w:val="00246095"/>
    <w:rsid w:val="00250569"/>
    <w:rsid w:val="00251265"/>
    <w:rsid w:val="00251810"/>
    <w:rsid w:val="00252386"/>
    <w:rsid w:val="00252BD9"/>
    <w:rsid w:val="0025301A"/>
    <w:rsid w:val="00253308"/>
    <w:rsid w:val="00253D6A"/>
    <w:rsid w:val="00254721"/>
    <w:rsid w:val="0025563B"/>
    <w:rsid w:val="00255D5C"/>
    <w:rsid w:val="00256541"/>
    <w:rsid w:val="0025714C"/>
    <w:rsid w:val="00260968"/>
    <w:rsid w:val="00262A18"/>
    <w:rsid w:val="002631E1"/>
    <w:rsid w:val="00263E9B"/>
    <w:rsid w:val="00264147"/>
    <w:rsid w:val="002642B2"/>
    <w:rsid w:val="00264853"/>
    <w:rsid w:val="00264BD2"/>
    <w:rsid w:val="00265CF1"/>
    <w:rsid w:val="0026611D"/>
    <w:rsid w:val="00267304"/>
    <w:rsid w:val="002679F4"/>
    <w:rsid w:val="00267C5C"/>
    <w:rsid w:val="002707E7"/>
    <w:rsid w:val="00271E95"/>
    <w:rsid w:val="00271F5F"/>
    <w:rsid w:val="002726E5"/>
    <w:rsid w:val="0027325B"/>
    <w:rsid w:val="0027361E"/>
    <w:rsid w:val="0027475B"/>
    <w:rsid w:val="00274C92"/>
    <w:rsid w:val="002753E8"/>
    <w:rsid w:val="002754C1"/>
    <w:rsid w:val="002759D1"/>
    <w:rsid w:val="002761DC"/>
    <w:rsid w:val="00280E15"/>
    <w:rsid w:val="00281795"/>
    <w:rsid w:val="00281D2D"/>
    <w:rsid w:val="00281E4C"/>
    <w:rsid w:val="002825DD"/>
    <w:rsid w:val="00283D46"/>
    <w:rsid w:val="00284320"/>
    <w:rsid w:val="0028457E"/>
    <w:rsid w:val="002849AF"/>
    <w:rsid w:val="00284D7A"/>
    <w:rsid w:val="00285002"/>
    <w:rsid w:val="00286116"/>
    <w:rsid w:val="00290050"/>
    <w:rsid w:val="002904D1"/>
    <w:rsid w:val="00291733"/>
    <w:rsid w:val="00291A36"/>
    <w:rsid w:val="0029246F"/>
    <w:rsid w:val="00292D85"/>
    <w:rsid w:val="00293050"/>
    <w:rsid w:val="002933D7"/>
    <w:rsid w:val="00293C1A"/>
    <w:rsid w:val="00294895"/>
    <w:rsid w:val="002961E0"/>
    <w:rsid w:val="002964CB"/>
    <w:rsid w:val="0029689C"/>
    <w:rsid w:val="0029718C"/>
    <w:rsid w:val="00297521"/>
    <w:rsid w:val="002975FF"/>
    <w:rsid w:val="00297856"/>
    <w:rsid w:val="002A1224"/>
    <w:rsid w:val="002A1992"/>
    <w:rsid w:val="002A1FAD"/>
    <w:rsid w:val="002A445E"/>
    <w:rsid w:val="002A4554"/>
    <w:rsid w:val="002A69E4"/>
    <w:rsid w:val="002A6CD9"/>
    <w:rsid w:val="002A7174"/>
    <w:rsid w:val="002A747D"/>
    <w:rsid w:val="002B1EAD"/>
    <w:rsid w:val="002B226D"/>
    <w:rsid w:val="002B2A05"/>
    <w:rsid w:val="002B3505"/>
    <w:rsid w:val="002B3A58"/>
    <w:rsid w:val="002B3D84"/>
    <w:rsid w:val="002B5AA9"/>
    <w:rsid w:val="002B6297"/>
    <w:rsid w:val="002B69BD"/>
    <w:rsid w:val="002B7D7B"/>
    <w:rsid w:val="002C24CB"/>
    <w:rsid w:val="002C28F9"/>
    <w:rsid w:val="002C2B07"/>
    <w:rsid w:val="002C3148"/>
    <w:rsid w:val="002C36EF"/>
    <w:rsid w:val="002C3738"/>
    <w:rsid w:val="002C4FFD"/>
    <w:rsid w:val="002C5821"/>
    <w:rsid w:val="002D0974"/>
    <w:rsid w:val="002D268F"/>
    <w:rsid w:val="002D2807"/>
    <w:rsid w:val="002D2917"/>
    <w:rsid w:val="002D3570"/>
    <w:rsid w:val="002D3FB6"/>
    <w:rsid w:val="002D554E"/>
    <w:rsid w:val="002D7254"/>
    <w:rsid w:val="002D7633"/>
    <w:rsid w:val="002D7793"/>
    <w:rsid w:val="002D7C13"/>
    <w:rsid w:val="002E05AD"/>
    <w:rsid w:val="002E08A1"/>
    <w:rsid w:val="002E206C"/>
    <w:rsid w:val="002E2C59"/>
    <w:rsid w:val="002E3708"/>
    <w:rsid w:val="002E3E38"/>
    <w:rsid w:val="002E4B4F"/>
    <w:rsid w:val="002E6895"/>
    <w:rsid w:val="002E6C3D"/>
    <w:rsid w:val="002E6DA2"/>
    <w:rsid w:val="002E702C"/>
    <w:rsid w:val="002F0922"/>
    <w:rsid w:val="002F0F28"/>
    <w:rsid w:val="002F2CF5"/>
    <w:rsid w:val="002F32A7"/>
    <w:rsid w:val="002F3310"/>
    <w:rsid w:val="002F420C"/>
    <w:rsid w:val="002F4D68"/>
    <w:rsid w:val="002F4E04"/>
    <w:rsid w:val="002F516E"/>
    <w:rsid w:val="002F6527"/>
    <w:rsid w:val="002F7571"/>
    <w:rsid w:val="00300031"/>
    <w:rsid w:val="0030006F"/>
    <w:rsid w:val="003009D9"/>
    <w:rsid w:val="00301028"/>
    <w:rsid w:val="00301494"/>
    <w:rsid w:val="003015A4"/>
    <w:rsid w:val="003027E6"/>
    <w:rsid w:val="00303388"/>
    <w:rsid w:val="00307787"/>
    <w:rsid w:val="00307E48"/>
    <w:rsid w:val="00310003"/>
    <w:rsid w:val="00311170"/>
    <w:rsid w:val="0031132E"/>
    <w:rsid w:val="0031179C"/>
    <w:rsid w:val="003118C6"/>
    <w:rsid w:val="00312C3F"/>
    <w:rsid w:val="00312CCD"/>
    <w:rsid w:val="003135F3"/>
    <w:rsid w:val="0031369E"/>
    <w:rsid w:val="00314C3E"/>
    <w:rsid w:val="00316262"/>
    <w:rsid w:val="003164F5"/>
    <w:rsid w:val="00316D4F"/>
    <w:rsid w:val="00317442"/>
    <w:rsid w:val="00317B53"/>
    <w:rsid w:val="00317BFF"/>
    <w:rsid w:val="00317ED9"/>
    <w:rsid w:val="003206F1"/>
    <w:rsid w:val="0032216D"/>
    <w:rsid w:val="0032228A"/>
    <w:rsid w:val="00323187"/>
    <w:rsid w:val="003240D5"/>
    <w:rsid w:val="003243BA"/>
    <w:rsid w:val="00324532"/>
    <w:rsid w:val="00325434"/>
    <w:rsid w:val="003256CE"/>
    <w:rsid w:val="00325A0D"/>
    <w:rsid w:val="003261F0"/>
    <w:rsid w:val="003263CD"/>
    <w:rsid w:val="003267A4"/>
    <w:rsid w:val="0032729F"/>
    <w:rsid w:val="00327773"/>
    <w:rsid w:val="003277D9"/>
    <w:rsid w:val="00331C13"/>
    <w:rsid w:val="00331D95"/>
    <w:rsid w:val="003329FC"/>
    <w:rsid w:val="00333FE3"/>
    <w:rsid w:val="003342B8"/>
    <w:rsid w:val="00335E62"/>
    <w:rsid w:val="003360D4"/>
    <w:rsid w:val="00336321"/>
    <w:rsid w:val="0033675C"/>
    <w:rsid w:val="00336772"/>
    <w:rsid w:val="00336DDA"/>
    <w:rsid w:val="00341A00"/>
    <w:rsid w:val="00341E1D"/>
    <w:rsid w:val="00343275"/>
    <w:rsid w:val="00343DCF"/>
    <w:rsid w:val="0034448C"/>
    <w:rsid w:val="003452CB"/>
    <w:rsid w:val="00345A64"/>
    <w:rsid w:val="00347DD3"/>
    <w:rsid w:val="0035166D"/>
    <w:rsid w:val="00352CCA"/>
    <w:rsid w:val="0035581B"/>
    <w:rsid w:val="00356A25"/>
    <w:rsid w:val="00357881"/>
    <w:rsid w:val="00357E1E"/>
    <w:rsid w:val="00360C1C"/>
    <w:rsid w:val="00362008"/>
    <w:rsid w:val="00362744"/>
    <w:rsid w:val="00362997"/>
    <w:rsid w:val="003630DA"/>
    <w:rsid w:val="00363695"/>
    <w:rsid w:val="00363756"/>
    <w:rsid w:val="003641A0"/>
    <w:rsid w:val="00364561"/>
    <w:rsid w:val="00364D15"/>
    <w:rsid w:val="00364D42"/>
    <w:rsid w:val="00365DFC"/>
    <w:rsid w:val="00366117"/>
    <w:rsid w:val="003675F9"/>
    <w:rsid w:val="00370440"/>
    <w:rsid w:val="00370C65"/>
    <w:rsid w:val="00371733"/>
    <w:rsid w:val="00372472"/>
    <w:rsid w:val="003747E3"/>
    <w:rsid w:val="003749C9"/>
    <w:rsid w:val="00375745"/>
    <w:rsid w:val="00376B8D"/>
    <w:rsid w:val="00380428"/>
    <w:rsid w:val="0038135C"/>
    <w:rsid w:val="00381942"/>
    <w:rsid w:val="0038209A"/>
    <w:rsid w:val="00382FBA"/>
    <w:rsid w:val="003830F4"/>
    <w:rsid w:val="00383136"/>
    <w:rsid w:val="0038396E"/>
    <w:rsid w:val="00383A05"/>
    <w:rsid w:val="00383CC1"/>
    <w:rsid w:val="00385FCB"/>
    <w:rsid w:val="0038698C"/>
    <w:rsid w:val="00386D8D"/>
    <w:rsid w:val="003876E8"/>
    <w:rsid w:val="003879E7"/>
    <w:rsid w:val="003904C9"/>
    <w:rsid w:val="00390852"/>
    <w:rsid w:val="00390A6F"/>
    <w:rsid w:val="0039147D"/>
    <w:rsid w:val="00391E6F"/>
    <w:rsid w:val="00392B93"/>
    <w:rsid w:val="00393223"/>
    <w:rsid w:val="0039382D"/>
    <w:rsid w:val="00394238"/>
    <w:rsid w:val="00394F99"/>
    <w:rsid w:val="00394FC1"/>
    <w:rsid w:val="003962ED"/>
    <w:rsid w:val="0039646E"/>
    <w:rsid w:val="00397617"/>
    <w:rsid w:val="003A0B20"/>
    <w:rsid w:val="003A0B39"/>
    <w:rsid w:val="003A1370"/>
    <w:rsid w:val="003A2DC1"/>
    <w:rsid w:val="003A3794"/>
    <w:rsid w:val="003A496C"/>
    <w:rsid w:val="003A596D"/>
    <w:rsid w:val="003A5E32"/>
    <w:rsid w:val="003A615D"/>
    <w:rsid w:val="003A73B2"/>
    <w:rsid w:val="003A751B"/>
    <w:rsid w:val="003B02F3"/>
    <w:rsid w:val="003B24CB"/>
    <w:rsid w:val="003B2D0A"/>
    <w:rsid w:val="003B2F00"/>
    <w:rsid w:val="003B3566"/>
    <w:rsid w:val="003B533A"/>
    <w:rsid w:val="003B739B"/>
    <w:rsid w:val="003B79D0"/>
    <w:rsid w:val="003C0609"/>
    <w:rsid w:val="003C0D3A"/>
    <w:rsid w:val="003C127C"/>
    <w:rsid w:val="003C1FE9"/>
    <w:rsid w:val="003C310D"/>
    <w:rsid w:val="003C3382"/>
    <w:rsid w:val="003C3A1B"/>
    <w:rsid w:val="003C4AA9"/>
    <w:rsid w:val="003C5710"/>
    <w:rsid w:val="003C6651"/>
    <w:rsid w:val="003C6CEB"/>
    <w:rsid w:val="003C756E"/>
    <w:rsid w:val="003C7604"/>
    <w:rsid w:val="003D0149"/>
    <w:rsid w:val="003D0B7C"/>
    <w:rsid w:val="003D0CFE"/>
    <w:rsid w:val="003D0E89"/>
    <w:rsid w:val="003D129E"/>
    <w:rsid w:val="003D1345"/>
    <w:rsid w:val="003D1A9E"/>
    <w:rsid w:val="003D1ADF"/>
    <w:rsid w:val="003D2200"/>
    <w:rsid w:val="003D5144"/>
    <w:rsid w:val="003D5BFC"/>
    <w:rsid w:val="003D64E8"/>
    <w:rsid w:val="003D7BF2"/>
    <w:rsid w:val="003E05F1"/>
    <w:rsid w:val="003E0ABA"/>
    <w:rsid w:val="003E1241"/>
    <w:rsid w:val="003E2D11"/>
    <w:rsid w:val="003E464E"/>
    <w:rsid w:val="003E4C00"/>
    <w:rsid w:val="003E52F3"/>
    <w:rsid w:val="003E5B86"/>
    <w:rsid w:val="003E6CAD"/>
    <w:rsid w:val="003E721A"/>
    <w:rsid w:val="003E73E0"/>
    <w:rsid w:val="003E7C15"/>
    <w:rsid w:val="003F1EC9"/>
    <w:rsid w:val="003F21FB"/>
    <w:rsid w:val="003F26E9"/>
    <w:rsid w:val="003F53CE"/>
    <w:rsid w:val="003F5E6C"/>
    <w:rsid w:val="003F657C"/>
    <w:rsid w:val="003F73D6"/>
    <w:rsid w:val="003F7B69"/>
    <w:rsid w:val="003F7BED"/>
    <w:rsid w:val="003F7F46"/>
    <w:rsid w:val="00400D82"/>
    <w:rsid w:val="004015FE"/>
    <w:rsid w:val="00401CAA"/>
    <w:rsid w:val="00403A61"/>
    <w:rsid w:val="004040BB"/>
    <w:rsid w:val="004040BE"/>
    <w:rsid w:val="0040460D"/>
    <w:rsid w:val="00406339"/>
    <w:rsid w:val="00406D77"/>
    <w:rsid w:val="0040778F"/>
    <w:rsid w:val="00407BF3"/>
    <w:rsid w:val="0041056C"/>
    <w:rsid w:val="004116A0"/>
    <w:rsid w:val="004133F3"/>
    <w:rsid w:val="004137EC"/>
    <w:rsid w:val="00413CA7"/>
    <w:rsid w:val="0041437E"/>
    <w:rsid w:val="00414EF1"/>
    <w:rsid w:val="00415729"/>
    <w:rsid w:val="00417E90"/>
    <w:rsid w:val="004205EB"/>
    <w:rsid w:val="004212A1"/>
    <w:rsid w:val="00421348"/>
    <w:rsid w:val="00421EB4"/>
    <w:rsid w:val="004228B5"/>
    <w:rsid w:val="004229CC"/>
    <w:rsid w:val="00422B58"/>
    <w:rsid w:val="00424A92"/>
    <w:rsid w:val="00424C13"/>
    <w:rsid w:val="00424CDB"/>
    <w:rsid w:val="00424F2A"/>
    <w:rsid w:val="00425247"/>
    <w:rsid w:val="00425AC9"/>
    <w:rsid w:val="0042611E"/>
    <w:rsid w:val="00430160"/>
    <w:rsid w:val="00430948"/>
    <w:rsid w:val="00430B68"/>
    <w:rsid w:val="00432888"/>
    <w:rsid w:val="00433EB5"/>
    <w:rsid w:val="00434073"/>
    <w:rsid w:val="004347C3"/>
    <w:rsid w:val="00434999"/>
    <w:rsid w:val="0043587B"/>
    <w:rsid w:val="004360C8"/>
    <w:rsid w:val="00437F66"/>
    <w:rsid w:val="00440525"/>
    <w:rsid w:val="00440AC7"/>
    <w:rsid w:val="004412C4"/>
    <w:rsid w:val="00442851"/>
    <w:rsid w:val="00442982"/>
    <w:rsid w:val="00443DC6"/>
    <w:rsid w:val="00444711"/>
    <w:rsid w:val="00444BDE"/>
    <w:rsid w:val="00446888"/>
    <w:rsid w:val="00446A37"/>
    <w:rsid w:val="00450A16"/>
    <w:rsid w:val="00451DC1"/>
    <w:rsid w:val="00452BD9"/>
    <w:rsid w:val="00452FAD"/>
    <w:rsid w:val="00453186"/>
    <w:rsid w:val="00453283"/>
    <w:rsid w:val="004537D8"/>
    <w:rsid w:val="0045420B"/>
    <w:rsid w:val="00454794"/>
    <w:rsid w:val="00454AE4"/>
    <w:rsid w:val="00454D43"/>
    <w:rsid w:val="004551C0"/>
    <w:rsid w:val="004554CA"/>
    <w:rsid w:val="00455B1D"/>
    <w:rsid w:val="00455CB2"/>
    <w:rsid w:val="00455ED2"/>
    <w:rsid w:val="00456748"/>
    <w:rsid w:val="00460505"/>
    <w:rsid w:val="00461C95"/>
    <w:rsid w:val="00461DFB"/>
    <w:rsid w:val="00465470"/>
    <w:rsid w:val="004658AD"/>
    <w:rsid w:val="004668E6"/>
    <w:rsid w:val="00470380"/>
    <w:rsid w:val="00470908"/>
    <w:rsid w:val="00471030"/>
    <w:rsid w:val="0047145B"/>
    <w:rsid w:val="00471A73"/>
    <w:rsid w:val="00472003"/>
    <w:rsid w:val="004722DB"/>
    <w:rsid w:val="004723DF"/>
    <w:rsid w:val="00473B4D"/>
    <w:rsid w:val="00473E8A"/>
    <w:rsid w:val="004744DF"/>
    <w:rsid w:val="00474EBB"/>
    <w:rsid w:val="00475E87"/>
    <w:rsid w:val="00476170"/>
    <w:rsid w:val="0047688A"/>
    <w:rsid w:val="00477616"/>
    <w:rsid w:val="00480066"/>
    <w:rsid w:val="00480530"/>
    <w:rsid w:val="00480605"/>
    <w:rsid w:val="00480B42"/>
    <w:rsid w:val="00480BDD"/>
    <w:rsid w:val="00481BE7"/>
    <w:rsid w:val="00482C2D"/>
    <w:rsid w:val="0048334F"/>
    <w:rsid w:val="0048419A"/>
    <w:rsid w:val="004850D1"/>
    <w:rsid w:val="00485B17"/>
    <w:rsid w:val="00485BB4"/>
    <w:rsid w:val="00486FE0"/>
    <w:rsid w:val="004871C4"/>
    <w:rsid w:val="00487B62"/>
    <w:rsid w:val="00490249"/>
    <w:rsid w:val="00492795"/>
    <w:rsid w:val="004943DC"/>
    <w:rsid w:val="00494425"/>
    <w:rsid w:val="00494552"/>
    <w:rsid w:val="00495BCB"/>
    <w:rsid w:val="00495D6A"/>
    <w:rsid w:val="00496702"/>
    <w:rsid w:val="00496ABD"/>
    <w:rsid w:val="00496E02"/>
    <w:rsid w:val="0049705F"/>
    <w:rsid w:val="00497727"/>
    <w:rsid w:val="004A0554"/>
    <w:rsid w:val="004A0BA5"/>
    <w:rsid w:val="004A138E"/>
    <w:rsid w:val="004A17B7"/>
    <w:rsid w:val="004A336D"/>
    <w:rsid w:val="004A36FE"/>
    <w:rsid w:val="004A4022"/>
    <w:rsid w:val="004A43E5"/>
    <w:rsid w:val="004A5874"/>
    <w:rsid w:val="004A5EF0"/>
    <w:rsid w:val="004A637E"/>
    <w:rsid w:val="004A664F"/>
    <w:rsid w:val="004A6A85"/>
    <w:rsid w:val="004A6ECB"/>
    <w:rsid w:val="004B0CAE"/>
    <w:rsid w:val="004B1082"/>
    <w:rsid w:val="004B2C43"/>
    <w:rsid w:val="004B2F9B"/>
    <w:rsid w:val="004B3619"/>
    <w:rsid w:val="004B36AB"/>
    <w:rsid w:val="004B42E4"/>
    <w:rsid w:val="004B4791"/>
    <w:rsid w:val="004B4813"/>
    <w:rsid w:val="004B66FF"/>
    <w:rsid w:val="004B6FB5"/>
    <w:rsid w:val="004B73C6"/>
    <w:rsid w:val="004B75CE"/>
    <w:rsid w:val="004B7751"/>
    <w:rsid w:val="004C04F2"/>
    <w:rsid w:val="004C095B"/>
    <w:rsid w:val="004C0CDD"/>
    <w:rsid w:val="004C101A"/>
    <w:rsid w:val="004C1213"/>
    <w:rsid w:val="004C12E4"/>
    <w:rsid w:val="004C379E"/>
    <w:rsid w:val="004C3F7A"/>
    <w:rsid w:val="004C5482"/>
    <w:rsid w:val="004C5C99"/>
    <w:rsid w:val="004C5FBD"/>
    <w:rsid w:val="004C7344"/>
    <w:rsid w:val="004D04E4"/>
    <w:rsid w:val="004D08FC"/>
    <w:rsid w:val="004D092C"/>
    <w:rsid w:val="004D2340"/>
    <w:rsid w:val="004D3AAC"/>
    <w:rsid w:val="004D447A"/>
    <w:rsid w:val="004D4A67"/>
    <w:rsid w:val="004D5E82"/>
    <w:rsid w:val="004D60F4"/>
    <w:rsid w:val="004D6242"/>
    <w:rsid w:val="004D6407"/>
    <w:rsid w:val="004E01B4"/>
    <w:rsid w:val="004E029A"/>
    <w:rsid w:val="004E0C85"/>
    <w:rsid w:val="004E0D40"/>
    <w:rsid w:val="004E1C28"/>
    <w:rsid w:val="004E1C31"/>
    <w:rsid w:val="004E2A04"/>
    <w:rsid w:val="004E2AAF"/>
    <w:rsid w:val="004E306D"/>
    <w:rsid w:val="004E325A"/>
    <w:rsid w:val="004E36CE"/>
    <w:rsid w:val="004E3F41"/>
    <w:rsid w:val="004E607C"/>
    <w:rsid w:val="004E61BC"/>
    <w:rsid w:val="004E61EF"/>
    <w:rsid w:val="004E75EA"/>
    <w:rsid w:val="004E7AA8"/>
    <w:rsid w:val="004E7B1B"/>
    <w:rsid w:val="004F0B4E"/>
    <w:rsid w:val="004F1704"/>
    <w:rsid w:val="004F17FC"/>
    <w:rsid w:val="004F3F0F"/>
    <w:rsid w:val="004F44A6"/>
    <w:rsid w:val="004F5C88"/>
    <w:rsid w:val="004F5E98"/>
    <w:rsid w:val="004F61A5"/>
    <w:rsid w:val="004F7F89"/>
    <w:rsid w:val="005023B9"/>
    <w:rsid w:val="00502624"/>
    <w:rsid w:val="00502921"/>
    <w:rsid w:val="00502F08"/>
    <w:rsid w:val="00503E3A"/>
    <w:rsid w:val="00504167"/>
    <w:rsid w:val="00504ADB"/>
    <w:rsid w:val="00505E67"/>
    <w:rsid w:val="00506142"/>
    <w:rsid w:val="005066C1"/>
    <w:rsid w:val="005101AA"/>
    <w:rsid w:val="00510462"/>
    <w:rsid w:val="005119EA"/>
    <w:rsid w:val="005123A6"/>
    <w:rsid w:val="00512474"/>
    <w:rsid w:val="00513073"/>
    <w:rsid w:val="00513FB7"/>
    <w:rsid w:val="00514162"/>
    <w:rsid w:val="00514507"/>
    <w:rsid w:val="00514EDF"/>
    <w:rsid w:val="0051657E"/>
    <w:rsid w:val="00521CB1"/>
    <w:rsid w:val="00521EA9"/>
    <w:rsid w:val="00522860"/>
    <w:rsid w:val="00522B71"/>
    <w:rsid w:val="0052334C"/>
    <w:rsid w:val="0052364B"/>
    <w:rsid w:val="00524253"/>
    <w:rsid w:val="00524A84"/>
    <w:rsid w:val="00525325"/>
    <w:rsid w:val="0052595E"/>
    <w:rsid w:val="00525EC1"/>
    <w:rsid w:val="00526615"/>
    <w:rsid w:val="00526A5B"/>
    <w:rsid w:val="00527C19"/>
    <w:rsid w:val="00527C3A"/>
    <w:rsid w:val="005323CC"/>
    <w:rsid w:val="00532835"/>
    <w:rsid w:val="0053317A"/>
    <w:rsid w:val="00534223"/>
    <w:rsid w:val="005345C6"/>
    <w:rsid w:val="0053715D"/>
    <w:rsid w:val="00540FE7"/>
    <w:rsid w:val="005414D8"/>
    <w:rsid w:val="00541FDA"/>
    <w:rsid w:val="00542AEB"/>
    <w:rsid w:val="00543F40"/>
    <w:rsid w:val="00544169"/>
    <w:rsid w:val="00544D4F"/>
    <w:rsid w:val="0054556A"/>
    <w:rsid w:val="00545DD8"/>
    <w:rsid w:val="005463EC"/>
    <w:rsid w:val="00546B7E"/>
    <w:rsid w:val="0054713E"/>
    <w:rsid w:val="00547C0F"/>
    <w:rsid w:val="00547D09"/>
    <w:rsid w:val="00550306"/>
    <w:rsid w:val="00550562"/>
    <w:rsid w:val="005519A2"/>
    <w:rsid w:val="00551ED0"/>
    <w:rsid w:val="005522B8"/>
    <w:rsid w:val="00553096"/>
    <w:rsid w:val="00555374"/>
    <w:rsid w:val="0055567A"/>
    <w:rsid w:val="00555A81"/>
    <w:rsid w:val="00556BCE"/>
    <w:rsid w:val="005611C6"/>
    <w:rsid w:val="005617C0"/>
    <w:rsid w:val="00561E2F"/>
    <w:rsid w:val="00562187"/>
    <w:rsid w:val="005622A1"/>
    <w:rsid w:val="00563F66"/>
    <w:rsid w:val="00564538"/>
    <w:rsid w:val="0056480E"/>
    <w:rsid w:val="00564BE1"/>
    <w:rsid w:val="005676BA"/>
    <w:rsid w:val="0056789A"/>
    <w:rsid w:val="005678B9"/>
    <w:rsid w:val="005703A7"/>
    <w:rsid w:val="00570869"/>
    <w:rsid w:val="00571E4C"/>
    <w:rsid w:val="00572153"/>
    <w:rsid w:val="0057455B"/>
    <w:rsid w:val="0057499D"/>
    <w:rsid w:val="00575801"/>
    <w:rsid w:val="005759A9"/>
    <w:rsid w:val="00575D10"/>
    <w:rsid w:val="005760C5"/>
    <w:rsid w:val="00576D56"/>
    <w:rsid w:val="00577451"/>
    <w:rsid w:val="00577CA8"/>
    <w:rsid w:val="005806AC"/>
    <w:rsid w:val="00580954"/>
    <w:rsid w:val="00581498"/>
    <w:rsid w:val="0058264B"/>
    <w:rsid w:val="00582A7A"/>
    <w:rsid w:val="00582D2D"/>
    <w:rsid w:val="00582FE4"/>
    <w:rsid w:val="0058354B"/>
    <w:rsid w:val="00583722"/>
    <w:rsid w:val="00584394"/>
    <w:rsid w:val="00584AC7"/>
    <w:rsid w:val="005852D0"/>
    <w:rsid w:val="005855EB"/>
    <w:rsid w:val="00587FE9"/>
    <w:rsid w:val="0059069C"/>
    <w:rsid w:val="00590916"/>
    <w:rsid w:val="005912E5"/>
    <w:rsid w:val="00591E35"/>
    <w:rsid w:val="0059345B"/>
    <w:rsid w:val="005935F6"/>
    <w:rsid w:val="00594A26"/>
    <w:rsid w:val="00594D61"/>
    <w:rsid w:val="00595481"/>
    <w:rsid w:val="00595EC8"/>
    <w:rsid w:val="0059725C"/>
    <w:rsid w:val="0059731E"/>
    <w:rsid w:val="00597380"/>
    <w:rsid w:val="005975A7"/>
    <w:rsid w:val="005A06AD"/>
    <w:rsid w:val="005A1F87"/>
    <w:rsid w:val="005A3F34"/>
    <w:rsid w:val="005A4E38"/>
    <w:rsid w:val="005A59B3"/>
    <w:rsid w:val="005A6C7B"/>
    <w:rsid w:val="005A739E"/>
    <w:rsid w:val="005B007E"/>
    <w:rsid w:val="005B290A"/>
    <w:rsid w:val="005B2A71"/>
    <w:rsid w:val="005B2D0E"/>
    <w:rsid w:val="005B3C75"/>
    <w:rsid w:val="005B4861"/>
    <w:rsid w:val="005B4ADD"/>
    <w:rsid w:val="005B4BB8"/>
    <w:rsid w:val="005B4E9A"/>
    <w:rsid w:val="005C0490"/>
    <w:rsid w:val="005C16EE"/>
    <w:rsid w:val="005C1C91"/>
    <w:rsid w:val="005C20A6"/>
    <w:rsid w:val="005C2946"/>
    <w:rsid w:val="005C3153"/>
    <w:rsid w:val="005C367E"/>
    <w:rsid w:val="005C399E"/>
    <w:rsid w:val="005C3C10"/>
    <w:rsid w:val="005C3E35"/>
    <w:rsid w:val="005C467A"/>
    <w:rsid w:val="005C4B43"/>
    <w:rsid w:val="005C5DAE"/>
    <w:rsid w:val="005C60F7"/>
    <w:rsid w:val="005C66F6"/>
    <w:rsid w:val="005C69FC"/>
    <w:rsid w:val="005D1300"/>
    <w:rsid w:val="005D23BC"/>
    <w:rsid w:val="005D28BA"/>
    <w:rsid w:val="005D3974"/>
    <w:rsid w:val="005D5367"/>
    <w:rsid w:val="005D5873"/>
    <w:rsid w:val="005D678C"/>
    <w:rsid w:val="005D6FFD"/>
    <w:rsid w:val="005D70BE"/>
    <w:rsid w:val="005D7493"/>
    <w:rsid w:val="005D76C4"/>
    <w:rsid w:val="005D7DAE"/>
    <w:rsid w:val="005E0050"/>
    <w:rsid w:val="005E082D"/>
    <w:rsid w:val="005E0E10"/>
    <w:rsid w:val="005E2AFD"/>
    <w:rsid w:val="005E432E"/>
    <w:rsid w:val="005E4C38"/>
    <w:rsid w:val="005E54C2"/>
    <w:rsid w:val="005E62C7"/>
    <w:rsid w:val="005E64A6"/>
    <w:rsid w:val="005E696C"/>
    <w:rsid w:val="005E6B21"/>
    <w:rsid w:val="005E7122"/>
    <w:rsid w:val="005E7361"/>
    <w:rsid w:val="005E7D5A"/>
    <w:rsid w:val="005E7DB0"/>
    <w:rsid w:val="005F0712"/>
    <w:rsid w:val="005F0DD1"/>
    <w:rsid w:val="005F210E"/>
    <w:rsid w:val="005F37CF"/>
    <w:rsid w:val="005F40BD"/>
    <w:rsid w:val="005F40DB"/>
    <w:rsid w:val="005F4495"/>
    <w:rsid w:val="005F4BE1"/>
    <w:rsid w:val="005F514C"/>
    <w:rsid w:val="005F5E47"/>
    <w:rsid w:val="005F5F65"/>
    <w:rsid w:val="005F67AD"/>
    <w:rsid w:val="005F6FE4"/>
    <w:rsid w:val="005F7E1D"/>
    <w:rsid w:val="006011C1"/>
    <w:rsid w:val="00601B28"/>
    <w:rsid w:val="00602E7E"/>
    <w:rsid w:val="006030EE"/>
    <w:rsid w:val="0060381D"/>
    <w:rsid w:val="00604AD8"/>
    <w:rsid w:val="00604C48"/>
    <w:rsid w:val="00604FE6"/>
    <w:rsid w:val="00605DC9"/>
    <w:rsid w:val="00606792"/>
    <w:rsid w:val="00607B05"/>
    <w:rsid w:val="00607C28"/>
    <w:rsid w:val="00612419"/>
    <w:rsid w:val="00612A06"/>
    <w:rsid w:val="00612AE7"/>
    <w:rsid w:val="00612B63"/>
    <w:rsid w:val="00612EC2"/>
    <w:rsid w:val="00614188"/>
    <w:rsid w:val="0061440A"/>
    <w:rsid w:val="00614E2F"/>
    <w:rsid w:val="00615239"/>
    <w:rsid w:val="0061579B"/>
    <w:rsid w:val="00615F94"/>
    <w:rsid w:val="0061660C"/>
    <w:rsid w:val="00616C1F"/>
    <w:rsid w:val="00616FC4"/>
    <w:rsid w:val="00617237"/>
    <w:rsid w:val="006202DE"/>
    <w:rsid w:val="00620425"/>
    <w:rsid w:val="00620584"/>
    <w:rsid w:val="00620820"/>
    <w:rsid w:val="00621D3A"/>
    <w:rsid w:val="00621F91"/>
    <w:rsid w:val="00622A5C"/>
    <w:rsid w:val="00622A66"/>
    <w:rsid w:val="0062374B"/>
    <w:rsid w:val="006243A8"/>
    <w:rsid w:val="0062457E"/>
    <w:rsid w:val="00625481"/>
    <w:rsid w:val="00625D1A"/>
    <w:rsid w:val="0062624A"/>
    <w:rsid w:val="00626C06"/>
    <w:rsid w:val="00627226"/>
    <w:rsid w:val="0063055C"/>
    <w:rsid w:val="006306CB"/>
    <w:rsid w:val="00630782"/>
    <w:rsid w:val="00630E81"/>
    <w:rsid w:val="00630FE1"/>
    <w:rsid w:val="0063105D"/>
    <w:rsid w:val="006323E6"/>
    <w:rsid w:val="00632565"/>
    <w:rsid w:val="00633472"/>
    <w:rsid w:val="006339BC"/>
    <w:rsid w:val="00634035"/>
    <w:rsid w:val="0063404C"/>
    <w:rsid w:val="00634488"/>
    <w:rsid w:val="0063451B"/>
    <w:rsid w:val="0063563A"/>
    <w:rsid w:val="00635C21"/>
    <w:rsid w:val="00635C71"/>
    <w:rsid w:val="00635E7B"/>
    <w:rsid w:val="00635ED9"/>
    <w:rsid w:val="00635FEA"/>
    <w:rsid w:val="00636737"/>
    <w:rsid w:val="006413E2"/>
    <w:rsid w:val="006416CC"/>
    <w:rsid w:val="00641DCC"/>
    <w:rsid w:val="00642C1E"/>
    <w:rsid w:val="00642D92"/>
    <w:rsid w:val="00643011"/>
    <w:rsid w:val="006435FD"/>
    <w:rsid w:val="00643A45"/>
    <w:rsid w:val="00644DBD"/>
    <w:rsid w:val="00645045"/>
    <w:rsid w:val="006450DE"/>
    <w:rsid w:val="0064552B"/>
    <w:rsid w:val="006457AA"/>
    <w:rsid w:val="00645D5A"/>
    <w:rsid w:val="00646B6E"/>
    <w:rsid w:val="00646D31"/>
    <w:rsid w:val="00647EDD"/>
    <w:rsid w:val="00651477"/>
    <w:rsid w:val="006536DB"/>
    <w:rsid w:val="0065378B"/>
    <w:rsid w:val="00653A02"/>
    <w:rsid w:val="00654043"/>
    <w:rsid w:val="006547B8"/>
    <w:rsid w:val="00655032"/>
    <w:rsid w:val="006554B2"/>
    <w:rsid w:val="00655B0E"/>
    <w:rsid w:val="00655B56"/>
    <w:rsid w:val="00655D86"/>
    <w:rsid w:val="00656ECF"/>
    <w:rsid w:val="006573AE"/>
    <w:rsid w:val="006576B3"/>
    <w:rsid w:val="00657CA4"/>
    <w:rsid w:val="00660C13"/>
    <w:rsid w:val="00661680"/>
    <w:rsid w:val="006622B3"/>
    <w:rsid w:val="00662481"/>
    <w:rsid w:val="00663009"/>
    <w:rsid w:val="00664007"/>
    <w:rsid w:val="006656FA"/>
    <w:rsid w:val="0066572A"/>
    <w:rsid w:val="00665AF6"/>
    <w:rsid w:val="00665AFB"/>
    <w:rsid w:val="006666A8"/>
    <w:rsid w:val="00666B25"/>
    <w:rsid w:val="00667E5A"/>
    <w:rsid w:val="006718CF"/>
    <w:rsid w:val="00673146"/>
    <w:rsid w:val="00673FEA"/>
    <w:rsid w:val="00674BD5"/>
    <w:rsid w:val="0067519C"/>
    <w:rsid w:val="006769DB"/>
    <w:rsid w:val="00676C52"/>
    <w:rsid w:val="0067767A"/>
    <w:rsid w:val="006808B4"/>
    <w:rsid w:val="00681ED8"/>
    <w:rsid w:val="00682834"/>
    <w:rsid w:val="00682E4D"/>
    <w:rsid w:val="006832E2"/>
    <w:rsid w:val="00683428"/>
    <w:rsid w:val="006836F2"/>
    <w:rsid w:val="00683BE3"/>
    <w:rsid w:val="0068490D"/>
    <w:rsid w:val="00684963"/>
    <w:rsid w:val="00684C14"/>
    <w:rsid w:val="00684F4A"/>
    <w:rsid w:val="0068545B"/>
    <w:rsid w:val="006865D3"/>
    <w:rsid w:val="00686A81"/>
    <w:rsid w:val="0069039D"/>
    <w:rsid w:val="006909C9"/>
    <w:rsid w:val="0069110E"/>
    <w:rsid w:val="00691E1F"/>
    <w:rsid w:val="0069260D"/>
    <w:rsid w:val="00693A99"/>
    <w:rsid w:val="00693B2D"/>
    <w:rsid w:val="006955CE"/>
    <w:rsid w:val="006965C1"/>
    <w:rsid w:val="00696F8E"/>
    <w:rsid w:val="0069715E"/>
    <w:rsid w:val="006971EC"/>
    <w:rsid w:val="00697565"/>
    <w:rsid w:val="006A078D"/>
    <w:rsid w:val="006A0D52"/>
    <w:rsid w:val="006A0FB4"/>
    <w:rsid w:val="006A3104"/>
    <w:rsid w:val="006A4359"/>
    <w:rsid w:val="006A50B8"/>
    <w:rsid w:val="006A6A65"/>
    <w:rsid w:val="006A7C26"/>
    <w:rsid w:val="006B01B2"/>
    <w:rsid w:val="006B020F"/>
    <w:rsid w:val="006B032A"/>
    <w:rsid w:val="006B0445"/>
    <w:rsid w:val="006B0A17"/>
    <w:rsid w:val="006B170A"/>
    <w:rsid w:val="006B178F"/>
    <w:rsid w:val="006B2999"/>
    <w:rsid w:val="006B32C0"/>
    <w:rsid w:val="006B3841"/>
    <w:rsid w:val="006B39EE"/>
    <w:rsid w:val="006B3B0F"/>
    <w:rsid w:val="006B3BFE"/>
    <w:rsid w:val="006B41D2"/>
    <w:rsid w:val="006B66A4"/>
    <w:rsid w:val="006B68F2"/>
    <w:rsid w:val="006B6B60"/>
    <w:rsid w:val="006B7182"/>
    <w:rsid w:val="006B7EE0"/>
    <w:rsid w:val="006C0733"/>
    <w:rsid w:val="006C08B3"/>
    <w:rsid w:val="006C0D2B"/>
    <w:rsid w:val="006C3715"/>
    <w:rsid w:val="006C3DE9"/>
    <w:rsid w:val="006C4060"/>
    <w:rsid w:val="006C4FC7"/>
    <w:rsid w:val="006C4FE0"/>
    <w:rsid w:val="006C7130"/>
    <w:rsid w:val="006C73E0"/>
    <w:rsid w:val="006C7B30"/>
    <w:rsid w:val="006D1D9C"/>
    <w:rsid w:val="006D3639"/>
    <w:rsid w:val="006D43F0"/>
    <w:rsid w:val="006D5B05"/>
    <w:rsid w:val="006D69EC"/>
    <w:rsid w:val="006D75EF"/>
    <w:rsid w:val="006D7B6F"/>
    <w:rsid w:val="006E0236"/>
    <w:rsid w:val="006E06C6"/>
    <w:rsid w:val="006E1155"/>
    <w:rsid w:val="006E2010"/>
    <w:rsid w:val="006E2109"/>
    <w:rsid w:val="006E3D96"/>
    <w:rsid w:val="006E425E"/>
    <w:rsid w:val="006E4486"/>
    <w:rsid w:val="006E4500"/>
    <w:rsid w:val="006E46FE"/>
    <w:rsid w:val="006E5464"/>
    <w:rsid w:val="006E6017"/>
    <w:rsid w:val="006E612A"/>
    <w:rsid w:val="006E6D82"/>
    <w:rsid w:val="006F0137"/>
    <w:rsid w:val="006F0708"/>
    <w:rsid w:val="006F0F3E"/>
    <w:rsid w:val="006F1744"/>
    <w:rsid w:val="006F1E3B"/>
    <w:rsid w:val="006F38A7"/>
    <w:rsid w:val="006F3972"/>
    <w:rsid w:val="006F46AB"/>
    <w:rsid w:val="006F4D0A"/>
    <w:rsid w:val="006F4DAA"/>
    <w:rsid w:val="006F5168"/>
    <w:rsid w:val="006F51D9"/>
    <w:rsid w:val="006F54A1"/>
    <w:rsid w:val="006F5660"/>
    <w:rsid w:val="006F714C"/>
    <w:rsid w:val="006F7BC7"/>
    <w:rsid w:val="00700621"/>
    <w:rsid w:val="007006D0"/>
    <w:rsid w:val="00700D35"/>
    <w:rsid w:val="007012F0"/>
    <w:rsid w:val="00701FE4"/>
    <w:rsid w:val="00702F62"/>
    <w:rsid w:val="007036A6"/>
    <w:rsid w:val="007058AE"/>
    <w:rsid w:val="007062CC"/>
    <w:rsid w:val="00706C1B"/>
    <w:rsid w:val="00710627"/>
    <w:rsid w:val="007106A0"/>
    <w:rsid w:val="00710AA6"/>
    <w:rsid w:val="0071185D"/>
    <w:rsid w:val="00712BA7"/>
    <w:rsid w:val="0071413B"/>
    <w:rsid w:val="00714BDB"/>
    <w:rsid w:val="0072172E"/>
    <w:rsid w:val="00721D76"/>
    <w:rsid w:val="00721DE0"/>
    <w:rsid w:val="00722A03"/>
    <w:rsid w:val="0072443B"/>
    <w:rsid w:val="00725C7A"/>
    <w:rsid w:val="00725E2F"/>
    <w:rsid w:val="007260F0"/>
    <w:rsid w:val="00727419"/>
    <w:rsid w:val="00730A7F"/>
    <w:rsid w:val="00730D08"/>
    <w:rsid w:val="0073106B"/>
    <w:rsid w:val="00733227"/>
    <w:rsid w:val="00733C23"/>
    <w:rsid w:val="00736A8C"/>
    <w:rsid w:val="00736BFD"/>
    <w:rsid w:val="00736EFF"/>
    <w:rsid w:val="00737950"/>
    <w:rsid w:val="00737CAA"/>
    <w:rsid w:val="00737E1B"/>
    <w:rsid w:val="007400FF"/>
    <w:rsid w:val="0074015C"/>
    <w:rsid w:val="00740C90"/>
    <w:rsid w:val="00741B4F"/>
    <w:rsid w:val="007423FF"/>
    <w:rsid w:val="0074318B"/>
    <w:rsid w:val="00743F07"/>
    <w:rsid w:val="00744193"/>
    <w:rsid w:val="0074434E"/>
    <w:rsid w:val="00744EA1"/>
    <w:rsid w:val="00745C2E"/>
    <w:rsid w:val="00747129"/>
    <w:rsid w:val="00747225"/>
    <w:rsid w:val="00747453"/>
    <w:rsid w:val="00747C31"/>
    <w:rsid w:val="00747DBB"/>
    <w:rsid w:val="00747DCC"/>
    <w:rsid w:val="00750028"/>
    <w:rsid w:val="00750991"/>
    <w:rsid w:val="007512CB"/>
    <w:rsid w:val="00752428"/>
    <w:rsid w:val="007526F8"/>
    <w:rsid w:val="007529D6"/>
    <w:rsid w:val="00753C86"/>
    <w:rsid w:val="00753EC6"/>
    <w:rsid w:val="00754430"/>
    <w:rsid w:val="0075552E"/>
    <w:rsid w:val="00755541"/>
    <w:rsid w:val="007560CE"/>
    <w:rsid w:val="0075707D"/>
    <w:rsid w:val="00757888"/>
    <w:rsid w:val="00757DE9"/>
    <w:rsid w:val="007603ED"/>
    <w:rsid w:val="00760912"/>
    <w:rsid w:val="00760E1F"/>
    <w:rsid w:val="00760F4A"/>
    <w:rsid w:val="0076153F"/>
    <w:rsid w:val="00761633"/>
    <w:rsid w:val="00761837"/>
    <w:rsid w:val="00761E4C"/>
    <w:rsid w:val="0076226F"/>
    <w:rsid w:val="00764A5C"/>
    <w:rsid w:val="00765D4A"/>
    <w:rsid w:val="007661F9"/>
    <w:rsid w:val="00767D0C"/>
    <w:rsid w:val="00770D4B"/>
    <w:rsid w:val="007713AD"/>
    <w:rsid w:val="00772CDD"/>
    <w:rsid w:val="00772FE7"/>
    <w:rsid w:val="0077334A"/>
    <w:rsid w:val="00773818"/>
    <w:rsid w:val="00774C4D"/>
    <w:rsid w:val="00774C7C"/>
    <w:rsid w:val="00775807"/>
    <w:rsid w:val="007759D7"/>
    <w:rsid w:val="00776746"/>
    <w:rsid w:val="00776A07"/>
    <w:rsid w:val="00777F57"/>
    <w:rsid w:val="00780C07"/>
    <w:rsid w:val="007823D8"/>
    <w:rsid w:val="007834CE"/>
    <w:rsid w:val="00783662"/>
    <w:rsid w:val="007837D1"/>
    <w:rsid w:val="00783EAB"/>
    <w:rsid w:val="0078448A"/>
    <w:rsid w:val="007848E0"/>
    <w:rsid w:val="00784AA6"/>
    <w:rsid w:val="00785DA6"/>
    <w:rsid w:val="00786592"/>
    <w:rsid w:val="00786BF8"/>
    <w:rsid w:val="00791800"/>
    <w:rsid w:val="00791D67"/>
    <w:rsid w:val="00792491"/>
    <w:rsid w:val="0079304C"/>
    <w:rsid w:val="0079317B"/>
    <w:rsid w:val="0079544F"/>
    <w:rsid w:val="00795456"/>
    <w:rsid w:val="007959CA"/>
    <w:rsid w:val="00795A6B"/>
    <w:rsid w:val="00795EED"/>
    <w:rsid w:val="00795F6C"/>
    <w:rsid w:val="00796209"/>
    <w:rsid w:val="00796F0E"/>
    <w:rsid w:val="007973AD"/>
    <w:rsid w:val="007A02BB"/>
    <w:rsid w:val="007A09FF"/>
    <w:rsid w:val="007A0A6A"/>
    <w:rsid w:val="007A0CBA"/>
    <w:rsid w:val="007A0DFB"/>
    <w:rsid w:val="007A1488"/>
    <w:rsid w:val="007A14C0"/>
    <w:rsid w:val="007A2F62"/>
    <w:rsid w:val="007A30B5"/>
    <w:rsid w:val="007A4E7B"/>
    <w:rsid w:val="007A60B0"/>
    <w:rsid w:val="007A63C9"/>
    <w:rsid w:val="007A77CA"/>
    <w:rsid w:val="007B0640"/>
    <w:rsid w:val="007B1063"/>
    <w:rsid w:val="007B14C2"/>
    <w:rsid w:val="007B1A0F"/>
    <w:rsid w:val="007B1BB3"/>
    <w:rsid w:val="007B1D4A"/>
    <w:rsid w:val="007B3A52"/>
    <w:rsid w:val="007B52A5"/>
    <w:rsid w:val="007B52F2"/>
    <w:rsid w:val="007B537A"/>
    <w:rsid w:val="007B5C5D"/>
    <w:rsid w:val="007B5D19"/>
    <w:rsid w:val="007B6579"/>
    <w:rsid w:val="007C04E8"/>
    <w:rsid w:val="007C115C"/>
    <w:rsid w:val="007C283A"/>
    <w:rsid w:val="007C29BD"/>
    <w:rsid w:val="007C52D8"/>
    <w:rsid w:val="007C5B9A"/>
    <w:rsid w:val="007C61C4"/>
    <w:rsid w:val="007C746F"/>
    <w:rsid w:val="007D0278"/>
    <w:rsid w:val="007D0440"/>
    <w:rsid w:val="007D0D11"/>
    <w:rsid w:val="007D11A9"/>
    <w:rsid w:val="007D1B0A"/>
    <w:rsid w:val="007D1BB2"/>
    <w:rsid w:val="007D1CCE"/>
    <w:rsid w:val="007D1D18"/>
    <w:rsid w:val="007D1DD2"/>
    <w:rsid w:val="007D2258"/>
    <w:rsid w:val="007D2C27"/>
    <w:rsid w:val="007D3273"/>
    <w:rsid w:val="007D47B5"/>
    <w:rsid w:val="007D523A"/>
    <w:rsid w:val="007D5333"/>
    <w:rsid w:val="007D5738"/>
    <w:rsid w:val="007D7620"/>
    <w:rsid w:val="007D7736"/>
    <w:rsid w:val="007E117B"/>
    <w:rsid w:val="007E16AD"/>
    <w:rsid w:val="007E1808"/>
    <w:rsid w:val="007E1DBA"/>
    <w:rsid w:val="007E1F52"/>
    <w:rsid w:val="007E2BB2"/>
    <w:rsid w:val="007E2E75"/>
    <w:rsid w:val="007E416D"/>
    <w:rsid w:val="007E430A"/>
    <w:rsid w:val="007E43E6"/>
    <w:rsid w:val="007E4D3D"/>
    <w:rsid w:val="007E5AC5"/>
    <w:rsid w:val="007E62C8"/>
    <w:rsid w:val="007E6C5E"/>
    <w:rsid w:val="007E6FE0"/>
    <w:rsid w:val="007E78AB"/>
    <w:rsid w:val="007E7925"/>
    <w:rsid w:val="007E799F"/>
    <w:rsid w:val="007E7A83"/>
    <w:rsid w:val="007E7F07"/>
    <w:rsid w:val="007F0DC1"/>
    <w:rsid w:val="007F0E09"/>
    <w:rsid w:val="007F18F8"/>
    <w:rsid w:val="007F26E0"/>
    <w:rsid w:val="007F3413"/>
    <w:rsid w:val="007F47B8"/>
    <w:rsid w:val="007F5262"/>
    <w:rsid w:val="007F6163"/>
    <w:rsid w:val="007F65E0"/>
    <w:rsid w:val="007F6745"/>
    <w:rsid w:val="007F7C69"/>
    <w:rsid w:val="00800F3E"/>
    <w:rsid w:val="00800F56"/>
    <w:rsid w:val="00802538"/>
    <w:rsid w:val="0080275C"/>
    <w:rsid w:val="00802974"/>
    <w:rsid w:val="00802F0B"/>
    <w:rsid w:val="00803350"/>
    <w:rsid w:val="008040CD"/>
    <w:rsid w:val="00804331"/>
    <w:rsid w:val="008044F0"/>
    <w:rsid w:val="00804D0F"/>
    <w:rsid w:val="00804F0C"/>
    <w:rsid w:val="00806553"/>
    <w:rsid w:val="00807891"/>
    <w:rsid w:val="0081008E"/>
    <w:rsid w:val="00810C64"/>
    <w:rsid w:val="0081102D"/>
    <w:rsid w:val="0081167D"/>
    <w:rsid w:val="008119DD"/>
    <w:rsid w:val="008125E0"/>
    <w:rsid w:val="00813893"/>
    <w:rsid w:val="008138D3"/>
    <w:rsid w:val="00814341"/>
    <w:rsid w:val="008146BF"/>
    <w:rsid w:val="00815179"/>
    <w:rsid w:val="008154BF"/>
    <w:rsid w:val="008157F8"/>
    <w:rsid w:val="00816010"/>
    <w:rsid w:val="0081626C"/>
    <w:rsid w:val="00816D80"/>
    <w:rsid w:val="00817019"/>
    <w:rsid w:val="008172DF"/>
    <w:rsid w:val="00820009"/>
    <w:rsid w:val="00821DC3"/>
    <w:rsid w:val="00822538"/>
    <w:rsid w:val="00823114"/>
    <w:rsid w:val="0082365D"/>
    <w:rsid w:val="00823D63"/>
    <w:rsid w:val="008250A7"/>
    <w:rsid w:val="008252F7"/>
    <w:rsid w:val="00825906"/>
    <w:rsid w:val="00827514"/>
    <w:rsid w:val="00827828"/>
    <w:rsid w:val="008278AE"/>
    <w:rsid w:val="00830104"/>
    <w:rsid w:val="00830146"/>
    <w:rsid w:val="008304B1"/>
    <w:rsid w:val="00830926"/>
    <w:rsid w:val="00830F0C"/>
    <w:rsid w:val="00831D1E"/>
    <w:rsid w:val="00832613"/>
    <w:rsid w:val="00832D28"/>
    <w:rsid w:val="008332AB"/>
    <w:rsid w:val="0083362B"/>
    <w:rsid w:val="00833785"/>
    <w:rsid w:val="00833924"/>
    <w:rsid w:val="00834179"/>
    <w:rsid w:val="00834A6D"/>
    <w:rsid w:val="008353BE"/>
    <w:rsid w:val="0083589B"/>
    <w:rsid w:val="00835E17"/>
    <w:rsid w:val="00835F06"/>
    <w:rsid w:val="00836945"/>
    <w:rsid w:val="00836C01"/>
    <w:rsid w:val="00841492"/>
    <w:rsid w:val="008428CC"/>
    <w:rsid w:val="00842B9F"/>
    <w:rsid w:val="00842E25"/>
    <w:rsid w:val="00842EFB"/>
    <w:rsid w:val="0084334C"/>
    <w:rsid w:val="00844819"/>
    <w:rsid w:val="0084556A"/>
    <w:rsid w:val="00845A61"/>
    <w:rsid w:val="00846E18"/>
    <w:rsid w:val="00846FA6"/>
    <w:rsid w:val="00847F0C"/>
    <w:rsid w:val="00850BDB"/>
    <w:rsid w:val="0085183A"/>
    <w:rsid w:val="00852764"/>
    <w:rsid w:val="00852C97"/>
    <w:rsid w:val="00852D68"/>
    <w:rsid w:val="00853380"/>
    <w:rsid w:val="00853F19"/>
    <w:rsid w:val="008547AD"/>
    <w:rsid w:val="008549FD"/>
    <w:rsid w:val="00854E56"/>
    <w:rsid w:val="008556AE"/>
    <w:rsid w:val="00855739"/>
    <w:rsid w:val="008564BC"/>
    <w:rsid w:val="00856629"/>
    <w:rsid w:val="00857A6A"/>
    <w:rsid w:val="00857D3C"/>
    <w:rsid w:val="0086009F"/>
    <w:rsid w:val="0086078C"/>
    <w:rsid w:val="008607AE"/>
    <w:rsid w:val="00860F6D"/>
    <w:rsid w:val="00860F81"/>
    <w:rsid w:val="008616BD"/>
    <w:rsid w:val="0086232D"/>
    <w:rsid w:val="008627E2"/>
    <w:rsid w:val="0086325D"/>
    <w:rsid w:val="00863A35"/>
    <w:rsid w:val="00863E49"/>
    <w:rsid w:val="00864766"/>
    <w:rsid w:val="008648E2"/>
    <w:rsid w:val="00864F61"/>
    <w:rsid w:val="00865E26"/>
    <w:rsid w:val="008663FF"/>
    <w:rsid w:val="0086682B"/>
    <w:rsid w:val="008671E9"/>
    <w:rsid w:val="008673F5"/>
    <w:rsid w:val="00870136"/>
    <w:rsid w:val="00870A89"/>
    <w:rsid w:val="00870AA8"/>
    <w:rsid w:val="008715BC"/>
    <w:rsid w:val="00874575"/>
    <w:rsid w:val="00875CFD"/>
    <w:rsid w:val="00880AA3"/>
    <w:rsid w:val="008810BC"/>
    <w:rsid w:val="008813D6"/>
    <w:rsid w:val="0088190D"/>
    <w:rsid w:val="0088332D"/>
    <w:rsid w:val="00883367"/>
    <w:rsid w:val="00883AF1"/>
    <w:rsid w:val="00883B5B"/>
    <w:rsid w:val="00884A48"/>
    <w:rsid w:val="0088576A"/>
    <w:rsid w:val="0088585E"/>
    <w:rsid w:val="00885F49"/>
    <w:rsid w:val="008867D9"/>
    <w:rsid w:val="00886F15"/>
    <w:rsid w:val="00890840"/>
    <w:rsid w:val="008909D5"/>
    <w:rsid w:val="00890B85"/>
    <w:rsid w:val="00890C70"/>
    <w:rsid w:val="00890E47"/>
    <w:rsid w:val="00890FE7"/>
    <w:rsid w:val="008913DD"/>
    <w:rsid w:val="0089179F"/>
    <w:rsid w:val="00891FDC"/>
    <w:rsid w:val="00893CC4"/>
    <w:rsid w:val="008940A1"/>
    <w:rsid w:val="00894175"/>
    <w:rsid w:val="008944E1"/>
    <w:rsid w:val="00894EB2"/>
    <w:rsid w:val="00895E10"/>
    <w:rsid w:val="00896593"/>
    <w:rsid w:val="00896784"/>
    <w:rsid w:val="00896B38"/>
    <w:rsid w:val="00897F42"/>
    <w:rsid w:val="008A05B9"/>
    <w:rsid w:val="008A07FF"/>
    <w:rsid w:val="008A1230"/>
    <w:rsid w:val="008A14CE"/>
    <w:rsid w:val="008A18D0"/>
    <w:rsid w:val="008A4E39"/>
    <w:rsid w:val="008A5A94"/>
    <w:rsid w:val="008A6762"/>
    <w:rsid w:val="008A7167"/>
    <w:rsid w:val="008B1496"/>
    <w:rsid w:val="008B1B8E"/>
    <w:rsid w:val="008B26C4"/>
    <w:rsid w:val="008B294E"/>
    <w:rsid w:val="008B2C93"/>
    <w:rsid w:val="008B30A7"/>
    <w:rsid w:val="008B3A00"/>
    <w:rsid w:val="008B5B04"/>
    <w:rsid w:val="008B71BD"/>
    <w:rsid w:val="008B77FC"/>
    <w:rsid w:val="008C0139"/>
    <w:rsid w:val="008C07EB"/>
    <w:rsid w:val="008C0D34"/>
    <w:rsid w:val="008C107E"/>
    <w:rsid w:val="008C2576"/>
    <w:rsid w:val="008C2738"/>
    <w:rsid w:val="008C357C"/>
    <w:rsid w:val="008C39EC"/>
    <w:rsid w:val="008C59CC"/>
    <w:rsid w:val="008C5B0A"/>
    <w:rsid w:val="008C5B8F"/>
    <w:rsid w:val="008C7048"/>
    <w:rsid w:val="008C7F39"/>
    <w:rsid w:val="008D1DD0"/>
    <w:rsid w:val="008D26F7"/>
    <w:rsid w:val="008D3445"/>
    <w:rsid w:val="008D504F"/>
    <w:rsid w:val="008D759B"/>
    <w:rsid w:val="008E06E8"/>
    <w:rsid w:val="008E2247"/>
    <w:rsid w:val="008E25F3"/>
    <w:rsid w:val="008E26B1"/>
    <w:rsid w:val="008E2DD4"/>
    <w:rsid w:val="008E403F"/>
    <w:rsid w:val="008E4109"/>
    <w:rsid w:val="008E4291"/>
    <w:rsid w:val="008E4781"/>
    <w:rsid w:val="008E50AA"/>
    <w:rsid w:val="008E566E"/>
    <w:rsid w:val="008E584C"/>
    <w:rsid w:val="008E644F"/>
    <w:rsid w:val="008E6615"/>
    <w:rsid w:val="008E7083"/>
    <w:rsid w:val="008F07F1"/>
    <w:rsid w:val="008F162F"/>
    <w:rsid w:val="008F19DC"/>
    <w:rsid w:val="008F414F"/>
    <w:rsid w:val="008F462F"/>
    <w:rsid w:val="008F5B62"/>
    <w:rsid w:val="008F5C9D"/>
    <w:rsid w:val="008F73C8"/>
    <w:rsid w:val="00900B80"/>
    <w:rsid w:val="00900D22"/>
    <w:rsid w:val="00900E86"/>
    <w:rsid w:val="00901319"/>
    <w:rsid w:val="009028A0"/>
    <w:rsid w:val="00903090"/>
    <w:rsid w:val="00903911"/>
    <w:rsid w:val="00903AF6"/>
    <w:rsid w:val="0090523A"/>
    <w:rsid w:val="00905BF6"/>
    <w:rsid w:val="00905CDB"/>
    <w:rsid w:val="009063B8"/>
    <w:rsid w:val="009067E9"/>
    <w:rsid w:val="00906862"/>
    <w:rsid w:val="00906AFD"/>
    <w:rsid w:val="00906F6B"/>
    <w:rsid w:val="00911645"/>
    <w:rsid w:val="00911FB2"/>
    <w:rsid w:val="009133FB"/>
    <w:rsid w:val="00914404"/>
    <w:rsid w:val="009151F6"/>
    <w:rsid w:val="00917136"/>
    <w:rsid w:val="00920F56"/>
    <w:rsid w:val="00921D0C"/>
    <w:rsid w:val="0092221E"/>
    <w:rsid w:val="00923DEA"/>
    <w:rsid w:val="009242BD"/>
    <w:rsid w:val="00925061"/>
    <w:rsid w:val="009259C5"/>
    <w:rsid w:val="00925D03"/>
    <w:rsid w:val="0092658A"/>
    <w:rsid w:val="00926835"/>
    <w:rsid w:val="009268B2"/>
    <w:rsid w:val="00926AAA"/>
    <w:rsid w:val="00927485"/>
    <w:rsid w:val="00927AB7"/>
    <w:rsid w:val="0093133F"/>
    <w:rsid w:val="0093164B"/>
    <w:rsid w:val="009337B9"/>
    <w:rsid w:val="009338B1"/>
    <w:rsid w:val="00937125"/>
    <w:rsid w:val="00940C10"/>
    <w:rsid w:val="00941BE7"/>
    <w:rsid w:val="00942017"/>
    <w:rsid w:val="009423C6"/>
    <w:rsid w:val="00942523"/>
    <w:rsid w:val="00942A8D"/>
    <w:rsid w:val="00943406"/>
    <w:rsid w:val="00943F70"/>
    <w:rsid w:val="009454F3"/>
    <w:rsid w:val="00946F2F"/>
    <w:rsid w:val="00947935"/>
    <w:rsid w:val="00947C83"/>
    <w:rsid w:val="00947E4A"/>
    <w:rsid w:val="00951166"/>
    <w:rsid w:val="0095190A"/>
    <w:rsid w:val="00951D8F"/>
    <w:rsid w:val="0095227E"/>
    <w:rsid w:val="009529E3"/>
    <w:rsid w:val="00952F35"/>
    <w:rsid w:val="00956BFA"/>
    <w:rsid w:val="00957DFF"/>
    <w:rsid w:val="00960213"/>
    <w:rsid w:val="009610EE"/>
    <w:rsid w:val="009610F0"/>
    <w:rsid w:val="00961977"/>
    <w:rsid w:val="00961D64"/>
    <w:rsid w:val="00962401"/>
    <w:rsid w:val="00962590"/>
    <w:rsid w:val="0096268E"/>
    <w:rsid w:val="00962B1F"/>
    <w:rsid w:val="00963875"/>
    <w:rsid w:val="00963CA1"/>
    <w:rsid w:val="0096445C"/>
    <w:rsid w:val="00964858"/>
    <w:rsid w:val="009648B3"/>
    <w:rsid w:val="00964A8D"/>
    <w:rsid w:val="00965D4C"/>
    <w:rsid w:val="00965D86"/>
    <w:rsid w:val="0096625F"/>
    <w:rsid w:val="00966D84"/>
    <w:rsid w:val="00967745"/>
    <w:rsid w:val="009678E4"/>
    <w:rsid w:val="009679D0"/>
    <w:rsid w:val="009679E7"/>
    <w:rsid w:val="009704DD"/>
    <w:rsid w:val="00970FAE"/>
    <w:rsid w:val="009717FF"/>
    <w:rsid w:val="00971981"/>
    <w:rsid w:val="009756A4"/>
    <w:rsid w:val="009758B2"/>
    <w:rsid w:val="009759C5"/>
    <w:rsid w:val="00975A53"/>
    <w:rsid w:val="00976517"/>
    <w:rsid w:val="00976904"/>
    <w:rsid w:val="00976AE0"/>
    <w:rsid w:val="0097707B"/>
    <w:rsid w:val="009770A9"/>
    <w:rsid w:val="009771E2"/>
    <w:rsid w:val="00977639"/>
    <w:rsid w:val="0097794F"/>
    <w:rsid w:val="00977E21"/>
    <w:rsid w:val="00980C1E"/>
    <w:rsid w:val="00981BD1"/>
    <w:rsid w:val="00981DB3"/>
    <w:rsid w:val="0098306C"/>
    <w:rsid w:val="0098525B"/>
    <w:rsid w:val="00985562"/>
    <w:rsid w:val="00985D42"/>
    <w:rsid w:val="00986133"/>
    <w:rsid w:val="00987C77"/>
    <w:rsid w:val="00987C7D"/>
    <w:rsid w:val="0099010D"/>
    <w:rsid w:val="0099025B"/>
    <w:rsid w:val="009905C1"/>
    <w:rsid w:val="0099155A"/>
    <w:rsid w:val="0099168E"/>
    <w:rsid w:val="0099254D"/>
    <w:rsid w:val="00992E1A"/>
    <w:rsid w:val="0099394C"/>
    <w:rsid w:val="00994EE7"/>
    <w:rsid w:val="00995CC3"/>
    <w:rsid w:val="00996EE5"/>
    <w:rsid w:val="00997046"/>
    <w:rsid w:val="009973E8"/>
    <w:rsid w:val="00997BD1"/>
    <w:rsid w:val="009A0184"/>
    <w:rsid w:val="009A09F0"/>
    <w:rsid w:val="009A14F8"/>
    <w:rsid w:val="009A1A05"/>
    <w:rsid w:val="009A1AF0"/>
    <w:rsid w:val="009A3CAF"/>
    <w:rsid w:val="009A4204"/>
    <w:rsid w:val="009A5672"/>
    <w:rsid w:val="009A5E0C"/>
    <w:rsid w:val="009B0278"/>
    <w:rsid w:val="009B0964"/>
    <w:rsid w:val="009B0CE6"/>
    <w:rsid w:val="009B200C"/>
    <w:rsid w:val="009B3CF2"/>
    <w:rsid w:val="009B48AE"/>
    <w:rsid w:val="009B52BD"/>
    <w:rsid w:val="009B5593"/>
    <w:rsid w:val="009B5952"/>
    <w:rsid w:val="009B5F03"/>
    <w:rsid w:val="009B6449"/>
    <w:rsid w:val="009B72A2"/>
    <w:rsid w:val="009C0754"/>
    <w:rsid w:val="009C1670"/>
    <w:rsid w:val="009C36CF"/>
    <w:rsid w:val="009C3F49"/>
    <w:rsid w:val="009C4A11"/>
    <w:rsid w:val="009C4DEC"/>
    <w:rsid w:val="009C600C"/>
    <w:rsid w:val="009C659A"/>
    <w:rsid w:val="009C727A"/>
    <w:rsid w:val="009D008C"/>
    <w:rsid w:val="009D0233"/>
    <w:rsid w:val="009D0759"/>
    <w:rsid w:val="009D077A"/>
    <w:rsid w:val="009D1533"/>
    <w:rsid w:val="009D2710"/>
    <w:rsid w:val="009D2FCD"/>
    <w:rsid w:val="009D3FD3"/>
    <w:rsid w:val="009D4137"/>
    <w:rsid w:val="009D482B"/>
    <w:rsid w:val="009E0FFE"/>
    <w:rsid w:val="009E14DC"/>
    <w:rsid w:val="009E2495"/>
    <w:rsid w:val="009E2BDD"/>
    <w:rsid w:val="009E3F04"/>
    <w:rsid w:val="009E51A4"/>
    <w:rsid w:val="009E5CB1"/>
    <w:rsid w:val="009E5F93"/>
    <w:rsid w:val="009E6C0D"/>
    <w:rsid w:val="009E6E11"/>
    <w:rsid w:val="009E6EB2"/>
    <w:rsid w:val="009F0E12"/>
    <w:rsid w:val="009F0ECB"/>
    <w:rsid w:val="009F117A"/>
    <w:rsid w:val="009F1DFB"/>
    <w:rsid w:val="009F21C7"/>
    <w:rsid w:val="009F29E9"/>
    <w:rsid w:val="009F2A4B"/>
    <w:rsid w:val="009F3634"/>
    <w:rsid w:val="009F3825"/>
    <w:rsid w:val="009F3E66"/>
    <w:rsid w:val="009F44B9"/>
    <w:rsid w:val="009F4A18"/>
    <w:rsid w:val="009F50F7"/>
    <w:rsid w:val="009F683F"/>
    <w:rsid w:val="009F780C"/>
    <w:rsid w:val="009F7956"/>
    <w:rsid w:val="00A015A5"/>
    <w:rsid w:val="00A016B1"/>
    <w:rsid w:val="00A01DB0"/>
    <w:rsid w:val="00A022A8"/>
    <w:rsid w:val="00A02850"/>
    <w:rsid w:val="00A029D9"/>
    <w:rsid w:val="00A02E6F"/>
    <w:rsid w:val="00A02F6D"/>
    <w:rsid w:val="00A06194"/>
    <w:rsid w:val="00A076DB"/>
    <w:rsid w:val="00A07C36"/>
    <w:rsid w:val="00A10922"/>
    <w:rsid w:val="00A10F7A"/>
    <w:rsid w:val="00A1136F"/>
    <w:rsid w:val="00A122C4"/>
    <w:rsid w:val="00A1284D"/>
    <w:rsid w:val="00A12B97"/>
    <w:rsid w:val="00A14154"/>
    <w:rsid w:val="00A1473E"/>
    <w:rsid w:val="00A14BD3"/>
    <w:rsid w:val="00A15672"/>
    <w:rsid w:val="00A16201"/>
    <w:rsid w:val="00A16D26"/>
    <w:rsid w:val="00A16ECE"/>
    <w:rsid w:val="00A17191"/>
    <w:rsid w:val="00A171A7"/>
    <w:rsid w:val="00A1795B"/>
    <w:rsid w:val="00A17FCA"/>
    <w:rsid w:val="00A21DBA"/>
    <w:rsid w:val="00A21E8A"/>
    <w:rsid w:val="00A21EDC"/>
    <w:rsid w:val="00A22F97"/>
    <w:rsid w:val="00A2409C"/>
    <w:rsid w:val="00A25567"/>
    <w:rsid w:val="00A25BEB"/>
    <w:rsid w:val="00A25D93"/>
    <w:rsid w:val="00A25DFE"/>
    <w:rsid w:val="00A2626F"/>
    <w:rsid w:val="00A269C8"/>
    <w:rsid w:val="00A27261"/>
    <w:rsid w:val="00A27DDC"/>
    <w:rsid w:val="00A30268"/>
    <w:rsid w:val="00A30CEB"/>
    <w:rsid w:val="00A30F58"/>
    <w:rsid w:val="00A32158"/>
    <w:rsid w:val="00A325DF"/>
    <w:rsid w:val="00A345C1"/>
    <w:rsid w:val="00A3495A"/>
    <w:rsid w:val="00A3580A"/>
    <w:rsid w:val="00A36DD9"/>
    <w:rsid w:val="00A36DE3"/>
    <w:rsid w:val="00A4183B"/>
    <w:rsid w:val="00A41944"/>
    <w:rsid w:val="00A42BF7"/>
    <w:rsid w:val="00A431EF"/>
    <w:rsid w:val="00A44215"/>
    <w:rsid w:val="00A45CBB"/>
    <w:rsid w:val="00A4607C"/>
    <w:rsid w:val="00A474E1"/>
    <w:rsid w:val="00A47822"/>
    <w:rsid w:val="00A51647"/>
    <w:rsid w:val="00A52DC1"/>
    <w:rsid w:val="00A53775"/>
    <w:rsid w:val="00A54252"/>
    <w:rsid w:val="00A54EDF"/>
    <w:rsid w:val="00A54F80"/>
    <w:rsid w:val="00A5579C"/>
    <w:rsid w:val="00A55DE2"/>
    <w:rsid w:val="00A56ECE"/>
    <w:rsid w:val="00A6050C"/>
    <w:rsid w:val="00A606AD"/>
    <w:rsid w:val="00A60BB7"/>
    <w:rsid w:val="00A621CB"/>
    <w:rsid w:val="00A62954"/>
    <w:rsid w:val="00A634B8"/>
    <w:rsid w:val="00A637CB"/>
    <w:rsid w:val="00A644A2"/>
    <w:rsid w:val="00A645A1"/>
    <w:rsid w:val="00A65298"/>
    <w:rsid w:val="00A655DB"/>
    <w:rsid w:val="00A6679D"/>
    <w:rsid w:val="00A67148"/>
    <w:rsid w:val="00A701EE"/>
    <w:rsid w:val="00A718BC"/>
    <w:rsid w:val="00A71B62"/>
    <w:rsid w:val="00A71D1F"/>
    <w:rsid w:val="00A72566"/>
    <w:rsid w:val="00A72A00"/>
    <w:rsid w:val="00A749CF"/>
    <w:rsid w:val="00A76F0F"/>
    <w:rsid w:val="00A770E7"/>
    <w:rsid w:val="00A80340"/>
    <w:rsid w:val="00A80697"/>
    <w:rsid w:val="00A810B1"/>
    <w:rsid w:val="00A849E1"/>
    <w:rsid w:val="00A84A70"/>
    <w:rsid w:val="00A84C36"/>
    <w:rsid w:val="00A85115"/>
    <w:rsid w:val="00A85F39"/>
    <w:rsid w:val="00A873EA"/>
    <w:rsid w:val="00A8755C"/>
    <w:rsid w:val="00A90740"/>
    <w:rsid w:val="00A90DA7"/>
    <w:rsid w:val="00A91335"/>
    <w:rsid w:val="00A915C0"/>
    <w:rsid w:val="00A91A41"/>
    <w:rsid w:val="00A91D54"/>
    <w:rsid w:val="00A92173"/>
    <w:rsid w:val="00A926A5"/>
    <w:rsid w:val="00A92EA8"/>
    <w:rsid w:val="00A94479"/>
    <w:rsid w:val="00A944E8"/>
    <w:rsid w:val="00A95200"/>
    <w:rsid w:val="00A9522F"/>
    <w:rsid w:val="00A95546"/>
    <w:rsid w:val="00A96573"/>
    <w:rsid w:val="00A968D0"/>
    <w:rsid w:val="00A97A12"/>
    <w:rsid w:val="00AA044C"/>
    <w:rsid w:val="00AA082D"/>
    <w:rsid w:val="00AA08CA"/>
    <w:rsid w:val="00AA15A3"/>
    <w:rsid w:val="00AA1A9B"/>
    <w:rsid w:val="00AA2145"/>
    <w:rsid w:val="00AA248B"/>
    <w:rsid w:val="00AA3B4F"/>
    <w:rsid w:val="00AA4B2A"/>
    <w:rsid w:val="00AA4E8C"/>
    <w:rsid w:val="00AA526F"/>
    <w:rsid w:val="00AA5718"/>
    <w:rsid w:val="00AA5CC5"/>
    <w:rsid w:val="00AA78DA"/>
    <w:rsid w:val="00AA79EF"/>
    <w:rsid w:val="00AA7C85"/>
    <w:rsid w:val="00AB0452"/>
    <w:rsid w:val="00AB0504"/>
    <w:rsid w:val="00AB25EA"/>
    <w:rsid w:val="00AB2985"/>
    <w:rsid w:val="00AB4647"/>
    <w:rsid w:val="00AB500D"/>
    <w:rsid w:val="00AB5054"/>
    <w:rsid w:val="00AB505D"/>
    <w:rsid w:val="00AB5A0C"/>
    <w:rsid w:val="00AB68E7"/>
    <w:rsid w:val="00AB7718"/>
    <w:rsid w:val="00AB7A54"/>
    <w:rsid w:val="00AC0295"/>
    <w:rsid w:val="00AC0667"/>
    <w:rsid w:val="00AC1F6A"/>
    <w:rsid w:val="00AC309E"/>
    <w:rsid w:val="00AC3709"/>
    <w:rsid w:val="00AC37A8"/>
    <w:rsid w:val="00AC52A4"/>
    <w:rsid w:val="00AC5569"/>
    <w:rsid w:val="00AC5686"/>
    <w:rsid w:val="00AC5879"/>
    <w:rsid w:val="00AC5ACF"/>
    <w:rsid w:val="00AC606E"/>
    <w:rsid w:val="00AC6246"/>
    <w:rsid w:val="00AC628A"/>
    <w:rsid w:val="00AC7441"/>
    <w:rsid w:val="00AD0DE6"/>
    <w:rsid w:val="00AD129D"/>
    <w:rsid w:val="00AD136E"/>
    <w:rsid w:val="00AD165C"/>
    <w:rsid w:val="00AD269F"/>
    <w:rsid w:val="00AD3B64"/>
    <w:rsid w:val="00AD51AB"/>
    <w:rsid w:val="00AD5E71"/>
    <w:rsid w:val="00AD6510"/>
    <w:rsid w:val="00AD7790"/>
    <w:rsid w:val="00AE04EB"/>
    <w:rsid w:val="00AE0A3E"/>
    <w:rsid w:val="00AE1479"/>
    <w:rsid w:val="00AE147C"/>
    <w:rsid w:val="00AE3370"/>
    <w:rsid w:val="00AE39ED"/>
    <w:rsid w:val="00AE52E9"/>
    <w:rsid w:val="00AE5433"/>
    <w:rsid w:val="00AE56AB"/>
    <w:rsid w:val="00AE668B"/>
    <w:rsid w:val="00AE726D"/>
    <w:rsid w:val="00AF0892"/>
    <w:rsid w:val="00AF1CB4"/>
    <w:rsid w:val="00AF2273"/>
    <w:rsid w:val="00AF3F86"/>
    <w:rsid w:val="00AF626B"/>
    <w:rsid w:val="00AF7139"/>
    <w:rsid w:val="00AF7379"/>
    <w:rsid w:val="00B00A07"/>
    <w:rsid w:val="00B0191B"/>
    <w:rsid w:val="00B01D40"/>
    <w:rsid w:val="00B0235E"/>
    <w:rsid w:val="00B02B9C"/>
    <w:rsid w:val="00B02E3B"/>
    <w:rsid w:val="00B0300A"/>
    <w:rsid w:val="00B0354B"/>
    <w:rsid w:val="00B04302"/>
    <w:rsid w:val="00B048C2"/>
    <w:rsid w:val="00B05111"/>
    <w:rsid w:val="00B05A83"/>
    <w:rsid w:val="00B06419"/>
    <w:rsid w:val="00B11018"/>
    <w:rsid w:val="00B11816"/>
    <w:rsid w:val="00B11C74"/>
    <w:rsid w:val="00B12FD7"/>
    <w:rsid w:val="00B13324"/>
    <w:rsid w:val="00B13375"/>
    <w:rsid w:val="00B15099"/>
    <w:rsid w:val="00B1588C"/>
    <w:rsid w:val="00B16A6D"/>
    <w:rsid w:val="00B170FE"/>
    <w:rsid w:val="00B175E7"/>
    <w:rsid w:val="00B21577"/>
    <w:rsid w:val="00B22BFB"/>
    <w:rsid w:val="00B23015"/>
    <w:rsid w:val="00B250C6"/>
    <w:rsid w:val="00B25772"/>
    <w:rsid w:val="00B25882"/>
    <w:rsid w:val="00B25E4F"/>
    <w:rsid w:val="00B2782F"/>
    <w:rsid w:val="00B278C4"/>
    <w:rsid w:val="00B27E1A"/>
    <w:rsid w:val="00B304C7"/>
    <w:rsid w:val="00B32DBD"/>
    <w:rsid w:val="00B3371B"/>
    <w:rsid w:val="00B339D9"/>
    <w:rsid w:val="00B33BB6"/>
    <w:rsid w:val="00B34311"/>
    <w:rsid w:val="00B350E8"/>
    <w:rsid w:val="00B352A5"/>
    <w:rsid w:val="00B368B0"/>
    <w:rsid w:val="00B36C2B"/>
    <w:rsid w:val="00B377E0"/>
    <w:rsid w:val="00B37A55"/>
    <w:rsid w:val="00B37F3E"/>
    <w:rsid w:val="00B400DD"/>
    <w:rsid w:val="00B404FE"/>
    <w:rsid w:val="00B40AE4"/>
    <w:rsid w:val="00B40D60"/>
    <w:rsid w:val="00B41318"/>
    <w:rsid w:val="00B427C6"/>
    <w:rsid w:val="00B43873"/>
    <w:rsid w:val="00B44391"/>
    <w:rsid w:val="00B451A4"/>
    <w:rsid w:val="00B4527A"/>
    <w:rsid w:val="00B45A32"/>
    <w:rsid w:val="00B464E3"/>
    <w:rsid w:val="00B472AF"/>
    <w:rsid w:val="00B47DFC"/>
    <w:rsid w:val="00B50E95"/>
    <w:rsid w:val="00B519BC"/>
    <w:rsid w:val="00B51D39"/>
    <w:rsid w:val="00B52ED9"/>
    <w:rsid w:val="00B533D6"/>
    <w:rsid w:val="00B53539"/>
    <w:rsid w:val="00B55D4A"/>
    <w:rsid w:val="00B55F10"/>
    <w:rsid w:val="00B5609E"/>
    <w:rsid w:val="00B5710A"/>
    <w:rsid w:val="00B57325"/>
    <w:rsid w:val="00B57350"/>
    <w:rsid w:val="00B604E8"/>
    <w:rsid w:val="00B60A35"/>
    <w:rsid w:val="00B6126A"/>
    <w:rsid w:val="00B61BB3"/>
    <w:rsid w:val="00B6239E"/>
    <w:rsid w:val="00B63774"/>
    <w:rsid w:val="00B63C6D"/>
    <w:rsid w:val="00B64E53"/>
    <w:rsid w:val="00B6593F"/>
    <w:rsid w:val="00B65A95"/>
    <w:rsid w:val="00B65EFD"/>
    <w:rsid w:val="00B66070"/>
    <w:rsid w:val="00B66C92"/>
    <w:rsid w:val="00B66CFF"/>
    <w:rsid w:val="00B66E20"/>
    <w:rsid w:val="00B702D9"/>
    <w:rsid w:val="00B716F0"/>
    <w:rsid w:val="00B71776"/>
    <w:rsid w:val="00B72A4B"/>
    <w:rsid w:val="00B72F23"/>
    <w:rsid w:val="00B7388C"/>
    <w:rsid w:val="00B744AB"/>
    <w:rsid w:val="00B76198"/>
    <w:rsid w:val="00B762EB"/>
    <w:rsid w:val="00B76640"/>
    <w:rsid w:val="00B76B3D"/>
    <w:rsid w:val="00B7710B"/>
    <w:rsid w:val="00B77F91"/>
    <w:rsid w:val="00B8050B"/>
    <w:rsid w:val="00B80D2D"/>
    <w:rsid w:val="00B80F2D"/>
    <w:rsid w:val="00B812D6"/>
    <w:rsid w:val="00B82026"/>
    <w:rsid w:val="00B835C5"/>
    <w:rsid w:val="00B839BB"/>
    <w:rsid w:val="00B84149"/>
    <w:rsid w:val="00B850C6"/>
    <w:rsid w:val="00B853A9"/>
    <w:rsid w:val="00B85477"/>
    <w:rsid w:val="00B85FBC"/>
    <w:rsid w:val="00B86DCD"/>
    <w:rsid w:val="00B878E4"/>
    <w:rsid w:val="00B90963"/>
    <w:rsid w:val="00B9105B"/>
    <w:rsid w:val="00B911EB"/>
    <w:rsid w:val="00B928E9"/>
    <w:rsid w:val="00B92B9B"/>
    <w:rsid w:val="00B934FB"/>
    <w:rsid w:val="00B96907"/>
    <w:rsid w:val="00B972EF"/>
    <w:rsid w:val="00B977B9"/>
    <w:rsid w:val="00B97881"/>
    <w:rsid w:val="00BA0024"/>
    <w:rsid w:val="00BA09C6"/>
    <w:rsid w:val="00BA3511"/>
    <w:rsid w:val="00BA4253"/>
    <w:rsid w:val="00BA4CAD"/>
    <w:rsid w:val="00BA589B"/>
    <w:rsid w:val="00BA635D"/>
    <w:rsid w:val="00BA7330"/>
    <w:rsid w:val="00BA7652"/>
    <w:rsid w:val="00BA7838"/>
    <w:rsid w:val="00BB006B"/>
    <w:rsid w:val="00BB0978"/>
    <w:rsid w:val="00BB0EAA"/>
    <w:rsid w:val="00BB2C44"/>
    <w:rsid w:val="00BB3146"/>
    <w:rsid w:val="00BB3219"/>
    <w:rsid w:val="00BB3412"/>
    <w:rsid w:val="00BB3A43"/>
    <w:rsid w:val="00BB44AD"/>
    <w:rsid w:val="00BB4F8D"/>
    <w:rsid w:val="00BB653B"/>
    <w:rsid w:val="00BB6EE9"/>
    <w:rsid w:val="00BB7891"/>
    <w:rsid w:val="00BC2526"/>
    <w:rsid w:val="00BC2549"/>
    <w:rsid w:val="00BC3000"/>
    <w:rsid w:val="00BC3221"/>
    <w:rsid w:val="00BC3893"/>
    <w:rsid w:val="00BC3E40"/>
    <w:rsid w:val="00BC431A"/>
    <w:rsid w:val="00BC49E8"/>
    <w:rsid w:val="00BC4C77"/>
    <w:rsid w:val="00BC4E3A"/>
    <w:rsid w:val="00BC50F7"/>
    <w:rsid w:val="00BC597A"/>
    <w:rsid w:val="00BC69F4"/>
    <w:rsid w:val="00BC6DA8"/>
    <w:rsid w:val="00BD03BA"/>
    <w:rsid w:val="00BD03BC"/>
    <w:rsid w:val="00BD0A46"/>
    <w:rsid w:val="00BD2378"/>
    <w:rsid w:val="00BD248B"/>
    <w:rsid w:val="00BD3692"/>
    <w:rsid w:val="00BD3F4B"/>
    <w:rsid w:val="00BD5E83"/>
    <w:rsid w:val="00BD7706"/>
    <w:rsid w:val="00BE08E4"/>
    <w:rsid w:val="00BE1C68"/>
    <w:rsid w:val="00BE284A"/>
    <w:rsid w:val="00BE2F52"/>
    <w:rsid w:val="00BE3AAF"/>
    <w:rsid w:val="00BE43ED"/>
    <w:rsid w:val="00BE61B6"/>
    <w:rsid w:val="00BE6416"/>
    <w:rsid w:val="00BE684F"/>
    <w:rsid w:val="00BE6943"/>
    <w:rsid w:val="00BE69E8"/>
    <w:rsid w:val="00BE6CD2"/>
    <w:rsid w:val="00BF085E"/>
    <w:rsid w:val="00BF1CF7"/>
    <w:rsid w:val="00BF30C0"/>
    <w:rsid w:val="00BF3A43"/>
    <w:rsid w:val="00BF3D3D"/>
    <w:rsid w:val="00BF3D4D"/>
    <w:rsid w:val="00BF4C9D"/>
    <w:rsid w:val="00BF5560"/>
    <w:rsid w:val="00BF60EA"/>
    <w:rsid w:val="00BF6743"/>
    <w:rsid w:val="00BF727F"/>
    <w:rsid w:val="00BF7D0D"/>
    <w:rsid w:val="00C00D98"/>
    <w:rsid w:val="00C00DC6"/>
    <w:rsid w:val="00C013EF"/>
    <w:rsid w:val="00C01C6F"/>
    <w:rsid w:val="00C024B4"/>
    <w:rsid w:val="00C03151"/>
    <w:rsid w:val="00C0380D"/>
    <w:rsid w:val="00C03910"/>
    <w:rsid w:val="00C04250"/>
    <w:rsid w:val="00C04303"/>
    <w:rsid w:val="00C045FC"/>
    <w:rsid w:val="00C04C25"/>
    <w:rsid w:val="00C04EDE"/>
    <w:rsid w:val="00C04FD8"/>
    <w:rsid w:val="00C061F1"/>
    <w:rsid w:val="00C06DB3"/>
    <w:rsid w:val="00C1142C"/>
    <w:rsid w:val="00C116E5"/>
    <w:rsid w:val="00C12BFB"/>
    <w:rsid w:val="00C12D02"/>
    <w:rsid w:val="00C13E39"/>
    <w:rsid w:val="00C1460C"/>
    <w:rsid w:val="00C148BF"/>
    <w:rsid w:val="00C159EF"/>
    <w:rsid w:val="00C15A8D"/>
    <w:rsid w:val="00C15CE9"/>
    <w:rsid w:val="00C175FC"/>
    <w:rsid w:val="00C17CD1"/>
    <w:rsid w:val="00C211C3"/>
    <w:rsid w:val="00C21A8E"/>
    <w:rsid w:val="00C22C9A"/>
    <w:rsid w:val="00C232C1"/>
    <w:rsid w:val="00C26142"/>
    <w:rsid w:val="00C26342"/>
    <w:rsid w:val="00C26634"/>
    <w:rsid w:val="00C26641"/>
    <w:rsid w:val="00C31587"/>
    <w:rsid w:val="00C3160F"/>
    <w:rsid w:val="00C31615"/>
    <w:rsid w:val="00C3168F"/>
    <w:rsid w:val="00C31BFD"/>
    <w:rsid w:val="00C3207B"/>
    <w:rsid w:val="00C32FC9"/>
    <w:rsid w:val="00C3450E"/>
    <w:rsid w:val="00C35B03"/>
    <w:rsid w:val="00C364BE"/>
    <w:rsid w:val="00C37A68"/>
    <w:rsid w:val="00C37E00"/>
    <w:rsid w:val="00C4022F"/>
    <w:rsid w:val="00C411DF"/>
    <w:rsid w:val="00C4178F"/>
    <w:rsid w:val="00C41D0C"/>
    <w:rsid w:val="00C437F5"/>
    <w:rsid w:val="00C43932"/>
    <w:rsid w:val="00C446D1"/>
    <w:rsid w:val="00C44ADE"/>
    <w:rsid w:val="00C476EF"/>
    <w:rsid w:val="00C50BEE"/>
    <w:rsid w:val="00C520A4"/>
    <w:rsid w:val="00C5219B"/>
    <w:rsid w:val="00C52EC8"/>
    <w:rsid w:val="00C5343A"/>
    <w:rsid w:val="00C53580"/>
    <w:rsid w:val="00C53D0F"/>
    <w:rsid w:val="00C54590"/>
    <w:rsid w:val="00C55219"/>
    <w:rsid w:val="00C55255"/>
    <w:rsid w:val="00C55662"/>
    <w:rsid w:val="00C556D3"/>
    <w:rsid w:val="00C57842"/>
    <w:rsid w:val="00C61665"/>
    <w:rsid w:val="00C6195F"/>
    <w:rsid w:val="00C619CD"/>
    <w:rsid w:val="00C61A72"/>
    <w:rsid w:val="00C632A4"/>
    <w:rsid w:val="00C63594"/>
    <w:rsid w:val="00C63D08"/>
    <w:rsid w:val="00C642D6"/>
    <w:rsid w:val="00C64564"/>
    <w:rsid w:val="00C64F1A"/>
    <w:rsid w:val="00C66D1A"/>
    <w:rsid w:val="00C6742A"/>
    <w:rsid w:val="00C677C0"/>
    <w:rsid w:val="00C70BE6"/>
    <w:rsid w:val="00C72E2C"/>
    <w:rsid w:val="00C73783"/>
    <w:rsid w:val="00C75E31"/>
    <w:rsid w:val="00C7657B"/>
    <w:rsid w:val="00C8078F"/>
    <w:rsid w:val="00C81FFF"/>
    <w:rsid w:val="00C822D9"/>
    <w:rsid w:val="00C82533"/>
    <w:rsid w:val="00C82685"/>
    <w:rsid w:val="00C82759"/>
    <w:rsid w:val="00C829B5"/>
    <w:rsid w:val="00C83B7C"/>
    <w:rsid w:val="00C83CC9"/>
    <w:rsid w:val="00C8451A"/>
    <w:rsid w:val="00C85AC4"/>
    <w:rsid w:val="00C87B9D"/>
    <w:rsid w:val="00C90111"/>
    <w:rsid w:val="00C903DD"/>
    <w:rsid w:val="00C90A29"/>
    <w:rsid w:val="00C90FE7"/>
    <w:rsid w:val="00C911C4"/>
    <w:rsid w:val="00C92109"/>
    <w:rsid w:val="00C9493F"/>
    <w:rsid w:val="00C949B5"/>
    <w:rsid w:val="00C94ED1"/>
    <w:rsid w:val="00C95C43"/>
    <w:rsid w:val="00C964E9"/>
    <w:rsid w:val="00C977AB"/>
    <w:rsid w:val="00CA12FA"/>
    <w:rsid w:val="00CA26D9"/>
    <w:rsid w:val="00CA2ECB"/>
    <w:rsid w:val="00CA485A"/>
    <w:rsid w:val="00CA4EE8"/>
    <w:rsid w:val="00CA66C1"/>
    <w:rsid w:val="00CA6A9D"/>
    <w:rsid w:val="00CA6AD2"/>
    <w:rsid w:val="00CA6B97"/>
    <w:rsid w:val="00CA7C07"/>
    <w:rsid w:val="00CB06B3"/>
    <w:rsid w:val="00CB1DBF"/>
    <w:rsid w:val="00CB2186"/>
    <w:rsid w:val="00CB2957"/>
    <w:rsid w:val="00CB2BE6"/>
    <w:rsid w:val="00CB3036"/>
    <w:rsid w:val="00CB4DDA"/>
    <w:rsid w:val="00CB5045"/>
    <w:rsid w:val="00CB62A8"/>
    <w:rsid w:val="00CC136D"/>
    <w:rsid w:val="00CC160B"/>
    <w:rsid w:val="00CC23D4"/>
    <w:rsid w:val="00CC318E"/>
    <w:rsid w:val="00CC3E6C"/>
    <w:rsid w:val="00CC4254"/>
    <w:rsid w:val="00CC53AD"/>
    <w:rsid w:val="00CC6127"/>
    <w:rsid w:val="00CC6A86"/>
    <w:rsid w:val="00CC754B"/>
    <w:rsid w:val="00CD006F"/>
    <w:rsid w:val="00CD1340"/>
    <w:rsid w:val="00CD1623"/>
    <w:rsid w:val="00CD290E"/>
    <w:rsid w:val="00CD329F"/>
    <w:rsid w:val="00CD46AB"/>
    <w:rsid w:val="00CD50DA"/>
    <w:rsid w:val="00CD51CF"/>
    <w:rsid w:val="00CD5255"/>
    <w:rsid w:val="00CD5324"/>
    <w:rsid w:val="00CD5526"/>
    <w:rsid w:val="00CD599C"/>
    <w:rsid w:val="00CD644B"/>
    <w:rsid w:val="00CD6540"/>
    <w:rsid w:val="00CD6D0B"/>
    <w:rsid w:val="00CD77B0"/>
    <w:rsid w:val="00CD7A56"/>
    <w:rsid w:val="00CE0B5F"/>
    <w:rsid w:val="00CE10A3"/>
    <w:rsid w:val="00CE1457"/>
    <w:rsid w:val="00CE1B54"/>
    <w:rsid w:val="00CE1C99"/>
    <w:rsid w:val="00CE1DCF"/>
    <w:rsid w:val="00CE1FDC"/>
    <w:rsid w:val="00CE28A3"/>
    <w:rsid w:val="00CE4001"/>
    <w:rsid w:val="00CE450C"/>
    <w:rsid w:val="00CE50A9"/>
    <w:rsid w:val="00CE52EF"/>
    <w:rsid w:val="00CE5617"/>
    <w:rsid w:val="00CE5C9C"/>
    <w:rsid w:val="00CE603B"/>
    <w:rsid w:val="00CE65C9"/>
    <w:rsid w:val="00CE6EB4"/>
    <w:rsid w:val="00CE759C"/>
    <w:rsid w:val="00CE77F8"/>
    <w:rsid w:val="00CF0B41"/>
    <w:rsid w:val="00CF1A68"/>
    <w:rsid w:val="00CF28A4"/>
    <w:rsid w:val="00CF3B0B"/>
    <w:rsid w:val="00CF3E37"/>
    <w:rsid w:val="00CF4736"/>
    <w:rsid w:val="00CF4BAF"/>
    <w:rsid w:val="00CF5F3A"/>
    <w:rsid w:val="00CF6115"/>
    <w:rsid w:val="00D00058"/>
    <w:rsid w:val="00D010D9"/>
    <w:rsid w:val="00D012A4"/>
    <w:rsid w:val="00D017F8"/>
    <w:rsid w:val="00D02D13"/>
    <w:rsid w:val="00D039FE"/>
    <w:rsid w:val="00D03F04"/>
    <w:rsid w:val="00D03FE1"/>
    <w:rsid w:val="00D04051"/>
    <w:rsid w:val="00D04541"/>
    <w:rsid w:val="00D049BB"/>
    <w:rsid w:val="00D05E52"/>
    <w:rsid w:val="00D06BA1"/>
    <w:rsid w:val="00D0744B"/>
    <w:rsid w:val="00D07C91"/>
    <w:rsid w:val="00D10219"/>
    <w:rsid w:val="00D103EF"/>
    <w:rsid w:val="00D104A2"/>
    <w:rsid w:val="00D104DA"/>
    <w:rsid w:val="00D11354"/>
    <w:rsid w:val="00D113E4"/>
    <w:rsid w:val="00D114F4"/>
    <w:rsid w:val="00D124C6"/>
    <w:rsid w:val="00D125C2"/>
    <w:rsid w:val="00D12894"/>
    <w:rsid w:val="00D132FB"/>
    <w:rsid w:val="00D1335F"/>
    <w:rsid w:val="00D14943"/>
    <w:rsid w:val="00D151A8"/>
    <w:rsid w:val="00D1534B"/>
    <w:rsid w:val="00D15958"/>
    <w:rsid w:val="00D15E9F"/>
    <w:rsid w:val="00D160E8"/>
    <w:rsid w:val="00D16866"/>
    <w:rsid w:val="00D17238"/>
    <w:rsid w:val="00D1740A"/>
    <w:rsid w:val="00D216B0"/>
    <w:rsid w:val="00D21D26"/>
    <w:rsid w:val="00D231E7"/>
    <w:rsid w:val="00D2342A"/>
    <w:rsid w:val="00D236BF"/>
    <w:rsid w:val="00D23766"/>
    <w:rsid w:val="00D241D4"/>
    <w:rsid w:val="00D24BA5"/>
    <w:rsid w:val="00D24D79"/>
    <w:rsid w:val="00D25C3C"/>
    <w:rsid w:val="00D25F90"/>
    <w:rsid w:val="00D2697E"/>
    <w:rsid w:val="00D26986"/>
    <w:rsid w:val="00D27553"/>
    <w:rsid w:val="00D27B8F"/>
    <w:rsid w:val="00D3006B"/>
    <w:rsid w:val="00D30CF5"/>
    <w:rsid w:val="00D30CFD"/>
    <w:rsid w:val="00D32820"/>
    <w:rsid w:val="00D330C7"/>
    <w:rsid w:val="00D33339"/>
    <w:rsid w:val="00D33850"/>
    <w:rsid w:val="00D34001"/>
    <w:rsid w:val="00D345F3"/>
    <w:rsid w:val="00D3575A"/>
    <w:rsid w:val="00D35D55"/>
    <w:rsid w:val="00D36356"/>
    <w:rsid w:val="00D36537"/>
    <w:rsid w:val="00D3668F"/>
    <w:rsid w:val="00D3768A"/>
    <w:rsid w:val="00D40524"/>
    <w:rsid w:val="00D40C77"/>
    <w:rsid w:val="00D4111B"/>
    <w:rsid w:val="00D427E7"/>
    <w:rsid w:val="00D434B4"/>
    <w:rsid w:val="00D437B8"/>
    <w:rsid w:val="00D43DED"/>
    <w:rsid w:val="00D444CA"/>
    <w:rsid w:val="00D45A5B"/>
    <w:rsid w:val="00D4600B"/>
    <w:rsid w:val="00D46B86"/>
    <w:rsid w:val="00D476C3"/>
    <w:rsid w:val="00D50160"/>
    <w:rsid w:val="00D504C5"/>
    <w:rsid w:val="00D50898"/>
    <w:rsid w:val="00D50F05"/>
    <w:rsid w:val="00D515C4"/>
    <w:rsid w:val="00D51F40"/>
    <w:rsid w:val="00D53301"/>
    <w:rsid w:val="00D55742"/>
    <w:rsid w:val="00D55F60"/>
    <w:rsid w:val="00D56F16"/>
    <w:rsid w:val="00D57CFE"/>
    <w:rsid w:val="00D607BC"/>
    <w:rsid w:val="00D613F6"/>
    <w:rsid w:val="00D61403"/>
    <w:rsid w:val="00D629C0"/>
    <w:rsid w:val="00D62D60"/>
    <w:rsid w:val="00D632A6"/>
    <w:rsid w:val="00D65877"/>
    <w:rsid w:val="00D65B1C"/>
    <w:rsid w:val="00D66F77"/>
    <w:rsid w:val="00D6799E"/>
    <w:rsid w:val="00D70BDE"/>
    <w:rsid w:val="00D71077"/>
    <w:rsid w:val="00D71D25"/>
    <w:rsid w:val="00D726B6"/>
    <w:rsid w:val="00D736A1"/>
    <w:rsid w:val="00D74398"/>
    <w:rsid w:val="00D7583E"/>
    <w:rsid w:val="00D75928"/>
    <w:rsid w:val="00D75E64"/>
    <w:rsid w:val="00D76618"/>
    <w:rsid w:val="00D76AF0"/>
    <w:rsid w:val="00D76E56"/>
    <w:rsid w:val="00D80DC7"/>
    <w:rsid w:val="00D812B9"/>
    <w:rsid w:val="00D8147E"/>
    <w:rsid w:val="00D81F19"/>
    <w:rsid w:val="00D8288E"/>
    <w:rsid w:val="00D82D9F"/>
    <w:rsid w:val="00D83B38"/>
    <w:rsid w:val="00D847C8"/>
    <w:rsid w:val="00D85218"/>
    <w:rsid w:val="00D85ACE"/>
    <w:rsid w:val="00D860C4"/>
    <w:rsid w:val="00D865AC"/>
    <w:rsid w:val="00D865C2"/>
    <w:rsid w:val="00D8709A"/>
    <w:rsid w:val="00D878A3"/>
    <w:rsid w:val="00D910AB"/>
    <w:rsid w:val="00D93516"/>
    <w:rsid w:val="00D93EDA"/>
    <w:rsid w:val="00D966D9"/>
    <w:rsid w:val="00D969B3"/>
    <w:rsid w:val="00D96B9B"/>
    <w:rsid w:val="00D96D2D"/>
    <w:rsid w:val="00DA0633"/>
    <w:rsid w:val="00DA0B59"/>
    <w:rsid w:val="00DA0C2F"/>
    <w:rsid w:val="00DA0D12"/>
    <w:rsid w:val="00DA0F2E"/>
    <w:rsid w:val="00DA164C"/>
    <w:rsid w:val="00DA2DBE"/>
    <w:rsid w:val="00DA2E2A"/>
    <w:rsid w:val="00DA36F7"/>
    <w:rsid w:val="00DA3AA8"/>
    <w:rsid w:val="00DA44B4"/>
    <w:rsid w:val="00DA566E"/>
    <w:rsid w:val="00DA7459"/>
    <w:rsid w:val="00DA7799"/>
    <w:rsid w:val="00DA7C1D"/>
    <w:rsid w:val="00DB0860"/>
    <w:rsid w:val="00DB1F6A"/>
    <w:rsid w:val="00DB24CC"/>
    <w:rsid w:val="00DB309E"/>
    <w:rsid w:val="00DB4E2B"/>
    <w:rsid w:val="00DB588C"/>
    <w:rsid w:val="00DB6978"/>
    <w:rsid w:val="00DB6DB6"/>
    <w:rsid w:val="00DB700F"/>
    <w:rsid w:val="00DB7324"/>
    <w:rsid w:val="00DB7D0B"/>
    <w:rsid w:val="00DC1869"/>
    <w:rsid w:val="00DC1C5B"/>
    <w:rsid w:val="00DC208D"/>
    <w:rsid w:val="00DC24DC"/>
    <w:rsid w:val="00DC3CF8"/>
    <w:rsid w:val="00DC466A"/>
    <w:rsid w:val="00DC4C28"/>
    <w:rsid w:val="00DC5194"/>
    <w:rsid w:val="00DC5B0C"/>
    <w:rsid w:val="00DC60D7"/>
    <w:rsid w:val="00DC60ED"/>
    <w:rsid w:val="00DC60F4"/>
    <w:rsid w:val="00DC667C"/>
    <w:rsid w:val="00DC6F8E"/>
    <w:rsid w:val="00DC72D1"/>
    <w:rsid w:val="00DC7581"/>
    <w:rsid w:val="00DD0919"/>
    <w:rsid w:val="00DD09DF"/>
    <w:rsid w:val="00DD0E55"/>
    <w:rsid w:val="00DD0E85"/>
    <w:rsid w:val="00DD156E"/>
    <w:rsid w:val="00DD211F"/>
    <w:rsid w:val="00DD2213"/>
    <w:rsid w:val="00DD2B5F"/>
    <w:rsid w:val="00DD3096"/>
    <w:rsid w:val="00DD31F9"/>
    <w:rsid w:val="00DD35A8"/>
    <w:rsid w:val="00DD41A3"/>
    <w:rsid w:val="00DD46B3"/>
    <w:rsid w:val="00DD50BE"/>
    <w:rsid w:val="00DD5E36"/>
    <w:rsid w:val="00DD6E0C"/>
    <w:rsid w:val="00DD7059"/>
    <w:rsid w:val="00DD7E6E"/>
    <w:rsid w:val="00DE0F54"/>
    <w:rsid w:val="00DE120E"/>
    <w:rsid w:val="00DE1674"/>
    <w:rsid w:val="00DE196E"/>
    <w:rsid w:val="00DE2786"/>
    <w:rsid w:val="00DE2898"/>
    <w:rsid w:val="00DE335D"/>
    <w:rsid w:val="00DE3401"/>
    <w:rsid w:val="00DE347D"/>
    <w:rsid w:val="00DE38C5"/>
    <w:rsid w:val="00DE3C83"/>
    <w:rsid w:val="00DE3D73"/>
    <w:rsid w:val="00DE551A"/>
    <w:rsid w:val="00DE593B"/>
    <w:rsid w:val="00DE59A6"/>
    <w:rsid w:val="00DE5E82"/>
    <w:rsid w:val="00DE6684"/>
    <w:rsid w:val="00DE6F25"/>
    <w:rsid w:val="00DE73D4"/>
    <w:rsid w:val="00DE7781"/>
    <w:rsid w:val="00DE7DC6"/>
    <w:rsid w:val="00DF1CC9"/>
    <w:rsid w:val="00DF1DA6"/>
    <w:rsid w:val="00DF1EE0"/>
    <w:rsid w:val="00DF2702"/>
    <w:rsid w:val="00DF3F42"/>
    <w:rsid w:val="00DF44BC"/>
    <w:rsid w:val="00DF4D81"/>
    <w:rsid w:val="00DF4DB9"/>
    <w:rsid w:val="00DF517A"/>
    <w:rsid w:val="00DF548E"/>
    <w:rsid w:val="00DF5AFC"/>
    <w:rsid w:val="00DF6F5F"/>
    <w:rsid w:val="00E0014D"/>
    <w:rsid w:val="00E00D18"/>
    <w:rsid w:val="00E01537"/>
    <w:rsid w:val="00E01685"/>
    <w:rsid w:val="00E01937"/>
    <w:rsid w:val="00E01F5A"/>
    <w:rsid w:val="00E02B94"/>
    <w:rsid w:val="00E04C2D"/>
    <w:rsid w:val="00E0549B"/>
    <w:rsid w:val="00E0591B"/>
    <w:rsid w:val="00E05ABC"/>
    <w:rsid w:val="00E05E1B"/>
    <w:rsid w:val="00E06B85"/>
    <w:rsid w:val="00E06FBF"/>
    <w:rsid w:val="00E07021"/>
    <w:rsid w:val="00E073D3"/>
    <w:rsid w:val="00E0769C"/>
    <w:rsid w:val="00E07CB3"/>
    <w:rsid w:val="00E1005A"/>
    <w:rsid w:val="00E10F0C"/>
    <w:rsid w:val="00E11860"/>
    <w:rsid w:val="00E126E2"/>
    <w:rsid w:val="00E12DAD"/>
    <w:rsid w:val="00E12EE3"/>
    <w:rsid w:val="00E13C39"/>
    <w:rsid w:val="00E13CA1"/>
    <w:rsid w:val="00E1547E"/>
    <w:rsid w:val="00E15AC4"/>
    <w:rsid w:val="00E16711"/>
    <w:rsid w:val="00E177AE"/>
    <w:rsid w:val="00E2006A"/>
    <w:rsid w:val="00E20800"/>
    <w:rsid w:val="00E20D2B"/>
    <w:rsid w:val="00E21815"/>
    <w:rsid w:val="00E220C7"/>
    <w:rsid w:val="00E220EC"/>
    <w:rsid w:val="00E2264C"/>
    <w:rsid w:val="00E24445"/>
    <w:rsid w:val="00E249A2"/>
    <w:rsid w:val="00E24FA1"/>
    <w:rsid w:val="00E24FBE"/>
    <w:rsid w:val="00E25256"/>
    <w:rsid w:val="00E27485"/>
    <w:rsid w:val="00E274E7"/>
    <w:rsid w:val="00E306FC"/>
    <w:rsid w:val="00E311C1"/>
    <w:rsid w:val="00E312F8"/>
    <w:rsid w:val="00E314E8"/>
    <w:rsid w:val="00E315A3"/>
    <w:rsid w:val="00E32073"/>
    <w:rsid w:val="00E3231B"/>
    <w:rsid w:val="00E346D4"/>
    <w:rsid w:val="00E35164"/>
    <w:rsid w:val="00E3736F"/>
    <w:rsid w:val="00E40721"/>
    <w:rsid w:val="00E40E7E"/>
    <w:rsid w:val="00E41790"/>
    <w:rsid w:val="00E41AB4"/>
    <w:rsid w:val="00E41D54"/>
    <w:rsid w:val="00E41FAC"/>
    <w:rsid w:val="00E45C6A"/>
    <w:rsid w:val="00E46ED4"/>
    <w:rsid w:val="00E47E30"/>
    <w:rsid w:val="00E5125C"/>
    <w:rsid w:val="00E514B5"/>
    <w:rsid w:val="00E51ED5"/>
    <w:rsid w:val="00E5291D"/>
    <w:rsid w:val="00E53332"/>
    <w:rsid w:val="00E5347E"/>
    <w:rsid w:val="00E541B4"/>
    <w:rsid w:val="00E546C8"/>
    <w:rsid w:val="00E54840"/>
    <w:rsid w:val="00E54941"/>
    <w:rsid w:val="00E54C7C"/>
    <w:rsid w:val="00E555A7"/>
    <w:rsid w:val="00E5592D"/>
    <w:rsid w:val="00E57038"/>
    <w:rsid w:val="00E578AA"/>
    <w:rsid w:val="00E6109D"/>
    <w:rsid w:val="00E61589"/>
    <w:rsid w:val="00E616CE"/>
    <w:rsid w:val="00E616E0"/>
    <w:rsid w:val="00E61F79"/>
    <w:rsid w:val="00E62D7B"/>
    <w:rsid w:val="00E633FF"/>
    <w:rsid w:val="00E638C1"/>
    <w:rsid w:val="00E658ED"/>
    <w:rsid w:val="00E6733C"/>
    <w:rsid w:val="00E67592"/>
    <w:rsid w:val="00E67A7D"/>
    <w:rsid w:val="00E725AA"/>
    <w:rsid w:val="00E72EF8"/>
    <w:rsid w:val="00E745E8"/>
    <w:rsid w:val="00E746A0"/>
    <w:rsid w:val="00E749DE"/>
    <w:rsid w:val="00E74A42"/>
    <w:rsid w:val="00E80B0B"/>
    <w:rsid w:val="00E83A08"/>
    <w:rsid w:val="00E83CDA"/>
    <w:rsid w:val="00E86245"/>
    <w:rsid w:val="00E87234"/>
    <w:rsid w:val="00E904B5"/>
    <w:rsid w:val="00E904F5"/>
    <w:rsid w:val="00E90F85"/>
    <w:rsid w:val="00E9216E"/>
    <w:rsid w:val="00E939BB"/>
    <w:rsid w:val="00E939DF"/>
    <w:rsid w:val="00E95807"/>
    <w:rsid w:val="00E97DEF"/>
    <w:rsid w:val="00EA052C"/>
    <w:rsid w:val="00EA0B60"/>
    <w:rsid w:val="00EA2936"/>
    <w:rsid w:val="00EA29E1"/>
    <w:rsid w:val="00EA2AED"/>
    <w:rsid w:val="00EA300F"/>
    <w:rsid w:val="00EA60FA"/>
    <w:rsid w:val="00EA6A50"/>
    <w:rsid w:val="00EA6A77"/>
    <w:rsid w:val="00EA76ED"/>
    <w:rsid w:val="00EA7B20"/>
    <w:rsid w:val="00EA7CB6"/>
    <w:rsid w:val="00EA7FAC"/>
    <w:rsid w:val="00EB0CB0"/>
    <w:rsid w:val="00EB158A"/>
    <w:rsid w:val="00EB1A78"/>
    <w:rsid w:val="00EB2115"/>
    <w:rsid w:val="00EB2830"/>
    <w:rsid w:val="00EB2FD6"/>
    <w:rsid w:val="00EB3E4B"/>
    <w:rsid w:val="00EB411A"/>
    <w:rsid w:val="00EB4D12"/>
    <w:rsid w:val="00EB55F8"/>
    <w:rsid w:val="00EB65E2"/>
    <w:rsid w:val="00EB6E15"/>
    <w:rsid w:val="00EB7450"/>
    <w:rsid w:val="00EC02C9"/>
    <w:rsid w:val="00EC26B2"/>
    <w:rsid w:val="00EC2A1E"/>
    <w:rsid w:val="00EC396E"/>
    <w:rsid w:val="00EC539C"/>
    <w:rsid w:val="00EC5487"/>
    <w:rsid w:val="00EC5982"/>
    <w:rsid w:val="00EC5A84"/>
    <w:rsid w:val="00EC5C34"/>
    <w:rsid w:val="00EC6E5C"/>
    <w:rsid w:val="00EC75E4"/>
    <w:rsid w:val="00EC7B1C"/>
    <w:rsid w:val="00EC7CC0"/>
    <w:rsid w:val="00EC7DC1"/>
    <w:rsid w:val="00ED011B"/>
    <w:rsid w:val="00ED06F8"/>
    <w:rsid w:val="00ED1DF7"/>
    <w:rsid w:val="00ED2426"/>
    <w:rsid w:val="00ED272C"/>
    <w:rsid w:val="00ED2A90"/>
    <w:rsid w:val="00ED2E3F"/>
    <w:rsid w:val="00ED2FE6"/>
    <w:rsid w:val="00ED3AFB"/>
    <w:rsid w:val="00ED40E1"/>
    <w:rsid w:val="00ED458B"/>
    <w:rsid w:val="00ED6BCC"/>
    <w:rsid w:val="00ED6F79"/>
    <w:rsid w:val="00ED7E2F"/>
    <w:rsid w:val="00EE0625"/>
    <w:rsid w:val="00EE09A8"/>
    <w:rsid w:val="00EE0EA9"/>
    <w:rsid w:val="00EE1E17"/>
    <w:rsid w:val="00EE21C0"/>
    <w:rsid w:val="00EE24D0"/>
    <w:rsid w:val="00EE2BF9"/>
    <w:rsid w:val="00EE3912"/>
    <w:rsid w:val="00EE3A21"/>
    <w:rsid w:val="00EE3E5A"/>
    <w:rsid w:val="00EE44F2"/>
    <w:rsid w:val="00EE59A6"/>
    <w:rsid w:val="00EE5EEC"/>
    <w:rsid w:val="00EE6055"/>
    <w:rsid w:val="00EE64B1"/>
    <w:rsid w:val="00EF088C"/>
    <w:rsid w:val="00EF297C"/>
    <w:rsid w:val="00EF334E"/>
    <w:rsid w:val="00EF36DF"/>
    <w:rsid w:val="00EF3E06"/>
    <w:rsid w:val="00EF5120"/>
    <w:rsid w:val="00EF62C7"/>
    <w:rsid w:val="00EF6859"/>
    <w:rsid w:val="00EF6B58"/>
    <w:rsid w:val="00F0084E"/>
    <w:rsid w:val="00F009B9"/>
    <w:rsid w:val="00F00EE1"/>
    <w:rsid w:val="00F024C6"/>
    <w:rsid w:val="00F02901"/>
    <w:rsid w:val="00F02B15"/>
    <w:rsid w:val="00F02D05"/>
    <w:rsid w:val="00F03121"/>
    <w:rsid w:val="00F03EDE"/>
    <w:rsid w:val="00F04816"/>
    <w:rsid w:val="00F05B11"/>
    <w:rsid w:val="00F0652D"/>
    <w:rsid w:val="00F07382"/>
    <w:rsid w:val="00F11868"/>
    <w:rsid w:val="00F127F9"/>
    <w:rsid w:val="00F12CB4"/>
    <w:rsid w:val="00F13086"/>
    <w:rsid w:val="00F14AA0"/>
    <w:rsid w:val="00F1535D"/>
    <w:rsid w:val="00F1620E"/>
    <w:rsid w:val="00F164CA"/>
    <w:rsid w:val="00F20636"/>
    <w:rsid w:val="00F20B9E"/>
    <w:rsid w:val="00F22FF6"/>
    <w:rsid w:val="00F23007"/>
    <w:rsid w:val="00F230FC"/>
    <w:rsid w:val="00F23A21"/>
    <w:rsid w:val="00F24B80"/>
    <w:rsid w:val="00F25BEA"/>
    <w:rsid w:val="00F25E5E"/>
    <w:rsid w:val="00F26CB2"/>
    <w:rsid w:val="00F27062"/>
    <w:rsid w:val="00F27588"/>
    <w:rsid w:val="00F301BB"/>
    <w:rsid w:val="00F30310"/>
    <w:rsid w:val="00F317B1"/>
    <w:rsid w:val="00F327C6"/>
    <w:rsid w:val="00F32F48"/>
    <w:rsid w:val="00F341B0"/>
    <w:rsid w:val="00F34D6E"/>
    <w:rsid w:val="00F35098"/>
    <w:rsid w:val="00F35F88"/>
    <w:rsid w:val="00F36686"/>
    <w:rsid w:val="00F376BF"/>
    <w:rsid w:val="00F40EE8"/>
    <w:rsid w:val="00F418DE"/>
    <w:rsid w:val="00F4295A"/>
    <w:rsid w:val="00F4439E"/>
    <w:rsid w:val="00F44FD0"/>
    <w:rsid w:val="00F45384"/>
    <w:rsid w:val="00F46981"/>
    <w:rsid w:val="00F47C9A"/>
    <w:rsid w:val="00F5010F"/>
    <w:rsid w:val="00F50683"/>
    <w:rsid w:val="00F50BF1"/>
    <w:rsid w:val="00F51032"/>
    <w:rsid w:val="00F51C25"/>
    <w:rsid w:val="00F53788"/>
    <w:rsid w:val="00F54112"/>
    <w:rsid w:val="00F55382"/>
    <w:rsid w:val="00F56525"/>
    <w:rsid w:val="00F6152F"/>
    <w:rsid w:val="00F61AD7"/>
    <w:rsid w:val="00F63654"/>
    <w:rsid w:val="00F641B2"/>
    <w:rsid w:val="00F64BA2"/>
    <w:rsid w:val="00F64CF4"/>
    <w:rsid w:val="00F6533F"/>
    <w:rsid w:val="00F65B28"/>
    <w:rsid w:val="00F65BDF"/>
    <w:rsid w:val="00F66921"/>
    <w:rsid w:val="00F66B23"/>
    <w:rsid w:val="00F67750"/>
    <w:rsid w:val="00F70B56"/>
    <w:rsid w:val="00F70E7B"/>
    <w:rsid w:val="00F70F90"/>
    <w:rsid w:val="00F72795"/>
    <w:rsid w:val="00F72E67"/>
    <w:rsid w:val="00F72FB4"/>
    <w:rsid w:val="00F73908"/>
    <w:rsid w:val="00F73A99"/>
    <w:rsid w:val="00F746CD"/>
    <w:rsid w:val="00F7490C"/>
    <w:rsid w:val="00F74983"/>
    <w:rsid w:val="00F74B12"/>
    <w:rsid w:val="00F7506B"/>
    <w:rsid w:val="00F80035"/>
    <w:rsid w:val="00F8109E"/>
    <w:rsid w:val="00F813F7"/>
    <w:rsid w:val="00F81C8E"/>
    <w:rsid w:val="00F81D0C"/>
    <w:rsid w:val="00F82288"/>
    <w:rsid w:val="00F83394"/>
    <w:rsid w:val="00F839AA"/>
    <w:rsid w:val="00F840EC"/>
    <w:rsid w:val="00F861D3"/>
    <w:rsid w:val="00F8662B"/>
    <w:rsid w:val="00F86775"/>
    <w:rsid w:val="00F87734"/>
    <w:rsid w:val="00F87D51"/>
    <w:rsid w:val="00F9111D"/>
    <w:rsid w:val="00F91758"/>
    <w:rsid w:val="00F920C6"/>
    <w:rsid w:val="00F9268D"/>
    <w:rsid w:val="00F9298C"/>
    <w:rsid w:val="00F92D0E"/>
    <w:rsid w:val="00F92F21"/>
    <w:rsid w:val="00F92F6B"/>
    <w:rsid w:val="00F93F5B"/>
    <w:rsid w:val="00F94E53"/>
    <w:rsid w:val="00FA03D5"/>
    <w:rsid w:val="00FA1193"/>
    <w:rsid w:val="00FA1A07"/>
    <w:rsid w:val="00FA1A53"/>
    <w:rsid w:val="00FA1F02"/>
    <w:rsid w:val="00FA2129"/>
    <w:rsid w:val="00FA3011"/>
    <w:rsid w:val="00FA3E48"/>
    <w:rsid w:val="00FA3FF5"/>
    <w:rsid w:val="00FA406A"/>
    <w:rsid w:val="00FA5DA0"/>
    <w:rsid w:val="00FA61C4"/>
    <w:rsid w:val="00FA64E2"/>
    <w:rsid w:val="00FA6BC5"/>
    <w:rsid w:val="00FA752F"/>
    <w:rsid w:val="00FA7B25"/>
    <w:rsid w:val="00FA7D3B"/>
    <w:rsid w:val="00FB0758"/>
    <w:rsid w:val="00FB11C4"/>
    <w:rsid w:val="00FB18D8"/>
    <w:rsid w:val="00FB2EA7"/>
    <w:rsid w:val="00FB3704"/>
    <w:rsid w:val="00FB4387"/>
    <w:rsid w:val="00FB45C7"/>
    <w:rsid w:val="00FB4F56"/>
    <w:rsid w:val="00FB53DF"/>
    <w:rsid w:val="00FB580A"/>
    <w:rsid w:val="00FB6BEC"/>
    <w:rsid w:val="00FB6F3F"/>
    <w:rsid w:val="00FB72E5"/>
    <w:rsid w:val="00FB75F2"/>
    <w:rsid w:val="00FC01E6"/>
    <w:rsid w:val="00FC0571"/>
    <w:rsid w:val="00FC087B"/>
    <w:rsid w:val="00FC087D"/>
    <w:rsid w:val="00FC0F72"/>
    <w:rsid w:val="00FC1FC8"/>
    <w:rsid w:val="00FC220A"/>
    <w:rsid w:val="00FC2DB0"/>
    <w:rsid w:val="00FC2DB9"/>
    <w:rsid w:val="00FC37F1"/>
    <w:rsid w:val="00FC394A"/>
    <w:rsid w:val="00FC3955"/>
    <w:rsid w:val="00FC398B"/>
    <w:rsid w:val="00FC48C3"/>
    <w:rsid w:val="00FC5A2C"/>
    <w:rsid w:val="00FC7D69"/>
    <w:rsid w:val="00FD0491"/>
    <w:rsid w:val="00FD05D2"/>
    <w:rsid w:val="00FD2333"/>
    <w:rsid w:val="00FD24F5"/>
    <w:rsid w:val="00FD2DFB"/>
    <w:rsid w:val="00FD3E1D"/>
    <w:rsid w:val="00FD4586"/>
    <w:rsid w:val="00FD50B6"/>
    <w:rsid w:val="00FD573B"/>
    <w:rsid w:val="00FD7CE9"/>
    <w:rsid w:val="00FD7E8A"/>
    <w:rsid w:val="00FE046F"/>
    <w:rsid w:val="00FE19C3"/>
    <w:rsid w:val="00FE21BF"/>
    <w:rsid w:val="00FE4D17"/>
    <w:rsid w:val="00FE7403"/>
    <w:rsid w:val="00FE7571"/>
    <w:rsid w:val="00FF00BB"/>
    <w:rsid w:val="00FF0D74"/>
    <w:rsid w:val="00FF0E4B"/>
    <w:rsid w:val="00FF1FDE"/>
    <w:rsid w:val="00FF2D98"/>
    <w:rsid w:val="00FF4BDE"/>
    <w:rsid w:val="00FF5134"/>
    <w:rsid w:val="00FF5791"/>
    <w:rsid w:val="00FF58DD"/>
    <w:rsid w:val="00FF5B94"/>
    <w:rsid w:val="00FF60F8"/>
    <w:rsid w:val="00FF7A36"/>
    <w:rsid w:val="00FF7B33"/>
    <w:rsid w:val="01557003"/>
    <w:rsid w:val="01A61472"/>
    <w:rsid w:val="037E5897"/>
    <w:rsid w:val="05F2566A"/>
    <w:rsid w:val="06E17719"/>
    <w:rsid w:val="08632673"/>
    <w:rsid w:val="09D4024E"/>
    <w:rsid w:val="0D5A6E00"/>
    <w:rsid w:val="0EDE13D3"/>
    <w:rsid w:val="0FC81D84"/>
    <w:rsid w:val="10204D46"/>
    <w:rsid w:val="11524191"/>
    <w:rsid w:val="12C55955"/>
    <w:rsid w:val="13AC347F"/>
    <w:rsid w:val="17EC56CB"/>
    <w:rsid w:val="18A02C67"/>
    <w:rsid w:val="18E02DEE"/>
    <w:rsid w:val="1A516401"/>
    <w:rsid w:val="1BE94AE7"/>
    <w:rsid w:val="1C121B5F"/>
    <w:rsid w:val="1D9D21A3"/>
    <w:rsid w:val="1EA933CB"/>
    <w:rsid w:val="20041550"/>
    <w:rsid w:val="22234BC2"/>
    <w:rsid w:val="23314907"/>
    <w:rsid w:val="244961CC"/>
    <w:rsid w:val="25696D0B"/>
    <w:rsid w:val="25CD046B"/>
    <w:rsid w:val="260F4EA2"/>
    <w:rsid w:val="28067F14"/>
    <w:rsid w:val="2856510A"/>
    <w:rsid w:val="286B773C"/>
    <w:rsid w:val="2A4E1620"/>
    <w:rsid w:val="2B014671"/>
    <w:rsid w:val="2B16061F"/>
    <w:rsid w:val="2C557F8B"/>
    <w:rsid w:val="2CDB683C"/>
    <w:rsid w:val="2E12368B"/>
    <w:rsid w:val="308D7C41"/>
    <w:rsid w:val="3185341B"/>
    <w:rsid w:val="331A28B9"/>
    <w:rsid w:val="33653315"/>
    <w:rsid w:val="33E96577"/>
    <w:rsid w:val="36F73446"/>
    <w:rsid w:val="39817AD7"/>
    <w:rsid w:val="3A7941C8"/>
    <w:rsid w:val="3AD87847"/>
    <w:rsid w:val="3C8D3110"/>
    <w:rsid w:val="3E860A7C"/>
    <w:rsid w:val="3FEF03A1"/>
    <w:rsid w:val="40724992"/>
    <w:rsid w:val="417077F9"/>
    <w:rsid w:val="439B680F"/>
    <w:rsid w:val="442F1579"/>
    <w:rsid w:val="45763152"/>
    <w:rsid w:val="486F0FE9"/>
    <w:rsid w:val="48F37A0F"/>
    <w:rsid w:val="4A71277D"/>
    <w:rsid w:val="4BA81516"/>
    <w:rsid w:val="4CE623F6"/>
    <w:rsid w:val="4ED92B46"/>
    <w:rsid w:val="4F221B98"/>
    <w:rsid w:val="509413D0"/>
    <w:rsid w:val="54435DFA"/>
    <w:rsid w:val="54D152BE"/>
    <w:rsid w:val="55AD6372"/>
    <w:rsid w:val="55BB04CC"/>
    <w:rsid w:val="571D0981"/>
    <w:rsid w:val="57885D8F"/>
    <w:rsid w:val="59612FAB"/>
    <w:rsid w:val="5B65793D"/>
    <w:rsid w:val="5E314D33"/>
    <w:rsid w:val="5E56377C"/>
    <w:rsid w:val="5F7079E4"/>
    <w:rsid w:val="608B0B0D"/>
    <w:rsid w:val="619750FC"/>
    <w:rsid w:val="61B80C98"/>
    <w:rsid w:val="638914B1"/>
    <w:rsid w:val="6958779E"/>
    <w:rsid w:val="69B4157E"/>
    <w:rsid w:val="6BD41F0C"/>
    <w:rsid w:val="6DF03514"/>
    <w:rsid w:val="6F96286D"/>
    <w:rsid w:val="709D5A7E"/>
    <w:rsid w:val="70EB7E82"/>
    <w:rsid w:val="74524588"/>
    <w:rsid w:val="75363AA4"/>
    <w:rsid w:val="78464E8C"/>
    <w:rsid w:val="7A4D600D"/>
    <w:rsid w:val="7BD45ED7"/>
    <w:rsid w:val="7CC72E43"/>
    <w:rsid w:val="7DD677ED"/>
    <w:rsid w:val="7EFF7286"/>
    <w:rsid w:val="7FC25D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iPriority="0" w:semiHidden="0" w:name="annotation text"/>
    <w:lsdException w:qFormat="1" w:unhideWhenUsed="0" w:uiPriority="99" w:semiHidden="0" w:name="header"/>
    <w:lsdException w:qFormat="1" w:unhideWhenUsed="0" w:uiPriority="0"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nhideWhenUsed="0"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semiHidden="0"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72" w:line="249" w:lineRule="auto"/>
      <w:ind w:left="218" w:hanging="10"/>
    </w:pPr>
    <w:rPr>
      <w:rFonts w:ascii="仿宋" w:hAnsi="仿宋" w:eastAsia="仿宋" w:cs="仿宋"/>
      <w:color w:val="000000"/>
      <w:kern w:val="2"/>
      <w:sz w:val="24"/>
      <w:szCs w:val="22"/>
      <w:lang w:val="en-US" w:eastAsia="zh-CN" w:bidi="ar-SA"/>
    </w:rPr>
  </w:style>
  <w:style w:type="paragraph" w:styleId="2">
    <w:name w:val="heading 1"/>
    <w:basedOn w:val="1"/>
    <w:next w:val="1"/>
    <w:link w:val="38"/>
    <w:qFormat/>
    <w:uiPriority w:val="0"/>
    <w:pPr>
      <w:keepNext/>
      <w:keepLines/>
      <w:spacing w:after="326" w:line="259" w:lineRule="auto"/>
      <w:ind w:left="95"/>
      <w:jc w:val="center"/>
      <w:outlineLvl w:val="0"/>
    </w:pPr>
    <w:rPr>
      <w:rFonts w:ascii="宋体" w:hAnsi="宋体" w:eastAsia="宋体" w:cs="Times New Roman"/>
      <w:kern w:val="0"/>
      <w:sz w:val="36"/>
      <w:szCs w:val="20"/>
    </w:rPr>
  </w:style>
  <w:style w:type="paragraph" w:styleId="3">
    <w:name w:val="heading 2"/>
    <w:basedOn w:val="1"/>
    <w:next w:val="1"/>
    <w:link w:val="39"/>
    <w:qFormat/>
    <w:uiPriority w:val="0"/>
    <w:pPr>
      <w:keepNext/>
      <w:keepLines/>
      <w:spacing w:after="0" w:line="259" w:lineRule="auto"/>
      <w:outlineLvl w:val="1"/>
    </w:pPr>
    <w:rPr>
      <w:sz w:val="22"/>
    </w:rPr>
  </w:style>
  <w:style w:type="paragraph" w:styleId="4">
    <w:name w:val="heading 3"/>
    <w:basedOn w:val="1"/>
    <w:next w:val="1"/>
    <w:link w:val="40"/>
    <w:qFormat/>
    <w:uiPriority w:val="0"/>
    <w:pPr>
      <w:keepNext/>
      <w:keepLines/>
      <w:spacing w:after="326" w:line="259" w:lineRule="auto"/>
      <w:ind w:left="95"/>
      <w:jc w:val="center"/>
      <w:outlineLvl w:val="2"/>
    </w:pPr>
    <w:rPr>
      <w:rFonts w:ascii="宋体" w:hAnsi="Times New Roman" w:eastAsia="宋体" w:cs="宋体"/>
      <w:sz w:val="22"/>
    </w:rPr>
  </w:style>
  <w:style w:type="paragraph" w:styleId="5">
    <w:name w:val="heading 4"/>
    <w:basedOn w:val="1"/>
    <w:next w:val="1"/>
    <w:link w:val="41"/>
    <w:qFormat/>
    <w:uiPriority w:val="0"/>
    <w:pPr>
      <w:keepNext/>
      <w:keepLines/>
      <w:spacing w:before="280" w:after="290" w:line="376" w:lineRule="auto"/>
      <w:outlineLvl w:val="3"/>
    </w:pPr>
    <w:rPr>
      <w:rFonts w:ascii="等线 Light" w:hAnsi="等线 Light" w:eastAsia="等线 Light" w:cs="Times New Roman"/>
      <w:b/>
      <w:bCs/>
      <w:kern w:val="0"/>
      <w:sz w:val="28"/>
      <w:szCs w:val="28"/>
    </w:rPr>
  </w:style>
  <w:style w:type="paragraph" w:styleId="6">
    <w:name w:val="heading 5"/>
    <w:basedOn w:val="1"/>
    <w:next w:val="1"/>
    <w:link w:val="42"/>
    <w:qFormat/>
    <w:uiPriority w:val="0"/>
    <w:pPr>
      <w:keepNext/>
      <w:keepLines/>
      <w:spacing w:before="280" w:after="290" w:line="376" w:lineRule="auto"/>
      <w:outlineLvl w:val="4"/>
    </w:pPr>
    <w:rPr>
      <w:rFonts w:cs="Times New Roman"/>
      <w:b/>
      <w:bCs/>
      <w:kern w:val="0"/>
      <w:sz w:val="28"/>
      <w:szCs w:val="28"/>
    </w:rPr>
  </w:style>
  <w:style w:type="paragraph" w:styleId="7">
    <w:name w:val="heading 6"/>
    <w:basedOn w:val="1"/>
    <w:next w:val="1"/>
    <w:link w:val="43"/>
    <w:qFormat/>
    <w:uiPriority w:val="0"/>
    <w:pPr>
      <w:keepNext/>
      <w:keepLines/>
      <w:spacing w:before="240" w:after="64" w:line="320" w:lineRule="auto"/>
      <w:outlineLvl w:val="5"/>
    </w:pPr>
    <w:rPr>
      <w:rFonts w:ascii="等线 Light" w:hAnsi="等线 Light" w:eastAsia="等线 Light" w:cs="Times New Roman"/>
      <w:b/>
      <w:bCs/>
      <w:kern w:val="0"/>
      <w:szCs w:val="24"/>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8">
    <w:name w:val="toc 7"/>
    <w:basedOn w:val="1"/>
    <w:next w:val="1"/>
    <w:qFormat/>
    <w:uiPriority w:val="39"/>
    <w:pPr>
      <w:spacing w:after="0"/>
      <w:ind w:left="1440"/>
    </w:pPr>
    <w:rPr>
      <w:rFonts w:ascii="等线" w:eastAsia="等线"/>
      <w:sz w:val="18"/>
      <w:szCs w:val="18"/>
    </w:rPr>
  </w:style>
  <w:style w:type="paragraph" w:styleId="9">
    <w:name w:val="Document Map"/>
    <w:basedOn w:val="1"/>
    <w:link w:val="44"/>
    <w:semiHidden/>
    <w:qFormat/>
    <w:uiPriority w:val="0"/>
    <w:pPr>
      <w:shd w:val="clear" w:color="auto" w:fill="000080"/>
    </w:pPr>
    <w:rPr>
      <w:rFonts w:ascii="宋体" w:eastAsia="宋体" w:cs="Times New Roman"/>
      <w:kern w:val="0"/>
      <w:sz w:val="18"/>
      <w:szCs w:val="18"/>
    </w:rPr>
  </w:style>
  <w:style w:type="paragraph" w:styleId="10">
    <w:name w:val="annotation text"/>
    <w:basedOn w:val="1"/>
    <w:link w:val="45"/>
    <w:unhideWhenUsed/>
    <w:qFormat/>
    <w:uiPriority w:val="0"/>
    <w:rPr>
      <w:rFonts w:cs="Times New Roman"/>
      <w:kern w:val="0"/>
      <w:sz w:val="22"/>
    </w:rPr>
  </w:style>
  <w:style w:type="paragraph" w:styleId="11">
    <w:name w:val="Body Text"/>
    <w:basedOn w:val="1"/>
    <w:link w:val="46"/>
    <w:qFormat/>
    <w:uiPriority w:val="0"/>
    <w:pPr>
      <w:spacing w:after="120"/>
    </w:pPr>
    <w:rPr>
      <w:rFonts w:cs="Times New Roman"/>
      <w:kern w:val="0"/>
      <w:szCs w:val="20"/>
    </w:rPr>
  </w:style>
  <w:style w:type="paragraph" w:styleId="12">
    <w:name w:val="toc 5"/>
    <w:basedOn w:val="1"/>
    <w:next w:val="1"/>
    <w:qFormat/>
    <w:uiPriority w:val="39"/>
    <w:pPr>
      <w:spacing w:after="0"/>
      <w:ind w:left="960"/>
    </w:pPr>
    <w:rPr>
      <w:rFonts w:ascii="等线" w:eastAsia="等线"/>
      <w:sz w:val="18"/>
      <w:szCs w:val="18"/>
    </w:rPr>
  </w:style>
  <w:style w:type="paragraph" w:styleId="13">
    <w:name w:val="toc 3"/>
    <w:basedOn w:val="1"/>
    <w:next w:val="1"/>
    <w:qFormat/>
    <w:uiPriority w:val="39"/>
    <w:pPr>
      <w:spacing w:after="0"/>
      <w:ind w:left="480"/>
    </w:pPr>
    <w:rPr>
      <w:rFonts w:ascii="等线" w:eastAsia="等线"/>
      <w:i/>
      <w:iCs/>
      <w:sz w:val="20"/>
      <w:szCs w:val="20"/>
    </w:rPr>
  </w:style>
  <w:style w:type="paragraph" w:styleId="14">
    <w:name w:val="Plain Text"/>
    <w:basedOn w:val="1"/>
    <w:link w:val="248"/>
    <w:qFormat/>
    <w:uiPriority w:val="0"/>
    <w:pPr>
      <w:widowControl w:val="0"/>
      <w:spacing w:after="0" w:line="240" w:lineRule="auto"/>
      <w:ind w:left="0" w:firstLine="0"/>
      <w:jc w:val="both"/>
    </w:pPr>
    <w:rPr>
      <w:rFonts w:ascii="宋体" w:hAnsi="Courier New" w:eastAsia="宋体" w:cs="Courier New"/>
      <w:color w:val="auto"/>
      <w:sz w:val="28"/>
      <w:szCs w:val="21"/>
    </w:rPr>
  </w:style>
  <w:style w:type="paragraph" w:styleId="15">
    <w:name w:val="toc 8"/>
    <w:basedOn w:val="1"/>
    <w:next w:val="1"/>
    <w:qFormat/>
    <w:uiPriority w:val="39"/>
    <w:pPr>
      <w:spacing w:after="0"/>
      <w:ind w:left="1680"/>
    </w:pPr>
    <w:rPr>
      <w:rFonts w:ascii="等线" w:eastAsia="等线"/>
      <w:sz w:val="18"/>
      <w:szCs w:val="18"/>
    </w:rPr>
  </w:style>
  <w:style w:type="paragraph" w:styleId="16">
    <w:name w:val="Date"/>
    <w:basedOn w:val="1"/>
    <w:next w:val="1"/>
    <w:link w:val="47"/>
    <w:qFormat/>
    <w:uiPriority w:val="99"/>
    <w:pPr>
      <w:ind w:left="100" w:leftChars="2500"/>
    </w:pPr>
    <w:rPr>
      <w:rFonts w:cs="Times New Roman"/>
      <w:kern w:val="0"/>
      <w:szCs w:val="20"/>
    </w:rPr>
  </w:style>
  <w:style w:type="paragraph" w:styleId="17">
    <w:name w:val="Balloon Text"/>
    <w:basedOn w:val="1"/>
    <w:link w:val="48"/>
    <w:qFormat/>
    <w:uiPriority w:val="0"/>
    <w:pPr>
      <w:spacing w:after="0" w:line="240" w:lineRule="auto"/>
    </w:pPr>
    <w:rPr>
      <w:rFonts w:cs="Times New Roman"/>
      <w:kern w:val="0"/>
      <w:sz w:val="18"/>
      <w:szCs w:val="18"/>
    </w:rPr>
  </w:style>
  <w:style w:type="paragraph" w:styleId="18">
    <w:name w:val="footer"/>
    <w:basedOn w:val="1"/>
    <w:link w:val="49"/>
    <w:qFormat/>
    <w:uiPriority w:val="0"/>
    <w:pPr>
      <w:tabs>
        <w:tab w:val="center" w:pos="4153"/>
        <w:tab w:val="right" w:pos="8306"/>
      </w:tabs>
      <w:snapToGrid w:val="0"/>
      <w:spacing w:line="240" w:lineRule="auto"/>
    </w:pPr>
    <w:rPr>
      <w:rFonts w:ascii="Times New Roman" w:hAnsi="Times New Roman" w:eastAsia="宋体" w:cs="Times New Roman"/>
      <w:color w:val="auto"/>
      <w:kern w:val="0"/>
      <w:sz w:val="18"/>
      <w:szCs w:val="18"/>
    </w:rPr>
  </w:style>
  <w:style w:type="paragraph" w:styleId="19">
    <w:name w:val="header"/>
    <w:basedOn w:val="1"/>
    <w:link w:val="50"/>
    <w:qFormat/>
    <w:uiPriority w:val="99"/>
    <w:pPr>
      <w:pBdr>
        <w:bottom w:val="single" w:color="auto" w:sz="6" w:space="1"/>
      </w:pBdr>
      <w:tabs>
        <w:tab w:val="center" w:pos="4153"/>
        <w:tab w:val="right" w:pos="8306"/>
      </w:tabs>
      <w:snapToGrid w:val="0"/>
      <w:spacing w:line="240" w:lineRule="auto"/>
      <w:jc w:val="center"/>
    </w:pPr>
    <w:rPr>
      <w:rFonts w:ascii="Times New Roman" w:hAnsi="Times New Roman" w:eastAsia="宋体" w:cs="Times New Roman"/>
      <w:color w:val="auto"/>
      <w:kern w:val="0"/>
      <w:sz w:val="18"/>
      <w:szCs w:val="18"/>
    </w:rPr>
  </w:style>
  <w:style w:type="paragraph" w:styleId="20">
    <w:name w:val="toc 1"/>
    <w:basedOn w:val="1"/>
    <w:next w:val="1"/>
    <w:qFormat/>
    <w:uiPriority w:val="39"/>
    <w:pPr>
      <w:spacing w:before="120" w:after="120"/>
      <w:ind w:left="0"/>
    </w:pPr>
    <w:rPr>
      <w:rFonts w:ascii="等线" w:eastAsia="等线"/>
      <w:b/>
      <w:bCs/>
      <w:caps/>
      <w:sz w:val="20"/>
      <w:szCs w:val="20"/>
    </w:rPr>
  </w:style>
  <w:style w:type="paragraph" w:styleId="21">
    <w:name w:val="toc 4"/>
    <w:basedOn w:val="1"/>
    <w:next w:val="1"/>
    <w:qFormat/>
    <w:uiPriority w:val="0"/>
    <w:pPr>
      <w:spacing w:after="0"/>
      <w:ind w:left="720"/>
    </w:pPr>
    <w:rPr>
      <w:rFonts w:ascii="等线" w:eastAsia="等线"/>
      <w:sz w:val="18"/>
      <w:szCs w:val="18"/>
    </w:rPr>
  </w:style>
  <w:style w:type="paragraph" w:styleId="22">
    <w:name w:val="Subtitle"/>
    <w:basedOn w:val="1"/>
    <w:next w:val="1"/>
    <w:link w:val="247"/>
    <w:qFormat/>
    <w:locked/>
    <w:uiPriority w:val="0"/>
    <w:pPr>
      <w:widowControl w:val="0"/>
      <w:spacing w:before="240" w:after="60" w:line="312" w:lineRule="auto"/>
      <w:ind w:left="0" w:firstLine="0"/>
      <w:jc w:val="center"/>
      <w:outlineLvl w:val="1"/>
    </w:pPr>
    <w:rPr>
      <w:rFonts w:ascii="Cambria" w:hAnsi="Cambria" w:eastAsia="宋体" w:cs="Times New Roman"/>
      <w:b/>
      <w:bCs/>
      <w:color w:val="auto"/>
      <w:kern w:val="28"/>
      <w:sz w:val="32"/>
      <w:szCs w:val="32"/>
    </w:rPr>
  </w:style>
  <w:style w:type="paragraph" w:styleId="23">
    <w:name w:val="toc 6"/>
    <w:basedOn w:val="1"/>
    <w:next w:val="1"/>
    <w:qFormat/>
    <w:uiPriority w:val="39"/>
    <w:pPr>
      <w:spacing w:after="0"/>
      <w:ind w:left="1200"/>
    </w:pPr>
    <w:rPr>
      <w:rFonts w:ascii="等线" w:eastAsia="等线"/>
      <w:sz w:val="18"/>
      <w:szCs w:val="18"/>
    </w:rPr>
  </w:style>
  <w:style w:type="paragraph" w:styleId="24">
    <w:name w:val="Body Text Indent 3"/>
    <w:basedOn w:val="1"/>
    <w:link w:val="51"/>
    <w:qFormat/>
    <w:uiPriority w:val="0"/>
    <w:pPr>
      <w:widowControl w:val="0"/>
      <w:spacing w:after="120" w:line="240" w:lineRule="auto"/>
      <w:ind w:left="420" w:leftChars="200" w:firstLine="0"/>
      <w:jc w:val="both"/>
    </w:pPr>
    <w:rPr>
      <w:rFonts w:ascii="Times New Roman" w:hAnsi="Times New Roman" w:eastAsia="宋体" w:cs="Times New Roman"/>
      <w:color w:val="auto"/>
      <w:kern w:val="0"/>
      <w:sz w:val="16"/>
      <w:szCs w:val="16"/>
    </w:rPr>
  </w:style>
  <w:style w:type="paragraph" w:styleId="25">
    <w:name w:val="toc 2"/>
    <w:basedOn w:val="1"/>
    <w:next w:val="1"/>
    <w:qFormat/>
    <w:uiPriority w:val="39"/>
    <w:pPr>
      <w:spacing w:after="0"/>
      <w:ind w:left="240"/>
    </w:pPr>
    <w:rPr>
      <w:rFonts w:ascii="等线" w:eastAsia="等线"/>
      <w:smallCaps/>
      <w:sz w:val="20"/>
      <w:szCs w:val="20"/>
    </w:rPr>
  </w:style>
  <w:style w:type="paragraph" w:styleId="26">
    <w:name w:val="toc 9"/>
    <w:basedOn w:val="1"/>
    <w:next w:val="1"/>
    <w:qFormat/>
    <w:uiPriority w:val="39"/>
    <w:pPr>
      <w:spacing w:after="0"/>
      <w:ind w:left="1920"/>
    </w:pPr>
    <w:rPr>
      <w:rFonts w:ascii="等线" w:eastAsia="等线"/>
      <w:sz w:val="18"/>
      <w:szCs w:val="18"/>
    </w:rPr>
  </w:style>
  <w:style w:type="paragraph" w:styleId="27">
    <w:name w:val="Normal (Web)"/>
    <w:basedOn w:val="1"/>
    <w:qFormat/>
    <w:uiPriority w:val="99"/>
    <w:pPr>
      <w:spacing w:before="100" w:beforeAutospacing="1" w:after="100" w:afterAutospacing="1" w:line="240" w:lineRule="auto"/>
      <w:ind w:left="0" w:firstLine="0"/>
    </w:pPr>
    <w:rPr>
      <w:rFonts w:ascii="宋体" w:hAnsi="宋体" w:eastAsia="等线" w:cs="宋体"/>
      <w:color w:val="auto"/>
      <w:kern w:val="0"/>
      <w:szCs w:val="24"/>
    </w:rPr>
  </w:style>
  <w:style w:type="paragraph" w:styleId="28">
    <w:name w:val="Title"/>
    <w:basedOn w:val="1"/>
    <w:next w:val="1"/>
    <w:link w:val="242"/>
    <w:qFormat/>
    <w:locked/>
    <w:uiPriority w:val="0"/>
    <w:pPr>
      <w:widowControl w:val="0"/>
      <w:spacing w:before="240" w:after="60" w:line="240" w:lineRule="auto"/>
      <w:ind w:left="0" w:firstLine="0"/>
      <w:jc w:val="center"/>
      <w:outlineLvl w:val="0"/>
    </w:pPr>
    <w:rPr>
      <w:rFonts w:ascii="Calibri Light" w:hAnsi="Calibri Light" w:eastAsia="宋体" w:cs="黑体"/>
      <w:b/>
      <w:bCs/>
      <w:color w:val="auto"/>
      <w:sz w:val="32"/>
      <w:szCs w:val="32"/>
    </w:rPr>
  </w:style>
  <w:style w:type="paragraph" w:styleId="29">
    <w:name w:val="annotation subject"/>
    <w:basedOn w:val="10"/>
    <w:next w:val="10"/>
    <w:link w:val="52"/>
    <w:unhideWhenUsed/>
    <w:qFormat/>
    <w:uiPriority w:val="99"/>
    <w:rPr>
      <w:b/>
      <w:bCs/>
    </w:rPr>
  </w:style>
  <w:style w:type="table" w:styleId="31">
    <w:name w:val="Table Grid"/>
    <w:basedOn w:val="3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3">
    <w:name w:val="Strong"/>
    <w:qFormat/>
    <w:locked/>
    <w:uiPriority w:val="0"/>
    <w:rPr>
      <w:rFonts w:cs="Times New Roman"/>
      <w:b/>
      <w:bCs/>
    </w:rPr>
  </w:style>
  <w:style w:type="character" w:styleId="34">
    <w:name w:val="page number"/>
    <w:qFormat/>
    <w:uiPriority w:val="0"/>
    <w:rPr>
      <w:rFonts w:cs="Times New Roman"/>
    </w:rPr>
  </w:style>
  <w:style w:type="character" w:styleId="35">
    <w:name w:val="FollowedHyperlink"/>
    <w:basedOn w:val="32"/>
    <w:unhideWhenUsed/>
    <w:qFormat/>
    <w:uiPriority w:val="99"/>
    <w:rPr>
      <w:color w:val="800080"/>
      <w:u w:val="single"/>
    </w:rPr>
  </w:style>
  <w:style w:type="character" w:styleId="36">
    <w:name w:val="Hyperlink"/>
    <w:qFormat/>
    <w:uiPriority w:val="99"/>
    <w:rPr>
      <w:rFonts w:cs="Times New Roman"/>
      <w:color w:val="0000FF"/>
      <w:u w:val="single"/>
    </w:rPr>
  </w:style>
  <w:style w:type="character" w:styleId="37">
    <w:name w:val="annotation reference"/>
    <w:unhideWhenUsed/>
    <w:qFormat/>
    <w:uiPriority w:val="99"/>
    <w:rPr>
      <w:rFonts w:cs="Times New Roman"/>
      <w:sz w:val="21"/>
      <w:szCs w:val="21"/>
    </w:rPr>
  </w:style>
  <w:style w:type="character" w:customStyle="1" w:styleId="38">
    <w:name w:val="标题 1 Char"/>
    <w:link w:val="2"/>
    <w:qFormat/>
    <w:locked/>
    <w:uiPriority w:val="0"/>
    <w:rPr>
      <w:rFonts w:ascii="宋体" w:hAnsi="宋体" w:eastAsia="宋体" w:cs="宋体"/>
      <w:color w:val="000000"/>
      <w:sz w:val="36"/>
    </w:rPr>
  </w:style>
  <w:style w:type="character" w:customStyle="1" w:styleId="39">
    <w:name w:val="标题 2 Char"/>
    <w:link w:val="3"/>
    <w:qFormat/>
    <w:locked/>
    <w:uiPriority w:val="0"/>
    <w:rPr>
      <w:rFonts w:ascii="仿宋" w:hAnsi="仿宋" w:eastAsia="仿宋" w:cs="仿宋"/>
      <w:color w:val="000000"/>
      <w:kern w:val="2"/>
      <w:sz w:val="22"/>
      <w:szCs w:val="22"/>
      <w:lang w:val="en-US" w:eastAsia="zh-CN" w:bidi="ar-SA"/>
    </w:rPr>
  </w:style>
  <w:style w:type="character" w:customStyle="1" w:styleId="40">
    <w:name w:val="标题 3 Char"/>
    <w:link w:val="4"/>
    <w:qFormat/>
    <w:locked/>
    <w:uiPriority w:val="0"/>
    <w:rPr>
      <w:rFonts w:ascii="宋体" w:eastAsia="宋体" w:cs="宋体"/>
      <w:color w:val="000000"/>
      <w:kern w:val="2"/>
      <w:sz w:val="22"/>
      <w:szCs w:val="22"/>
      <w:lang w:val="en-US" w:eastAsia="zh-CN" w:bidi="ar-SA"/>
    </w:rPr>
  </w:style>
  <w:style w:type="character" w:customStyle="1" w:styleId="41">
    <w:name w:val="标题 4 Char"/>
    <w:link w:val="5"/>
    <w:qFormat/>
    <w:locked/>
    <w:uiPriority w:val="0"/>
    <w:rPr>
      <w:rFonts w:ascii="等线 Light" w:hAnsi="等线 Light" w:eastAsia="等线 Light" w:cs="Times New Roman"/>
      <w:b/>
      <w:bCs/>
      <w:color w:val="000000"/>
      <w:sz w:val="28"/>
      <w:szCs w:val="28"/>
    </w:rPr>
  </w:style>
  <w:style w:type="character" w:customStyle="1" w:styleId="42">
    <w:name w:val="标题 5 Char"/>
    <w:link w:val="6"/>
    <w:semiHidden/>
    <w:qFormat/>
    <w:locked/>
    <w:uiPriority w:val="0"/>
    <w:rPr>
      <w:rFonts w:ascii="仿宋" w:hAnsi="仿宋" w:eastAsia="仿宋" w:cs="仿宋"/>
      <w:b/>
      <w:bCs/>
      <w:color w:val="000000"/>
      <w:sz w:val="28"/>
      <w:szCs w:val="28"/>
    </w:rPr>
  </w:style>
  <w:style w:type="character" w:customStyle="1" w:styleId="43">
    <w:name w:val="标题 6 Char"/>
    <w:link w:val="7"/>
    <w:semiHidden/>
    <w:qFormat/>
    <w:locked/>
    <w:uiPriority w:val="0"/>
    <w:rPr>
      <w:rFonts w:ascii="等线 Light" w:hAnsi="等线 Light" w:eastAsia="等线 Light" w:cs="Times New Roman"/>
      <w:b/>
      <w:bCs/>
      <w:color w:val="000000"/>
      <w:sz w:val="24"/>
      <w:szCs w:val="24"/>
    </w:rPr>
  </w:style>
  <w:style w:type="character" w:customStyle="1" w:styleId="44">
    <w:name w:val="文档结构图 Char"/>
    <w:link w:val="9"/>
    <w:qFormat/>
    <w:locked/>
    <w:uiPriority w:val="0"/>
    <w:rPr>
      <w:rFonts w:ascii="宋体" w:hAnsi="仿宋" w:cs="仿宋"/>
      <w:color w:val="000000"/>
      <w:sz w:val="18"/>
      <w:szCs w:val="18"/>
    </w:rPr>
  </w:style>
  <w:style w:type="character" w:customStyle="1" w:styleId="45">
    <w:name w:val="批注文字 Char"/>
    <w:link w:val="10"/>
    <w:qFormat/>
    <w:locked/>
    <w:uiPriority w:val="0"/>
    <w:rPr>
      <w:rFonts w:ascii="仿宋" w:hAnsi="仿宋" w:eastAsia="仿宋" w:cs="仿宋"/>
      <w:color w:val="000000"/>
      <w:sz w:val="22"/>
      <w:szCs w:val="22"/>
    </w:rPr>
  </w:style>
  <w:style w:type="character" w:customStyle="1" w:styleId="46">
    <w:name w:val="正文文本 Char"/>
    <w:link w:val="11"/>
    <w:qFormat/>
    <w:locked/>
    <w:uiPriority w:val="0"/>
    <w:rPr>
      <w:rFonts w:ascii="仿宋" w:hAnsi="仿宋" w:eastAsia="仿宋" w:cs="仿宋"/>
      <w:color w:val="000000"/>
      <w:sz w:val="24"/>
    </w:rPr>
  </w:style>
  <w:style w:type="character" w:customStyle="1" w:styleId="47">
    <w:name w:val="日期 Char"/>
    <w:link w:val="16"/>
    <w:qFormat/>
    <w:locked/>
    <w:uiPriority w:val="0"/>
    <w:rPr>
      <w:rFonts w:ascii="仿宋" w:hAnsi="仿宋" w:eastAsia="仿宋" w:cs="仿宋"/>
      <w:color w:val="000000"/>
      <w:sz w:val="24"/>
    </w:rPr>
  </w:style>
  <w:style w:type="character" w:customStyle="1" w:styleId="48">
    <w:name w:val="批注框文本 Char"/>
    <w:link w:val="17"/>
    <w:qFormat/>
    <w:locked/>
    <w:uiPriority w:val="0"/>
    <w:rPr>
      <w:rFonts w:ascii="仿宋" w:hAnsi="仿宋" w:eastAsia="仿宋" w:cs="仿宋"/>
      <w:color w:val="000000"/>
      <w:sz w:val="18"/>
      <w:szCs w:val="18"/>
    </w:rPr>
  </w:style>
  <w:style w:type="character" w:customStyle="1" w:styleId="49">
    <w:name w:val="页脚 Char"/>
    <w:link w:val="18"/>
    <w:qFormat/>
    <w:locked/>
    <w:uiPriority w:val="0"/>
    <w:rPr>
      <w:rFonts w:cs="Times New Roman"/>
      <w:sz w:val="18"/>
      <w:szCs w:val="18"/>
    </w:rPr>
  </w:style>
  <w:style w:type="character" w:customStyle="1" w:styleId="50">
    <w:name w:val="页眉 Char"/>
    <w:link w:val="19"/>
    <w:qFormat/>
    <w:locked/>
    <w:uiPriority w:val="99"/>
    <w:rPr>
      <w:rFonts w:cs="Times New Roman"/>
      <w:sz w:val="18"/>
      <w:szCs w:val="18"/>
    </w:rPr>
  </w:style>
  <w:style w:type="character" w:customStyle="1" w:styleId="51">
    <w:name w:val="正文文本缩进 3 Char"/>
    <w:link w:val="24"/>
    <w:qFormat/>
    <w:locked/>
    <w:uiPriority w:val="0"/>
    <w:rPr>
      <w:rFonts w:ascii="Times New Roman" w:hAnsi="Times New Roman" w:eastAsia="宋体" w:cs="Times New Roman"/>
      <w:sz w:val="16"/>
      <w:szCs w:val="16"/>
    </w:rPr>
  </w:style>
  <w:style w:type="character" w:customStyle="1" w:styleId="52">
    <w:name w:val="批注主题 Char"/>
    <w:link w:val="29"/>
    <w:qFormat/>
    <w:locked/>
    <w:uiPriority w:val="0"/>
    <w:rPr>
      <w:rFonts w:ascii="仿宋" w:hAnsi="仿宋" w:eastAsia="仿宋" w:cs="仿宋"/>
      <w:b/>
      <w:bCs/>
      <w:color w:val="000000"/>
      <w:sz w:val="22"/>
      <w:szCs w:val="22"/>
    </w:rPr>
  </w:style>
  <w:style w:type="paragraph" w:customStyle="1" w:styleId="53">
    <w:name w:val="列出段落1"/>
    <w:basedOn w:val="1"/>
    <w:qFormat/>
    <w:uiPriority w:val="34"/>
    <w:pPr>
      <w:ind w:firstLine="420" w:firstLineChars="200"/>
    </w:pPr>
  </w:style>
  <w:style w:type="paragraph" w:customStyle="1" w:styleId="54">
    <w:name w:val="Default"/>
    <w:qFormat/>
    <w:uiPriority w:val="0"/>
    <w:pPr>
      <w:widowControl w:val="0"/>
      <w:autoSpaceDE w:val="0"/>
      <w:autoSpaceDN w:val="0"/>
      <w:adjustRightInd w:val="0"/>
    </w:pPr>
    <w:rPr>
      <w:rFonts w:ascii="仿宋" w:hAnsi="仿宋" w:eastAsia="等线" w:cs="仿宋"/>
      <w:color w:val="000000"/>
      <w:sz w:val="24"/>
      <w:szCs w:val="24"/>
      <w:lang w:val="en-US" w:eastAsia="zh-CN" w:bidi="ar-SA"/>
    </w:rPr>
  </w:style>
  <w:style w:type="paragraph" w:customStyle="1" w:styleId="55">
    <w:name w:val="Table Paragraph"/>
    <w:basedOn w:val="1"/>
    <w:qFormat/>
    <w:uiPriority w:val="0"/>
    <w:pPr>
      <w:widowControl w:val="0"/>
      <w:spacing w:after="0" w:line="240" w:lineRule="auto"/>
      <w:ind w:left="0" w:firstLine="0"/>
    </w:pPr>
    <w:rPr>
      <w:rFonts w:ascii="等线" w:hAnsi="等线" w:eastAsia="等线" w:cs="Times New Roman"/>
      <w:color w:val="auto"/>
      <w:kern w:val="0"/>
      <w:sz w:val="22"/>
      <w:lang w:eastAsia="en-US"/>
    </w:rPr>
  </w:style>
  <w:style w:type="paragraph" w:customStyle="1" w:styleId="56">
    <w:name w:val="标题1（自）"/>
    <w:next w:val="1"/>
    <w:qFormat/>
    <w:uiPriority w:val="0"/>
    <w:pPr>
      <w:widowControl w:val="0"/>
      <w:spacing w:beforeLines="50" w:afterLines="50"/>
      <w:jc w:val="center"/>
      <w:outlineLvl w:val="0"/>
    </w:pPr>
    <w:rPr>
      <w:rFonts w:ascii="方正小标宋简体" w:hAnsi="方正小标宋简体" w:eastAsia="方正小标宋简体" w:cs="Times New Roman"/>
      <w:sz w:val="44"/>
      <w:szCs w:val="32"/>
      <w:lang w:val="en-US" w:eastAsia="zh-CN" w:bidi="ar-SA"/>
    </w:rPr>
  </w:style>
  <w:style w:type="paragraph" w:customStyle="1" w:styleId="57">
    <w:name w:val="正文（三号）"/>
    <w:qFormat/>
    <w:uiPriority w:val="0"/>
    <w:pPr>
      <w:widowControl w:val="0"/>
      <w:ind w:firstLine="880" w:firstLineChars="200"/>
      <w:jc w:val="both"/>
    </w:pPr>
    <w:rPr>
      <w:rFonts w:ascii="宋体" w:hAnsi="宋体" w:eastAsia="宋体" w:cs="Times New Roman"/>
      <w:sz w:val="28"/>
      <w:szCs w:val="32"/>
      <w:lang w:val="en-US" w:eastAsia="zh-CN" w:bidi="ar-SA"/>
    </w:rPr>
  </w:style>
  <w:style w:type="paragraph" w:customStyle="1" w:styleId="58">
    <w:name w:val="标题2（自）"/>
    <w:next w:val="57"/>
    <w:qFormat/>
    <w:uiPriority w:val="0"/>
    <w:pPr>
      <w:widowControl w:val="0"/>
      <w:spacing w:beforeLines="50" w:afterLines="50"/>
      <w:jc w:val="center"/>
      <w:outlineLvl w:val="1"/>
    </w:pPr>
    <w:rPr>
      <w:rFonts w:ascii="黑体" w:hAnsi="黑体" w:eastAsia="黑体" w:cs="Times New Roman"/>
      <w:b/>
      <w:sz w:val="32"/>
      <w:szCs w:val="32"/>
      <w:lang w:val="en-US" w:eastAsia="zh-CN" w:bidi="ar-SA"/>
    </w:rPr>
  </w:style>
  <w:style w:type="paragraph" w:customStyle="1" w:styleId="59">
    <w:name w:val="段"/>
    <w:link w:val="60"/>
    <w:qFormat/>
    <w:uiPriority w:val="0"/>
    <w:pPr>
      <w:tabs>
        <w:tab w:val="center" w:pos="4201"/>
        <w:tab w:val="right" w:leader="dot" w:pos="9298"/>
      </w:tabs>
      <w:autoSpaceDE w:val="0"/>
      <w:autoSpaceDN w:val="0"/>
      <w:ind w:firstLine="420" w:firstLineChars="200"/>
      <w:jc w:val="both"/>
    </w:pPr>
    <w:rPr>
      <w:rFonts w:ascii="宋体" w:hAnsi="Times New Roman" w:eastAsia="Times New Roman" w:cs="Times New Roman"/>
      <w:sz w:val="21"/>
      <w:lang w:val="en-US" w:eastAsia="zh-CN" w:bidi="ar-SA"/>
    </w:rPr>
  </w:style>
  <w:style w:type="character" w:customStyle="1" w:styleId="60">
    <w:name w:val="段 Char"/>
    <w:link w:val="59"/>
    <w:qFormat/>
    <w:locked/>
    <w:uiPriority w:val="0"/>
    <w:rPr>
      <w:rFonts w:ascii="宋体" w:eastAsia="Times New Roman"/>
      <w:sz w:val="21"/>
      <w:lang w:val="en-US" w:eastAsia="zh-CN" w:bidi="ar-SA"/>
    </w:rPr>
  </w:style>
  <w:style w:type="paragraph" w:customStyle="1" w:styleId="61">
    <w:name w:val="字母编号列项（一级）"/>
    <w:qFormat/>
    <w:uiPriority w:val="0"/>
    <w:pPr>
      <w:tabs>
        <w:tab w:val="left" w:pos="780"/>
        <w:tab w:val="left" w:pos="839"/>
      </w:tabs>
      <w:ind w:left="780" w:hanging="360"/>
      <w:jc w:val="both"/>
    </w:pPr>
    <w:rPr>
      <w:rFonts w:ascii="宋体" w:hAnsi="Times New Roman" w:eastAsia="宋体" w:cs="Times New Roman"/>
      <w:sz w:val="21"/>
      <w:lang w:val="en-US" w:eastAsia="zh-CN" w:bidi="ar-SA"/>
    </w:rPr>
  </w:style>
  <w:style w:type="paragraph" w:customStyle="1" w:styleId="62">
    <w:name w:val="数字编号列项（二级）"/>
    <w:qFormat/>
    <w:uiPriority w:val="0"/>
    <w:pPr>
      <w:tabs>
        <w:tab w:val="left" w:pos="780"/>
        <w:tab w:val="left" w:pos="1259"/>
      </w:tabs>
      <w:ind w:left="780" w:hanging="360"/>
      <w:jc w:val="both"/>
    </w:pPr>
    <w:rPr>
      <w:rFonts w:ascii="宋体" w:hAnsi="Times New Roman" w:eastAsia="宋体" w:cs="Times New Roman"/>
      <w:sz w:val="21"/>
      <w:lang w:val="en-US" w:eastAsia="zh-CN" w:bidi="ar-SA"/>
    </w:rPr>
  </w:style>
  <w:style w:type="paragraph" w:customStyle="1" w:styleId="63">
    <w:name w:val="三级条标题"/>
    <w:basedOn w:val="1"/>
    <w:next w:val="59"/>
    <w:qFormat/>
    <w:uiPriority w:val="0"/>
    <w:pPr>
      <w:tabs>
        <w:tab w:val="left" w:pos="1620"/>
      </w:tabs>
      <w:spacing w:beforeLines="50" w:afterLines="50" w:line="240" w:lineRule="auto"/>
      <w:ind w:left="0" w:hanging="360"/>
      <w:outlineLvl w:val="4"/>
    </w:pPr>
    <w:rPr>
      <w:rFonts w:ascii="黑体" w:hAnsi="Times New Roman" w:eastAsia="黑体" w:cs="Times New Roman"/>
      <w:color w:val="auto"/>
      <w:kern w:val="0"/>
      <w:sz w:val="21"/>
      <w:szCs w:val="21"/>
    </w:rPr>
  </w:style>
  <w:style w:type="paragraph" w:customStyle="1" w:styleId="64">
    <w:name w:val="二级条标题"/>
    <w:basedOn w:val="1"/>
    <w:next w:val="59"/>
    <w:qFormat/>
    <w:uiPriority w:val="0"/>
    <w:pPr>
      <w:tabs>
        <w:tab w:val="left" w:pos="1200"/>
      </w:tabs>
      <w:spacing w:beforeLines="50" w:afterLines="50" w:line="240" w:lineRule="auto"/>
      <w:ind w:left="1200" w:hanging="360"/>
      <w:outlineLvl w:val="3"/>
    </w:pPr>
    <w:rPr>
      <w:rFonts w:ascii="黑体" w:hAnsi="Times New Roman" w:eastAsia="黑体" w:cs="Times New Roman"/>
      <w:color w:val="auto"/>
      <w:kern w:val="0"/>
      <w:sz w:val="21"/>
      <w:szCs w:val="21"/>
    </w:rPr>
  </w:style>
  <w:style w:type="paragraph" w:customStyle="1" w:styleId="65">
    <w:name w:val="附录表标题"/>
    <w:basedOn w:val="1"/>
    <w:next w:val="59"/>
    <w:qFormat/>
    <w:uiPriority w:val="0"/>
    <w:pPr>
      <w:widowControl w:val="0"/>
      <w:spacing w:beforeLines="50" w:afterLines="50" w:line="240" w:lineRule="auto"/>
      <w:ind w:left="567" w:hanging="567"/>
      <w:jc w:val="center"/>
    </w:pPr>
    <w:rPr>
      <w:rFonts w:ascii="黑体" w:hAnsi="Times New Roman" w:eastAsia="黑体" w:cs="Times New Roman"/>
      <w:color w:val="auto"/>
      <w:sz w:val="21"/>
      <w:szCs w:val="21"/>
    </w:rPr>
  </w:style>
  <w:style w:type="paragraph" w:customStyle="1" w:styleId="66">
    <w:name w:val="列出段落11"/>
    <w:basedOn w:val="1"/>
    <w:qFormat/>
    <w:uiPriority w:val="0"/>
    <w:pPr>
      <w:ind w:firstLine="420" w:firstLineChars="200"/>
    </w:pPr>
  </w:style>
  <w:style w:type="paragraph" w:customStyle="1" w:styleId="67">
    <w:name w:val="_Style 62"/>
    <w:basedOn w:val="2"/>
    <w:next w:val="1"/>
    <w:unhideWhenUsed/>
    <w:qFormat/>
    <w:uiPriority w:val="39"/>
    <w:pPr>
      <w:spacing w:before="480" w:after="0" w:line="276" w:lineRule="auto"/>
      <w:ind w:left="0" w:firstLine="0"/>
      <w:jc w:val="left"/>
      <w:outlineLvl w:val="9"/>
    </w:pPr>
    <w:rPr>
      <w:rFonts w:ascii="Cambria" w:hAnsi="Cambria"/>
      <w:b/>
      <w:bCs/>
      <w:color w:val="365F91"/>
      <w:sz w:val="28"/>
      <w:szCs w:val="28"/>
    </w:rPr>
  </w:style>
  <w:style w:type="character" w:customStyle="1" w:styleId="68">
    <w:name w:val="正文文本 Char1"/>
    <w:semiHidden/>
    <w:qFormat/>
    <w:uiPriority w:val="99"/>
    <w:rPr>
      <w:rFonts w:ascii="仿宋" w:hAnsi="仿宋" w:eastAsia="仿宋" w:cs="仿宋"/>
      <w:color w:val="000000"/>
      <w:sz w:val="24"/>
      <w:szCs w:val="22"/>
    </w:rPr>
  </w:style>
  <w:style w:type="character" w:customStyle="1" w:styleId="69">
    <w:name w:val="正文文本 Char123"/>
    <w:semiHidden/>
    <w:qFormat/>
    <w:uiPriority w:val="99"/>
    <w:rPr>
      <w:rFonts w:ascii="仿宋" w:hAnsi="仿宋" w:eastAsia="仿宋" w:cs="仿宋"/>
      <w:color w:val="000000"/>
      <w:sz w:val="22"/>
      <w:szCs w:val="22"/>
    </w:rPr>
  </w:style>
  <w:style w:type="character" w:customStyle="1" w:styleId="70">
    <w:name w:val="正文文本 Char122"/>
    <w:semiHidden/>
    <w:qFormat/>
    <w:uiPriority w:val="99"/>
    <w:rPr>
      <w:rFonts w:ascii="仿宋" w:hAnsi="仿宋" w:eastAsia="仿宋" w:cs="仿宋"/>
      <w:color w:val="000000"/>
      <w:sz w:val="22"/>
      <w:szCs w:val="22"/>
    </w:rPr>
  </w:style>
  <w:style w:type="character" w:customStyle="1" w:styleId="71">
    <w:name w:val="正文文本 Char121"/>
    <w:semiHidden/>
    <w:qFormat/>
    <w:uiPriority w:val="99"/>
    <w:rPr>
      <w:rFonts w:ascii="仿宋" w:hAnsi="仿宋" w:eastAsia="仿宋" w:cs="仿宋"/>
      <w:color w:val="000000"/>
      <w:sz w:val="22"/>
      <w:szCs w:val="22"/>
    </w:rPr>
  </w:style>
  <w:style w:type="character" w:customStyle="1" w:styleId="72">
    <w:name w:val="正文文本 Char120"/>
    <w:semiHidden/>
    <w:qFormat/>
    <w:uiPriority w:val="99"/>
    <w:rPr>
      <w:rFonts w:ascii="仿宋" w:hAnsi="仿宋" w:eastAsia="仿宋" w:cs="仿宋"/>
      <w:color w:val="000000"/>
      <w:sz w:val="22"/>
      <w:szCs w:val="22"/>
    </w:rPr>
  </w:style>
  <w:style w:type="character" w:customStyle="1" w:styleId="73">
    <w:name w:val="正文文本 Char119"/>
    <w:semiHidden/>
    <w:qFormat/>
    <w:uiPriority w:val="99"/>
    <w:rPr>
      <w:rFonts w:ascii="仿宋" w:hAnsi="仿宋" w:eastAsia="仿宋" w:cs="仿宋"/>
      <w:color w:val="000000"/>
      <w:sz w:val="22"/>
      <w:szCs w:val="22"/>
    </w:rPr>
  </w:style>
  <w:style w:type="character" w:customStyle="1" w:styleId="74">
    <w:name w:val="正文文本 Char118"/>
    <w:semiHidden/>
    <w:qFormat/>
    <w:uiPriority w:val="99"/>
    <w:rPr>
      <w:rFonts w:ascii="仿宋" w:hAnsi="仿宋" w:eastAsia="仿宋" w:cs="仿宋"/>
      <w:color w:val="000000"/>
      <w:sz w:val="22"/>
      <w:szCs w:val="22"/>
    </w:rPr>
  </w:style>
  <w:style w:type="character" w:customStyle="1" w:styleId="75">
    <w:name w:val="正文文本 Char117"/>
    <w:semiHidden/>
    <w:qFormat/>
    <w:uiPriority w:val="99"/>
    <w:rPr>
      <w:rFonts w:ascii="仿宋" w:hAnsi="仿宋" w:eastAsia="仿宋" w:cs="仿宋"/>
      <w:color w:val="000000"/>
      <w:sz w:val="22"/>
      <w:szCs w:val="22"/>
    </w:rPr>
  </w:style>
  <w:style w:type="character" w:customStyle="1" w:styleId="76">
    <w:name w:val="正文文本 Char116"/>
    <w:semiHidden/>
    <w:qFormat/>
    <w:uiPriority w:val="99"/>
    <w:rPr>
      <w:rFonts w:ascii="仿宋" w:hAnsi="仿宋" w:eastAsia="仿宋" w:cs="仿宋"/>
      <w:color w:val="000000"/>
      <w:sz w:val="22"/>
      <w:szCs w:val="22"/>
    </w:rPr>
  </w:style>
  <w:style w:type="character" w:customStyle="1" w:styleId="77">
    <w:name w:val="正文文本 Char115"/>
    <w:semiHidden/>
    <w:qFormat/>
    <w:uiPriority w:val="99"/>
    <w:rPr>
      <w:rFonts w:ascii="仿宋" w:hAnsi="仿宋" w:eastAsia="仿宋" w:cs="仿宋"/>
      <w:color w:val="000000"/>
      <w:sz w:val="22"/>
      <w:szCs w:val="22"/>
    </w:rPr>
  </w:style>
  <w:style w:type="character" w:customStyle="1" w:styleId="78">
    <w:name w:val="正文文本 Char114"/>
    <w:semiHidden/>
    <w:qFormat/>
    <w:uiPriority w:val="99"/>
    <w:rPr>
      <w:rFonts w:ascii="仿宋" w:hAnsi="仿宋" w:eastAsia="仿宋" w:cs="仿宋"/>
      <w:color w:val="000000"/>
      <w:sz w:val="22"/>
      <w:szCs w:val="22"/>
    </w:rPr>
  </w:style>
  <w:style w:type="character" w:customStyle="1" w:styleId="79">
    <w:name w:val="正文文本 Char113"/>
    <w:semiHidden/>
    <w:qFormat/>
    <w:uiPriority w:val="99"/>
    <w:rPr>
      <w:rFonts w:ascii="仿宋" w:hAnsi="仿宋" w:eastAsia="仿宋" w:cs="仿宋"/>
      <w:color w:val="000000"/>
      <w:sz w:val="22"/>
      <w:szCs w:val="22"/>
    </w:rPr>
  </w:style>
  <w:style w:type="character" w:customStyle="1" w:styleId="80">
    <w:name w:val="正文文本 Char112"/>
    <w:semiHidden/>
    <w:qFormat/>
    <w:uiPriority w:val="99"/>
    <w:rPr>
      <w:rFonts w:ascii="仿宋" w:hAnsi="仿宋" w:eastAsia="仿宋" w:cs="仿宋"/>
      <w:color w:val="000000"/>
      <w:sz w:val="22"/>
      <w:szCs w:val="22"/>
    </w:rPr>
  </w:style>
  <w:style w:type="character" w:customStyle="1" w:styleId="81">
    <w:name w:val="正文文本 Char111"/>
    <w:semiHidden/>
    <w:qFormat/>
    <w:uiPriority w:val="99"/>
    <w:rPr>
      <w:rFonts w:ascii="仿宋" w:hAnsi="仿宋" w:eastAsia="仿宋" w:cs="仿宋"/>
      <w:color w:val="000000"/>
      <w:sz w:val="22"/>
      <w:szCs w:val="22"/>
    </w:rPr>
  </w:style>
  <w:style w:type="character" w:customStyle="1" w:styleId="82">
    <w:name w:val="正文文本 Char110"/>
    <w:semiHidden/>
    <w:qFormat/>
    <w:uiPriority w:val="99"/>
    <w:rPr>
      <w:rFonts w:ascii="仿宋" w:hAnsi="仿宋" w:eastAsia="仿宋" w:cs="仿宋"/>
      <w:color w:val="000000"/>
      <w:sz w:val="22"/>
      <w:szCs w:val="22"/>
    </w:rPr>
  </w:style>
  <w:style w:type="character" w:customStyle="1" w:styleId="83">
    <w:name w:val="正文文本 Char19"/>
    <w:semiHidden/>
    <w:qFormat/>
    <w:uiPriority w:val="99"/>
    <w:rPr>
      <w:rFonts w:ascii="仿宋" w:hAnsi="仿宋" w:eastAsia="仿宋" w:cs="仿宋"/>
      <w:color w:val="000000"/>
      <w:sz w:val="22"/>
      <w:szCs w:val="22"/>
    </w:rPr>
  </w:style>
  <w:style w:type="character" w:customStyle="1" w:styleId="84">
    <w:name w:val="正文文本 Char18"/>
    <w:semiHidden/>
    <w:qFormat/>
    <w:uiPriority w:val="99"/>
    <w:rPr>
      <w:rFonts w:ascii="仿宋" w:hAnsi="仿宋" w:eastAsia="仿宋" w:cs="仿宋"/>
      <w:color w:val="000000"/>
      <w:sz w:val="22"/>
      <w:szCs w:val="22"/>
    </w:rPr>
  </w:style>
  <w:style w:type="character" w:customStyle="1" w:styleId="85">
    <w:name w:val="正文文本 Char17"/>
    <w:semiHidden/>
    <w:qFormat/>
    <w:uiPriority w:val="99"/>
    <w:rPr>
      <w:rFonts w:ascii="仿宋" w:hAnsi="仿宋" w:eastAsia="仿宋" w:cs="仿宋"/>
      <w:color w:val="000000"/>
      <w:sz w:val="22"/>
      <w:szCs w:val="22"/>
    </w:rPr>
  </w:style>
  <w:style w:type="character" w:customStyle="1" w:styleId="86">
    <w:name w:val="正文文本 Char16"/>
    <w:semiHidden/>
    <w:qFormat/>
    <w:uiPriority w:val="99"/>
    <w:rPr>
      <w:rFonts w:ascii="仿宋" w:hAnsi="仿宋" w:eastAsia="仿宋" w:cs="仿宋"/>
      <w:color w:val="000000"/>
      <w:sz w:val="22"/>
      <w:szCs w:val="22"/>
    </w:rPr>
  </w:style>
  <w:style w:type="character" w:customStyle="1" w:styleId="87">
    <w:name w:val="正文文本 Char15"/>
    <w:semiHidden/>
    <w:qFormat/>
    <w:uiPriority w:val="99"/>
    <w:rPr>
      <w:rFonts w:ascii="仿宋" w:hAnsi="仿宋" w:eastAsia="仿宋" w:cs="仿宋"/>
      <w:color w:val="000000"/>
      <w:sz w:val="22"/>
      <w:szCs w:val="22"/>
    </w:rPr>
  </w:style>
  <w:style w:type="character" w:customStyle="1" w:styleId="88">
    <w:name w:val="正文文本 Char14"/>
    <w:semiHidden/>
    <w:qFormat/>
    <w:uiPriority w:val="99"/>
    <w:rPr>
      <w:rFonts w:ascii="仿宋" w:hAnsi="仿宋" w:eastAsia="仿宋" w:cs="仿宋"/>
      <w:color w:val="000000"/>
      <w:sz w:val="22"/>
      <w:szCs w:val="22"/>
    </w:rPr>
  </w:style>
  <w:style w:type="character" w:customStyle="1" w:styleId="89">
    <w:name w:val="正文文本 Char13"/>
    <w:semiHidden/>
    <w:qFormat/>
    <w:uiPriority w:val="99"/>
    <w:rPr>
      <w:rFonts w:ascii="仿宋" w:hAnsi="仿宋" w:eastAsia="仿宋" w:cs="仿宋"/>
      <w:color w:val="000000"/>
      <w:sz w:val="22"/>
      <w:szCs w:val="22"/>
    </w:rPr>
  </w:style>
  <w:style w:type="character" w:customStyle="1" w:styleId="90">
    <w:name w:val="正文文本 Char12"/>
    <w:semiHidden/>
    <w:qFormat/>
    <w:uiPriority w:val="99"/>
    <w:rPr>
      <w:rFonts w:ascii="仿宋" w:hAnsi="仿宋" w:eastAsia="仿宋" w:cs="仿宋"/>
      <w:color w:val="000000"/>
      <w:sz w:val="22"/>
      <w:szCs w:val="22"/>
    </w:rPr>
  </w:style>
  <w:style w:type="character" w:customStyle="1" w:styleId="91">
    <w:name w:val="正文文本 Char11"/>
    <w:semiHidden/>
    <w:qFormat/>
    <w:uiPriority w:val="99"/>
    <w:rPr>
      <w:rFonts w:ascii="仿宋" w:hAnsi="仿宋" w:eastAsia="仿宋" w:cs="仿宋"/>
      <w:color w:val="000000"/>
      <w:sz w:val="22"/>
      <w:szCs w:val="22"/>
    </w:rPr>
  </w:style>
  <w:style w:type="character" w:customStyle="1" w:styleId="92">
    <w:name w:val="日期 Char1"/>
    <w:semiHidden/>
    <w:qFormat/>
    <w:uiPriority w:val="99"/>
    <w:rPr>
      <w:rFonts w:ascii="仿宋" w:hAnsi="仿宋" w:eastAsia="仿宋" w:cs="仿宋"/>
      <w:color w:val="000000"/>
      <w:sz w:val="24"/>
      <w:szCs w:val="22"/>
    </w:rPr>
  </w:style>
  <w:style w:type="character" w:customStyle="1" w:styleId="93">
    <w:name w:val="日期 Char123"/>
    <w:semiHidden/>
    <w:qFormat/>
    <w:uiPriority w:val="99"/>
    <w:rPr>
      <w:rFonts w:ascii="仿宋" w:hAnsi="仿宋" w:eastAsia="仿宋" w:cs="仿宋"/>
      <w:color w:val="000000"/>
      <w:sz w:val="22"/>
      <w:szCs w:val="22"/>
    </w:rPr>
  </w:style>
  <w:style w:type="character" w:customStyle="1" w:styleId="94">
    <w:name w:val="日期 Char122"/>
    <w:semiHidden/>
    <w:qFormat/>
    <w:uiPriority w:val="99"/>
    <w:rPr>
      <w:rFonts w:ascii="仿宋" w:hAnsi="仿宋" w:eastAsia="仿宋" w:cs="仿宋"/>
      <w:color w:val="000000"/>
      <w:sz w:val="22"/>
      <w:szCs w:val="22"/>
    </w:rPr>
  </w:style>
  <w:style w:type="character" w:customStyle="1" w:styleId="95">
    <w:name w:val="日期 Char121"/>
    <w:semiHidden/>
    <w:qFormat/>
    <w:uiPriority w:val="99"/>
    <w:rPr>
      <w:rFonts w:ascii="仿宋" w:hAnsi="仿宋" w:eastAsia="仿宋" w:cs="仿宋"/>
      <w:color w:val="000000"/>
      <w:sz w:val="22"/>
      <w:szCs w:val="22"/>
    </w:rPr>
  </w:style>
  <w:style w:type="character" w:customStyle="1" w:styleId="96">
    <w:name w:val="日期 Char120"/>
    <w:semiHidden/>
    <w:qFormat/>
    <w:uiPriority w:val="99"/>
    <w:rPr>
      <w:rFonts w:ascii="仿宋" w:hAnsi="仿宋" w:eastAsia="仿宋" w:cs="仿宋"/>
      <w:color w:val="000000"/>
      <w:sz w:val="22"/>
      <w:szCs w:val="22"/>
    </w:rPr>
  </w:style>
  <w:style w:type="character" w:customStyle="1" w:styleId="97">
    <w:name w:val="日期 Char119"/>
    <w:semiHidden/>
    <w:qFormat/>
    <w:uiPriority w:val="99"/>
    <w:rPr>
      <w:rFonts w:ascii="仿宋" w:hAnsi="仿宋" w:eastAsia="仿宋" w:cs="仿宋"/>
      <w:color w:val="000000"/>
      <w:sz w:val="22"/>
      <w:szCs w:val="22"/>
    </w:rPr>
  </w:style>
  <w:style w:type="character" w:customStyle="1" w:styleId="98">
    <w:name w:val="日期 Char118"/>
    <w:semiHidden/>
    <w:qFormat/>
    <w:uiPriority w:val="99"/>
    <w:rPr>
      <w:rFonts w:ascii="仿宋" w:hAnsi="仿宋" w:eastAsia="仿宋" w:cs="仿宋"/>
      <w:color w:val="000000"/>
      <w:sz w:val="22"/>
      <w:szCs w:val="22"/>
    </w:rPr>
  </w:style>
  <w:style w:type="character" w:customStyle="1" w:styleId="99">
    <w:name w:val="日期 Char117"/>
    <w:semiHidden/>
    <w:qFormat/>
    <w:uiPriority w:val="99"/>
    <w:rPr>
      <w:rFonts w:ascii="仿宋" w:hAnsi="仿宋" w:eastAsia="仿宋" w:cs="仿宋"/>
      <w:color w:val="000000"/>
      <w:sz w:val="22"/>
      <w:szCs w:val="22"/>
    </w:rPr>
  </w:style>
  <w:style w:type="character" w:customStyle="1" w:styleId="100">
    <w:name w:val="日期 Char116"/>
    <w:semiHidden/>
    <w:qFormat/>
    <w:uiPriority w:val="99"/>
    <w:rPr>
      <w:rFonts w:ascii="仿宋" w:hAnsi="仿宋" w:eastAsia="仿宋" w:cs="仿宋"/>
      <w:color w:val="000000"/>
      <w:sz w:val="22"/>
      <w:szCs w:val="22"/>
    </w:rPr>
  </w:style>
  <w:style w:type="character" w:customStyle="1" w:styleId="101">
    <w:name w:val="日期 Char115"/>
    <w:semiHidden/>
    <w:qFormat/>
    <w:uiPriority w:val="99"/>
    <w:rPr>
      <w:rFonts w:ascii="仿宋" w:hAnsi="仿宋" w:eastAsia="仿宋" w:cs="仿宋"/>
      <w:color w:val="000000"/>
      <w:sz w:val="22"/>
      <w:szCs w:val="22"/>
    </w:rPr>
  </w:style>
  <w:style w:type="character" w:customStyle="1" w:styleId="102">
    <w:name w:val="日期 Char114"/>
    <w:semiHidden/>
    <w:qFormat/>
    <w:uiPriority w:val="99"/>
    <w:rPr>
      <w:rFonts w:ascii="仿宋" w:hAnsi="仿宋" w:eastAsia="仿宋" w:cs="仿宋"/>
      <w:color w:val="000000"/>
      <w:sz w:val="22"/>
      <w:szCs w:val="22"/>
    </w:rPr>
  </w:style>
  <w:style w:type="character" w:customStyle="1" w:styleId="103">
    <w:name w:val="日期 Char113"/>
    <w:semiHidden/>
    <w:qFormat/>
    <w:uiPriority w:val="99"/>
    <w:rPr>
      <w:rFonts w:ascii="仿宋" w:hAnsi="仿宋" w:eastAsia="仿宋" w:cs="仿宋"/>
      <w:color w:val="000000"/>
      <w:sz w:val="22"/>
      <w:szCs w:val="22"/>
    </w:rPr>
  </w:style>
  <w:style w:type="character" w:customStyle="1" w:styleId="104">
    <w:name w:val="日期 Char112"/>
    <w:semiHidden/>
    <w:qFormat/>
    <w:uiPriority w:val="99"/>
    <w:rPr>
      <w:rFonts w:ascii="仿宋" w:hAnsi="仿宋" w:eastAsia="仿宋" w:cs="仿宋"/>
      <w:color w:val="000000"/>
      <w:sz w:val="22"/>
      <w:szCs w:val="22"/>
    </w:rPr>
  </w:style>
  <w:style w:type="character" w:customStyle="1" w:styleId="105">
    <w:name w:val="日期 Char111"/>
    <w:semiHidden/>
    <w:qFormat/>
    <w:uiPriority w:val="99"/>
    <w:rPr>
      <w:rFonts w:ascii="仿宋" w:hAnsi="仿宋" w:eastAsia="仿宋" w:cs="仿宋"/>
      <w:color w:val="000000"/>
      <w:sz w:val="22"/>
      <w:szCs w:val="22"/>
    </w:rPr>
  </w:style>
  <w:style w:type="character" w:customStyle="1" w:styleId="106">
    <w:name w:val="日期 Char110"/>
    <w:semiHidden/>
    <w:qFormat/>
    <w:uiPriority w:val="99"/>
    <w:rPr>
      <w:rFonts w:ascii="仿宋" w:hAnsi="仿宋" w:eastAsia="仿宋" w:cs="仿宋"/>
      <w:color w:val="000000"/>
      <w:sz w:val="22"/>
      <w:szCs w:val="22"/>
    </w:rPr>
  </w:style>
  <w:style w:type="character" w:customStyle="1" w:styleId="107">
    <w:name w:val="日期 Char19"/>
    <w:semiHidden/>
    <w:qFormat/>
    <w:uiPriority w:val="99"/>
    <w:rPr>
      <w:rFonts w:ascii="仿宋" w:hAnsi="仿宋" w:eastAsia="仿宋" w:cs="仿宋"/>
      <w:color w:val="000000"/>
      <w:sz w:val="22"/>
      <w:szCs w:val="22"/>
    </w:rPr>
  </w:style>
  <w:style w:type="character" w:customStyle="1" w:styleId="108">
    <w:name w:val="日期 Char18"/>
    <w:semiHidden/>
    <w:qFormat/>
    <w:uiPriority w:val="99"/>
    <w:rPr>
      <w:rFonts w:ascii="仿宋" w:hAnsi="仿宋" w:eastAsia="仿宋" w:cs="仿宋"/>
      <w:color w:val="000000"/>
      <w:sz w:val="22"/>
      <w:szCs w:val="22"/>
    </w:rPr>
  </w:style>
  <w:style w:type="character" w:customStyle="1" w:styleId="109">
    <w:name w:val="日期 Char17"/>
    <w:semiHidden/>
    <w:qFormat/>
    <w:uiPriority w:val="99"/>
    <w:rPr>
      <w:rFonts w:ascii="仿宋" w:hAnsi="仿宋" w:eastAsia="仿宋" w:cs="仿宋"/>
      <w:color w:val="000000"/>
      <w:sz w:val="22"/>
      <w:szCs w:val="22"/>
    </w:rPr>
  </w:style>
  <w:style w:type="character" w:customStyle="1" w:styleId="110">
    <w:name w:val="日期 Char16"/>
    <w:semiHidden/>
    <w:qFormat/>
    <w:uiPriority w:val="99"/>
    <w:rPr>
      <w:rFonts w:ascii="仿宋" w:hAnsi="仿宋" w:eastAsia="仿宋" w:cs="仿宋"/>
      <w:color w:val="000000"/>
      <w:sz w:val="22"/>
      <w:szCs w:val="22"/>
    </w:rPr>
  </w:style>
  <w:style w:type="character" w:customStyle="1" w:styleId="111">
    <w:name w:val="日期 Char15"/>
    <w:semiHidden/>
    <w:qFormat/>
    <w:uiPriority w:val="99"/>
    <w:rPr>
      <w:rFonts w:ascii="仿宋" w:hAnsi="仿宋" w:eastAsia="仿宋" w:cs="仿宋"/>
      <w:color w:val="000000"/>
      <w:sz w:val="22"/>
      <w:szCs w:val="22"/>
    </w:rPr>
  </w:style>
  <w:style w:type="character" w:customStyle="1" w:styleId="112">
    <w:name w:val="日期 Char14"/>
    <w:semiHidden/>
    <w:qFormat/>
    <w:uiPriority w:val="99"/>
    <w:rPr>
      <w:rFonts w:ascii="仿宋" w:hAnsi="仿宋" w:eastAsia="仿宋" w:cs="仿宋"/>
      <w:color w:val="000000"/>
      <w:sz w:val="22"/>
      <w:szCs w:val="22"/>
    </w:rPr>
  </w:style>
  <w:style w:type="character" w:customStyle="1" w:styleId="113">
    <w:name w:val="日期 Char13"/>
    <w:semiHidden/>
    <w:qFormat/>
    <w:uiPriority w:val="99"/>
    <w:rPr>
      <w:rFonts w:ascii="仿宋" w:hAnsi="仿宋" w:eastAsia="仿宋" w:cs="仿宋"/>
      <w:color w:val="000000"/>
      <w:sz w:val="22"/>
      <w:szCs w:val="22"/>
    </w:rPr>
  </w:style>
  <w:style w:type="character" w:customStyle="1" w:styleId="114">
    <w:name w:val="日期 Char12"/>
    <w:semiHidden/>
    <w:qFormat/>
    <w:uiPriority w:val="99"/>
    <w:rPr>
      <w:rFonts w:ascii="仿宋" w:hAnsi="仿宋" w:eastAsia="仿宋" w:cs="仿宋"/>
      <w:color w:val="000000"/>
      <w:sz w:val="22"/>
      <w:szCs w:val="22"/>
    </w:rPr>
  </w:style>
  <w:style w:type="character" w:customStyle="1" w:styleId="115">
    <w:name w:val="日期 Char11"/>
    <w:semiHidden/>
    <w:qFormat/>
    <w:uiPriority w:val="99"/>
    <w:rPr>
      <w:rFonts w:ascii="仿宋" w:hAnsi="仿宋" w:eastAsia="仿宋" w:cs="仿宋"/>
      <w:color w:val="000000"/>
      <w:sz w:val="22"/>
      <w:szCs w:val="22"/>
    </w:rPr>
  </w:style>
  <w:style w:type="character" w:customStyle="1" w:styleId="116">
    <w:name w:val="批注框文本 Char1"/>
    <w:semiHidden/>
    <w:qFormat/>
    <w:uiPriority w:val="99"/>
    <w:rPr>
      <w:rFonts w:ascii="仿宋" w:hAnsi="仿宋" w:eastAsia="仿宋" w:cs="仿宋"/>
      <w:color w:val="000000"/>
      <w:sz w:val="18"/>
      <w:szCs w:val="18"/>
    </w:rPr>
  </w:style>
  <w:style w:type="character" w:customStyle="1" w:styleId="117">
    <w:name w:val="批注框文本 Char123"/>
    <w:semiHidden/>
    <w:qFormat/>
    <w:uiPriority w:val="99"/>
    <w:rPr>
      <w:rFonts w:ascii="仿宋" w:hAnsi="仿宋" w:eastAsia="仿宋" w:cs="仿宋"/>
      <w:color w:val="000000"/>
      <w:sz w:val="18"/>
      <w:szCs w:val="18"/>
    </w:rPr>
  </w:style>
  <w:style w:type="character" w:customStyle="1" w:styleId="118">
    <w:name w:val="批注框文本 Char122"/>
    <w:semiHidden/>
    <w:qFormat/>
    <w:uiPriority w:val="99"/>
    <w:rPr>
      <w:rFonts w:ascii="仿宋" w:hAnsi="仿宋" w:eastAsia="仿宋" w:cs="仿宋"/>
      <w:color w:val="000000"/>
      <w:sz w:val="18"/>
      <w:szCs w:val="18"/>
    </w:rPr>
  </w:style>
  <w:style w:type="character" w:customStyle="1" w:styleId="119">
    <w:name w:val="批注框文本 Char121"/>
    <w:semiHidden/>
    <w:qFormat/>
    <w:uiPriority w:val="99"/>
    <w:rPr>
      <w:rFonts w:ascii="仿宋" w:hAnsi="仿宋" w:eastAsia="仿宋" w:cs="仿宋"/>
      <w:color w:val="000000"/>
      <w:sz w:val="18"/>
      <w:szCs w:val="18"/>
    </w:rPr>
  </w:style>
  <w:style w:type="character" w:customStyle="1" w:styleId="120">
    <w:name w:val="批注框文本 Char120"/>
    <w:semiHidden/>
    <w:qFormat/>
    <w:uiPriority w:val="99"/>
    <w:rPr>
      <w:rFonts w:ascii="仿宋" w:hAnsi="仿宋" w:eastAsia="仿宋" w:cs="仿宋"/>
      <w:color w:val="000000"/>
      <w:sz w:val="18"/>
      <w:szCs w:val="18"/>
    </w:rPr>
  </w:style>
  <w:style w:type="character" w:customStyle="1" w:styleId="121">
    <w:name w:val="批注框文本 Char119"/>
    <w:semiHidden/>
    <w:qFormat/>
    <w:uiPriority w:val="99"/>
    <w:rPr>
      <w:rFonts w:ascii="仿宋" w:hAnsi="仿宋" w:eastAsia="仿宋" w:cs="仿宋"/>
      <w:color w:val="000000"/>
      <w:sz w:val="18"/>
      <w:szCs w:val="18"/>
    </w:rPr>
  </w:style>
  <w:style w:type="character" w:customStyle="1" w:styleId="122">
    <w:name w:val="批注框文本 Char118"/>
    <w:semiHidden/>
    <w:qFormat/>
    <w:uiPriority w:val="99"/>
    <w:rPr>
      <w:rFonts w:ascii="仿宋" w:hAnsi="仿宋" w:eastAsia="仿宋" w:cs="仿宋"/>
      <w:color w:val="000000"/>
      <w:sz w:val="18"/>
      <w:szCs w:val="18"/>
    </w:rPr>
  </w:style>
  <w:style w:type="character" w:customStyle="1" w:styleId="123">
    <w:name w:val="批注框文本 Char117"/>
    <w:semiHidden/>
    <w:qFormat/>
    <w:uiPriority w:val="99"/>
    <w:rPr>
      <w:rFonts w:ascii="仿宋" w:hAnsi="仿宋" w:eastAsia="仿宋" w:cs="仿宋"/>
      <w:color w:val="000000"/>
      <w:sz w:val="18"/>
      <w:szCs w:val="18"/>
    </w:rPr>
  </w:style>
  <w:style w:type="character" w:customStyle="1" w:styleId="124">
    <w:name w:val="批注框文本 Char116"/>
    <w:semiHidden/>
    <w:qFormat/>
    <w:uiPriority w:val="99"/>
    <w:rPr>
      <w:rFonts w:ascii="仿宋" w:hAnsi="仿宋" w:eastAsia="仿宋" w:cs="仿宋"/>
      <w:color w:val="000000"/>
      <w:sz w:val="18"/>
      <w:szCs w:val="18"/>
    </w:rPr>
  </w:style>
  <w:style w:type="character" w:customStyle="1" w:styleId="125">
    <w:name w:val="批注框文本 Char115"/>
    <w:semiHidden/>
    <w:qFormat/>
    <w:uiPriority w:val="99"/>
    <w:rPr>
      <w:rFonts w:ascii="仿宋" w:hAnsi="仿宋" w:eastAsia="仿宋" w:cs="仿宋"/>
      <w:color w:val="000000"/>
      <w:sz w:val="18"/>
      <w:szCs w:val="18"/>
    </w:rPr>
  </w:style>
  <w:style w:type="character" w:customStyle="1" w:styleId="126">
    <w:name w:val="批注框文本 Char114"/>
    <w:semiHidden/>
    <w:qFormat/>
    <w:uiPriority w:val="99"/>
    <w:rPr>
      <w:rFonts w:ascii="仿宋" w:hAnsi="仿宋" w:eastAsia="仿宋" w:cs="仿宋"/>
      <w:color w:val="000000"/>
      <w:sz w:val="18"/>
      <w:szCs w:val="18"/>
    </w:rPr>
  </w:style>
  <w:style w:type="character" w:customStyle="1" w:styleId="127">
    <w:name w:val="批注框文本 Char113"/>
    <w:semiHidden/>
    <w:qFormat/>
    <w:uiPriority w:val="99"/>
    <w:rPr>
      <w:rFonts w:ascii="仿宋" w:hAnsi="仿宋" w:eastAsia="仿宋" w:cs="仿宋"/>
      <w:color w:val="000000"/>
      <w:sz w:val="18"/>
      <w:szCs w:val="18"/>
    </w:rPr>
  </w:style>
  <w:style w:type="character" w:customStyle="1" w:styleId="128">
    <w:name w:val="批注框文本 Char112"/>
    <w:semiHidden/>
    <w:qFormat/>
    <w:uiPriority w:val="99"/>
    <w:rPr>
      <w:rFonts w:ascii="仿宋" w:hAnsi="仿宋" w:eastAsia="仿宋" w:cs="仿宋"/>
      <w:color w:val="000000"/>
      <w:sz w:val="18"/>
      <w:szCs w:val="18"/>
    </w:rPr>
  </w:style>
  <w:style w:type="character" w:customStyle="1" w:styleId="129">
    <w:name w:val="批注框文本 Char111"/>
    <w:semiHidden/>
    <w:qFormat/>
    <w:uiPriority w:val="99"/>
    <w:rPr>
      <w:rFonts w:ascii="仿宋" w:hAnsi="仿宋" w:eastAsia="仿宋" w:cs="仿宋"/>
      <w:color w:val="000000"/>
      <w:sz w:val="18"/>
      <w:szCs w:val="18"/>
    </w:rPr>
  </w:style>
  <w:style w:type="character" w:customStyle="1" w:styleId="130">
    <w:name w:val="批注框文本 Char110"/>
    <w:semiHidden/>
    <w:qFormat/>
    <w:uiPriority w:val="99"/>
    <w:rPr>
      <w:rFonts w:ascii="仿宋" w:hAnsi="仿宋" w:eastAsia="仿宋" w:cs="仿宋"/>
      <w:color w:val="000000"/>
      <w:sz w:val="18"/>
      <w:szCs w:val="18"/>
    </w:rPr>
  </w:style>
  <w:style w:type="character" w:customStyle="1" w:styleId="131">
    <w:name w:val="批注框文本 Char19"/>
    <w:semiHidden/>
    <w:qFormat/>
    <w:uiPriority w:val="99"/>
    <w:rPr>
      <w:rFonts w:ascii="仿宋" w:hAnsi="仿宋" w:eastAsia="仿宋" w:cs="仿宋"/>
      <w:color w:val="000000"/>
      <w:sz w:val="18"/>
      <w:szCs w:val="18"/>
    </w:rPr>
  </w:style>
  <w:style w:type="character" w:customStyle="1" w:styleId="132">
    <w:name w:val="批注框文本 Char18"/>
    <w:semiHidden/>
    <w:qFormat/>
    <w:uiPriority w:val="99"/>
    <w:rPr>
      <w:rFonts w:ascii="仿宋" w:hAnsi="仿宋" w:eastAsia="仿宋" w:cs="仿宋"/>
      <w:color w:val="000000"/>
      <w:sz w:val="18"/>
      <w:szCs w:val="18"/>
    </w:rPr>
  </w:style>
  <w:style w:type="character" w:customStyle="1" w:styleId="133">
    <w:name w:val="批注框文本 Char17"/>
    <w:semiHidden/>
    <w:qFormat/>
    <w:uiPriority w:val="99"/>
    <w:rPr>
      <w:rFonts w:ascii="仿宋" w:hAnsi="仿宋" w:eastAsia="仿宋" w:cs="仿宋"/>
      <w:color w:val="000000"/>
      <w:sz w:val="18"/>
      <w:szCs w:val="18"/>
    </w:rPr>
  </w:style>
  <w:style w:type="character" w:customStyle="1" w:styleId="134">
    <w:name w:val="批注框文本 Char16"/>
    <w:semiHidden/>
    <w:qFormat/>
    <w:uiPriority w:val="99"/>
    <w:rPr>
      <w:rFonts w:ascii="仿宋" w:hAnsi="仿宋" w:eastAsia="仿宋" w:cs="仿宋"/>
      <w:color w:val="000000"/>
      <w:sz w:val="18"/>
      <w:szCs w:val="18"/>
    </w:rPr>
  </w:style>
  <w:style w:type="character" w:customStyle="1" w:styleId="135">
    <w:name w:val="批注框文本 Char15"/>
    <w:semiHidden/>
    <w:qFormat/>
    <w:uiPriority w:val="99"/>
    <w:rPr>
      <w:rFonts w:ascii="仿宋" w:hAnsi="仿宋" w:eastAsia="仿宋" w:cs="仿宋"/>
      <w:color w:val="000000"/>
      <w:sz w:val="18"/>
      <w:szCs w:val="18"/>
    </w:rPr>
  </w:style>
  <w:style w:type="character" w:customStyle="1" w:styleId="136">
    <w:name w:val="批注框文本 Char14"/>
    <w:semiHidden/>
    <w:qFormat/>
    <w:uiPriority w:val="99"/>
    <w:rPr>
      <w:rFonts w:ascii="仿宋" w:hAnsi="仿宋" w:eastAsia="仿宋" w:cs="仿宋"/>
      <w:color w:val="000000"/>
      <w:sz w:val="18"/>
      <w:szCs w:val="18"/>
    </w:rPr>
  </w:style>
  <w:style w:type="character" w:customStyle="1" w:styleId="137">
    <w:name w:val="批注框文本 Char13"/>
    <w:semiHidden/>
    <w:qFormat/>
    <w:uiPriority w:val="99"/>
    <w:rPr>
      <w:rFonts w:ascii="仿宋" w:hAnsi="仿宋" w:eastAsia="仿宋" w:cs="仿宋"/>
      <w:color w:val="000000"/>
      <w:sz w:val="18"/>
      <w:szCs w:val="18"/>
    </w:rPr>
  </w:style>
  <w:style w:type="character" w:customStyle="1" w:styleId="138">
    <w:name w:val="批注框文本 Char12"/>
    <w:semiHidden/>
    <w:qFormat/>
    <w:uiPriority w:val="99"/>
    <w:rPr>
      <w:rFonts w:ascii="仿宋" w:hAnsi="仿宋" w:eastAsia="仿宋" w:cs="仿宋"/>
      <w:color w:val="000000"/>
      <w:sz w:val="18"/>
      <w:szCs w:val="18"/>
    </w:rPr>
  </w:style>
  <w:style w:type="character" w:customStyle="1" w:styleId="139">
    <w:name w:val="批注框文本 Char11"/>
    <w:semiHidden/>
    <w:qFormat/>
    <w:uiPriority w:val="99"/>
    <w:rPr>
      <w:rFonts w:ascii="仿宋" w:hAnsi="仿宋" w:eastAsia="仿宋" w:cs="仿宋"/>
      <w:color w:val="000000"/>
      <w:sz w:val="18"/>
      <w:szCs w:val="18"/>
    </w:rPr>
  </w:style>
  <w:style w:type="character" w:customStyle="1" w:styleId="140">
    <w:name w:val="页脚 Char1"/>
    <w:semiHidden/>
    <w:qFormat/>
    <w:uiPriority w:val="99"/>
    <w:rPr>
      <w:rFonts w:ascii="仿宋" w:hAnsi="仿宋" w:eastAsia="仿宋" w:cs="仿宋"/>
      <w:color w:val="000000"/>
      <w:sz w:val="18"/>
      <w:szCs w:val="18"/>
    </w:rPr>
  </w:style>
  <w:style w:type="character" w:customStyle="1" w:styleId="141">
    <w:name w:val="页脚 Char123"/>
    <w:semiHidden/>
    <w:qFormat/>
    <w:uiPriority w:val="99"/>
    <w:rPr>
      <w:rFonts w:ascii="仿宋" w:hAnsi="仿宋" w:eastAsia="仿宋" w:cs="仿宋"/>
      <w:color w:val="000000"/>
      <w:sz w:val="18"/>
      <w:szCs w:val="18"/>
    </w:rPr>
  </w:style>
  <w:style w:type="character" w:customStyle="1" w:styleId="142">
    <w:name w:val="页脚 Char122"/>
    <w:semiHidden/>
    <w:qFormat/>
    <w:uiPriority w:val="99"/>
    <w:rPr>
      <w:rFonts w:ascii="仿宋" w:hAnsi="仿宋" w:eastAsia="仿宋" w:cs="仿宋"/>
      <w:color w:val="000000"/>
      <w:sz w:val="18"/>
      <w:szCs w:val="18"/>
    </w:rPr>
  </w:style>
  <w:style w:type="character" w:customStyle="1" w:styleId="143">
    <w:name w:val="页脚 Char121"/>
    <w:semiHidden/>
    <w:qFormat/>
    <w:uiPriority w:val="99"/>
    <w:rPr>
      <w:rFonts w:ascii="仿宋" w:hAnsi="仿宋" w:eastAsia="仿宋" w:cs="仿宋"/>
      <w:color w:val="000000"/>
      <w:sz w:val="18"/>
      <w:szCs w:val="18"/>
    </w:rPr>
  </w:style>
  <w:style w:type="character" w:customStyle="1" w:styleId="144">
    <w:name w:val="页脚 Char120"/>
    <w:semiHidden/>
    <w:qFormat/>
    <w:uiPriority w:val="99"/>
    <w:rPr>
      <w:rFonts w:ascii="仿宋" w:hAnsi="仿宋" w:eastAsia="仿宋" w:cs="仿宋"/>
      <w:color w:val="000000"/>
      <w:sz w:val="18"/>
      <w:szCs w:val="18"/>
    </w:rPr>
  </w:style>
  <w:style w:type="character" w:customStyle="1" w:styleId="145">
    <w:name w:val="页脚 Char119"/>
    <w:semiHidden/>
    <w:qFormat/>
    <w:uiPriority w:val="99"/>
    <w:rPr>
      <w:rFonts w:ascii="仿宋" w:hAnsi="仿宋" w:eastAsia="仿宋" w:cs="仿宋"/>
      <w:color w:val="000000"/>
      <w:sz w:val="18"/>
      <w:szCs w:val="18"/>
    </w:rPr>
  </w:style>
  <w:style w:type="character" w:customStyle="1" w:styleId="146">
    <w:name w:val="页脚 Char118"/>
    <w:semiHidden/>
    <w:qFormat/>
    <w:uiPriority w:val="99"/>
    <w:rPr>
      <w:rFonts w:ascii="仿宋" w:hAnsi="仿宋" w:eastAsia="仿宋" w:cs="仿宋"/>
      <w:color w:val="000000"/>
      <w:sz w:val="18"/>
      <w:szCs w:val="18"/>
    </w:rPr>
  </w:style>
  <w:style w:type="character" w:customStyle="1" w:styleId="147">
    <w:name w:val="页脚 Char117"/>
    <w:semiHidden/>
    <w:qFormat/>
    <w:uiPriority w:val="99"/>
    <w:rPr>
      <w:rFonts w:ascii="仿宋" w:hAnsi="仿宋" w:eastAsia="仿宋" w:cs="仿宋"/>
      <w:color w:val="000000"/>
      <w:sz w:val="18"/>
      <w:szCs w:val="18"/>
    </w:rPr>
  </w:style>
  <w:style w:type="character" w:customStyle="1" w:styleId="148">
    <w:name w:val="页脚 Char116"/>
    <w:semiHidden/>
    <w:qFormat/>
    <w:uiPriority w:val="99"/>
    <w:rPr>
      <w:rFonts w:ascii="仿宋" w:hAnsi="仿宋" w:eastAsia="仿宋" w:cs="仿宋"/>
      <w:color w:val="000000"/>
      <w:sz w:val="18"/>
      <w:szCs w:val="18"/>
    </w:rPr>
  </w:style>
  <w:style w:type="character" w:customStyle="1" w:styleId="149">
    <w:name w:val="页脚 Char115"/>
    <w:semiHidden/>
    <w:qFormat/>
    <w:uiPriority w:val="99"/>
    <w:rPr>
      <w:rFonts w:ascii="仿宋" w:hAnsi="仿宋" w:eastAsia="仿宋" w:cs="仿宋"/>
      <w:color w:val="000000"/>
      <w:sz w:val="18"/>
      <w:szCs w:val="18"/>
    </w:rPr>
  </w:style>
  <w:style w:type="character" w:customStyle="1" w:styleId="150">
    <w:name w:val="页脚 Char114"/>
    <w:semiHidden/>
    <w:qFormat/>
    <w:uiPriority w:val="99"/>
    <w:rPr>
      <w:rFonts w:ascii="仿宋" w:hAnsi="仿宋" w:eastAsia="仿宋" w:cs="仿宋"/>
      <w:color w:val="000000"/>
      <w:sz w:val="18"/>
      <w:szCs w:val="18"/>
    </w:rPr>
  </w:style>
  <w:style w:type="character" w:customStyle="1" w:styleId="151">
    <w:name w:val="页脚 Char113"/>
    <w:semiHidden/>
    <w:qFormat/>
    <w:uiPriority w:val="99"/>
    <w:rPr>
      <w:rFonts w:ascii="仿宋" w:hAnsi="仿宋" w:eastAsia="仿宋" w:cs="仿宋"/>
      <w:color w:val="000000"/>
      <w:sz w:val="18"/>
      <w:szCs w:val="18"/>
    </w:rPr>
  </w:style>
  <w:style w:type="character" w:customStyle="1" w:styleId="152">
    <w:name w:val="页脚 Char112"/>
    <w:semiHidden/>
    <w:qFormat/>
    <w:uiPriority w:val="99"/>
    <w:rPr>
      <w:rFonts w:ascii="仿宋" w:hAnsi="仿宋" w:eastAsia="仿宋" w:cs="仿宋"/>
      <w:color w:val="000000"/>
      <w:sz w:val="18"/>
      <w:szCs w:val="18"/>
    </w:rPr>
  </w:style>
  <w:style w:type="character" w:customStyle="1" w:styleId="153">
    <w:name w:val="页脚 Char111"/>
    <w:semiHidden/>
    <w:qFormat/>
    <w:uiPriority w:val="99"/>
    <w:rPr>
      <w:rFonts w:ascii="仿宋" w:hAnsi="仿宋" w:eastAsia="仿宋" w:cs="仿宋"/>
      <w:color w:val="000000"/>
      <w:sz w:val="18"/>
      <w:szCs w:val="18"/>
    </w:rPr>
  </w:style>
  <w:style w:type="character" w:customStyle="1" w:styleId="154">
    <w:name w:val="页脚 Char110"/>
    <w:semiHidden/>
    <w:qFormat/>
    <w:uiPriority w:val="99"/>
    <w:rPr>
      <w:rFonts w:ascii="仿宋" w:hAnsi="仿宋" w:eastAsia="仿宋" w:cs="仿宋"/>
      <w:color w:val="000000"/>
      <w:sz w:val="18"/>
      <w:szCs w:val="18"/>
    </w:rPr>
  </w:style>
  <w:style w:type="character" w:customStyle="1" w:styleId="155">
    <w:name w:val="页脚 Char19"/>
    <w:semiHidden/>
    <w:qFormat/>
    <w:uiPriority w:val="99"/>
    <w:rPr>
      <w:rFonts w:ascii="仿宋" w:hAnsi="仿宋" w:eastAsia="仿宋" w:cs="仿宋"/>
      <w:color w:val="000000"/>
      <w:sz w:val="18"/>
      <w:szCs w:val="18"/>
    </w:rPr>
  </w:style>
  <w:style w:type="character" w:customStyle="1" w:styleId="156">
    <w:name w:val="页脚 Char18"/>
    <w:semiHidden/>
    <w:qFormat/>
    <w:uiPriority w:val="99"/>
    <w:rPr>
      <w:rFonts w:ascii="仿宋" w:hAnsi="仿宋" w:eastAsia="仿宋" w:cs="仿宋"/>
      <w:color w:val="000000"/>
      <w:sz w:val="18"/>
      <w:szCs w:val="18"/>
    </w:rPr>
  </w:style>
  <w:style w:type="character" w:customStyle="1" w:styleId="157">
    <w:name w:val="页脚 Char17"/>
    <w:semiHidden/>
    <w:qFormat/>
    <w:uiPriority w:val="99"/>
    <w:rPr>
      <w:rFonts w:ascii="仿宋" w:hAnsi="仿宋" w:eastAsia="仿宋" w:cs="仿宋"/>
      <w:color w:val="000000"/>
      <w:sz w:val="18"/>
      <w:szCs w:val="18"/>
    </w:rPr>
  </w:style>
  <w:style w:type="character" w:customStyle="1" w:styleId="158">
    <w:name w:val="页脚 Char16"/>
    <w:semiHidden/>
    <w:qFormat/>
    <w:uiPriority w:val="99"/>
    <w:rPr>
      <w:rFonts w:ascii="仿宋" w:hAnsi="仿宋" w:eastAsia="仿宋" w:cs="仿宋"/>
      <w:color w:val="000000"/>
      <w:sz w:val="18"/>
      <w:szCs w:val="18"/>
    </w:rPr>
  </w:style>
  <w:style w:type="character" w:customStyle="1" w:styleId="159">
    <w:name w:val="页脚 Char15"/>
    <w:semiHidden/>
    <w:qFormat/>
    <w:uiPriority w:val="99"/>
    <w:rPr>
      <w:rFonts w:ascii="仿宋" w:hAnsi="仿宋" w:eastAsia="仿宋" w:cs="仿宋"/>
      <w:color w:val="000000"/>
      <w:sz w:val="18"/>
      <w:szCs w:val="18"/>
    </w:rPr>
  </w:style>
  <w:style w:type="character" w:customStyle="1" w:styleId="160">
    <w:name w:val="页脚 Char14"/>
    <w:semiHidden/>
    <w:qFormat/>
    <w:uiPriority w:val="99"/>
    <w:rPr>
      <w:rFonts w:ascii="仿宋" w:hAnsi="仿宋" w:eastAsia="仿宋" w:cs="仿宋"/>
      <w:color w:val="000000"/>
      <w:sz w:val="18"/>
      <w:szCs w:val="18"/>
    </w:rPr>
  </w:style>
  <w:style w:type="character" w:customStyle="1" w:styleId="161">
    <w:name w:val="页脚 Char13"/>
    <w:semiHidden/>
    <w:qFormat/>
    <w:uiPriority w:val="99"/>
    <w:rPr>
      <w:rFonts w:ascii="仿宋" w:hAnsi="仿宋" w:eastAsia="仿宋" w:cs="仿宋"/>
      <w:color w:val="000000"/>
      <w:sz w:val="18"/>
      <w:szCs w:val="18"/>
    </w:rPr>
  </w:style>
  <w:style w:type="character" w:customStyle="1" w:styleId="162">
    <w:name w:val="页脚 Char12"/>
    <w:semiHidden/>
    <w:qFormat/>
    <w:uiPriority w:val="99"/>
    <w:rPr>
      <w:rFonts w:ascii="仿宋" w:hAnsi="仿宋" w:eastAsia="仿宋" w:cs="仿宋"/>
      <w:color w:val="000000"/>
      <w:sz w:val="18"/>
      <w:szCs w:val="18"/>
    </w:rPr>
  </w:style>
  <w:style w:type="character" w:customStyle="1" w:styleId="163">
    <w:name w:val="页脚 Char11"/>
    <w:semiHidden/>
    <w:qFormat/>
    <w:uiPriority w:val="99"/>
    <w:rPr>
      <w:rFonts w:ascii="仿宋" w:hAnsi="仿宋" w:eastAsia="仿宋" w:cs="仿宋"/>
      <w:color w:val="000000"/>
      <w:sz w:val="18"/>
      <w:szCs w:val="18"/>
    </w:rPr>
  </w:style>
  <w:style w:type="character" w:customStyle="1" w:styleId="164">
    <w:name w:val="页眉 Char1"/>
    <w:semiHidden/>
    <w:qFormat/>
    <w:uiPriority w:val="99"/>
    <w:rPr>
      <w:rFonts w:ascii="仿宋" w:hAnsi="仿宋" w:eastAsia="仿宋" w:cs="仿宋"/>
      <w:color w:val="000000"/>
      <w:sz w:val="18"/>
      <w:szCs w:val="18"/>
    </w:rPr>
  </w:style>
  <w:style w:type="character" w:customStyle="1" w:styleId="165">
    <w:name w:val="页眉 Char123"/>
    <w:semiHidden/>
    <w:qFormat/>
    <w:uiPriority w:val="99"/>
    <w:rPr>
      <w:rFonts w:ascii="仿宋" w:hAnsi="仿宋" w:eastAsia="仿宋" w:cs="仿宋"/>
      <w:color w:val="000000"/>
      <w:sz w:val="18"/>
      <w:szCs w:val="18"/>
    </w:rPr>
  </w:style>
  <w:style w:type="character" w:customStyle="1" w:styleId="166">
    <w:name w:val="页眉 Char122"/>
    <w:semiHidden/>
    <w:qFormat/>
    <w:uiPriority w:val="99"/>
    <w:rPr>
      <w:rFonts w:ascii="仿宋" w:hAnsi="仿宋" w:eastAsia="仿宋" w:cs="仿宋"/>
      <w:color w:val="000000"/>
      <w:sz w:val="18"/>
      <w:szCs w:val="18"/>
    </w:rPr>
  </w:style>
  <w:style w:type="character" w:customStyle="1" w:styleId="167">
    <w:name w:val="页眉 Char121"/>
    <w:semiHidden/>
    <w:qFormat/>
    <w:uiPriority w:val="99"/>
    <w:rPr>
      <w:rFonts w:ascii="仿宋" w:hAnsi="仿宋" w:eastAsia="仿宋" w:cs="仿宋"/>
      <w:color w:val="000000"/>
      <w:sz w:val="18"/>
      <w:szCs w:val="18"/>
    </w:rPr>
  </w:style>
  <w:style w:type="character" w:customStyle="1" w:styleId="168">
    <w:name w:val="页眉 Char120"/>
    <w:semiHidden/>
    <w:qFormat/>
    <w:uiPriority w:val="99"/>
    <w:rPr>
      <w:rFonts w:ascii="仿宋" w:hAnsi="仿宋" w:eastAsia="仿宋" w:cs="仿宋"/>
      <w:color w:val="000000"/>
      <w:sz w:val="18"/>
      <w:szCs w:val="18"/>
    </w:rPr>
  </w:style>
  <w:style w:type="character" w:customStyle="1" w:styleId="169">
    <w:name w:val="页眉 Char119"/>
    <w:semiHidden/>
    <w:qFormat/>
    <w:uiPriority w:val="99"/>
    <w:rPr>
      <w:rFonts w:ascii="仿宋" w:hAnsi="仿宋" w:eastAsia="仿宋" w:cs="仿宋"/>
      <w:color w:val="000000"/>
      <w:sz w:val="18"/>
      <w:szCs w:val="18"/>
    </w:rPr>
  </w:style>
  <w:style w:type="character" w:customStyle="1" w:styleId="170">
    <w:name w:val="页眉 Char118"/>
    <w:semiHidden/>
    <w:qFormat/>
    <w:uiPriority w:val="99"/>
    <w:rPr>
      <w:rFonts w:ascii="仿宋" w:hAnsi="仿宋" w:eastAsia="仿宋" w:cs="仿宋"/>
      <w:color w:val="000000"/>
      <w:sz w:val="18"/>
      <w:szCs w:val="18"/>
    </w:rPr>
  </w:style>
  <w:style w:type="character" w:customStyle="1" w:styleId="171">
    <w:name w:val="页眉 Char117"/>
    <w:semiHidden/>
    <w:qFormat/>
    <w:uiPriority w:val="99"/>
    <w:rPr>
      <w:rFonts w:ascii="仿宋" w:hAnsi="仿宋" w:eastAsia="仿宋" w:cs="仿宋"/>
      <w:color w:val="000000"/>
      <w:sz w:val="18"/>
      <w:szCs w:val="18"/>
    </w:rPr>
  </w:style>
  <w:style w:type="character" w:customStyle="1" w:styleId="172">
    <w:name w:val="页眉 Char116"/>
    <w:semiHidden/>
    <w:qFormat/>
    <w:uiPriority w:val="99"/>
    <w:rPr>
      <w:rFonts w:ascii="仿宋" w:hAnsi="仿宋" w:eastAsia="仿宋" w:cs="仿宋"/>
      <w:color w:val="000000"/>
      <w:sz w:val="18"/>
      <w:szCs w:val="18"/>
    </w:rPr>
  </w:style>
  <w:style w:type="character" w:customStyle="1" w:styleId="173">
    <w:name w:val="页眉 Char115"/>
    <w:semiHidden/>
    <w:qFormat/>
    <w:uiPriority w:val="99"/>
    <w:rPr>
      <w:rFonts w:ascii="仿宋" w:hAnsi="仿宋" w:eastAsia="仿宋" w:cs="仿宋"/>
      <w:color w:val="000000"/>
      <w:sz w:val="18"/>
      <w:szCs w:val="18"/>
    </w:rPr>
  </w:style>
  <w:style w:type="character" w:customStyle="1" w:styleId="174">
    <w:name w:val="页眉 Char114"/>
    <w:semiHidden/>
    <w:qFormat/>
    <w:uiPriority w:val="99"/>
    <w:rPr>
      <w:rFonts w:ascii="仿宋" w:hAnsi="仿宋" w:eastAsia="仿宋" w:cs="仿宋"/>
      <w:color w:val="000000"/>
      <w:sz w:val="18"/>
      <w:szCs w:val="18"/>
    </w:rPr>
  </w:style>
  <w:style w:type="character" w:customStyle="1" w:styleId="175">
    <w:name w:val="页眉 Char113"/>
    <w:semiHidden/>
    <w:qFormat/>
    <w:uiPriority w:val="99"/>
    <w:rPr>
      <w:rFonts w:ascii="仿宋" w:hAnsi="仿宋" w:eastAsia="仿宋" w:cs="仿宋"/>
      <w:color w:val="000000"/>
      <w:sz w:val="18"/>
      <w:szCs w:val="18"/>
    </w:rPr>
  </w:style>
  <w:style w:type="character" w:customStyle="1" w:styleId="176">
    <w:name w:val="页眉 Char112"/>
    <w:semiHidden/>
    <w:qFormat/>
    <w:uiPriority w:val="99"/>
    <w:rPr>
      <w:rFonts w:ascii="仿宋" w:hAnsi="仿宋" w:eastAsia="仿宋" w:cs="仿宋"/>
      <w:color w:val="000000"/>
      <w:sz w:val="18"/>
      <w:szCs w:val="18"/>
    </w:rPr>
  </w:style>
  <w:style w:type="character" w:customStyle="1" w:styleId="177">
    <w:name w:val="页眉 Char111"/>
    <w:semiHidden/>
    <w:qFormat/>
    <w:uiPriority w:val="99"/>
    <w:rPr>
      <w:rFonts w:ascii="仿宋" w:hAnsi="仿宋" w:eastAsia="仿宋" w:cs="仿宋"/>
      <w:color w:val="000000"/>
      <w:sz w:val="18"/>
      <w:szCs w:val="18"/>
    </w:rPr>
  </w:style>
  <w:style w:type="character" w:customStyle="1" w:styleId="178">
    <w:name w:val="页眉 Char110"/>
    <w:semiHidden/>
    <w:qFormat/>
    <w:uiPriority w:val="99"/>
    <w:rPr>
      <w:rFonts w:ascii="仿宋" w:hAnsi="仿宋" w:eastAsia="仿宋" w:cs="仿宋"/>
      <w:color w:val="000000"/>
      <w:sz w:val="18"/>
      <w:szCs w:val="18"/>
    </w:rPr>
  </w:style>
  <w:style w:type="character" w:customStyle="1" w:styleId="179">
    <w:name w:val="页眉 Char19"/>
    <w:semiHidden/>
    <w:qFormat/>
    <w:uiPriority w:val="99"/>
    <w:rPr>
      <w:rFonts w:ascii="仿宋" w:hAnsi="仿宋" w:eastAsia="仿宋" w:cs="仿宋"/>
      <w:color w:val="000000"/>
      <w:sz w:val="18"/>
      <w:szCs w:val="18"/>
    </w:rPr>
  </w:style>
  <w:style w:type="character" w:customStyle="1" w:styleId="180">
    <w:name w:val="页眉 Char18"/>
    <w:semiHidden/>
    <w:qFormat/>
    <w:uiPriority w:val="99"/>
    <w:rPr>
      <w:rFonts w:ascii="仿宋" w:hAnsi="仿宋" w:eastAsia="仿宋" w:cs="仿宋"/>
      <w:color w:val="000000"/>
      <w:sz w:val="18"/>
      <w:szCs w:val="18"/>
    </w:rPr>
  </w:style>
  <w:style w:type="character" w:customStyle="1" w:styleId="181">
    <w:name w:val="页眉 Char17"/>
    <w:semiHidden/>
    <w:qFormat/>
    <w:uiPriority w:val="99"/>
    <w:rPr>
      <w:rFonts w:ascii="仿宋" w:hAnsi="仿宋" w:eastAsia="仿宋" w:cs="仿宋"/>
      <w:color w:val="000000"/>
      <w:sz w:val="18"/>
      <w:szCs w:val="18"/>
    </w:rPr>
  </w:style>
  <w:style w:type="character" w:customStyle="1" w:styleId="182">
    <w:name w:val="页眉 Char16"/>
    <w:semiHidden/>
    <w:qFormat/>
    <w:uiPriority w:val="99"/>
    <w:rPr>
      <w:rFonts w:ascii="仿宋" w:hAnsi="仿宋" w:eastAsia="仿宋" w:cs="仿宋"/>
      <w:color w:val="000000"/>
      <w:sz w:val="18"/>
      <w:szCs w:val="18"/>
    </w:rPr>
  </w:style>
  <w:style w:type="character" w:customStyle="1" w:styleId="183">
    <w:name w:val="页眉 Char15"/>
    <w:semiHidden/>
    <w:qFormat/>
    <w:uiPriority w:val="99"/>
    <w:rPr>
      <w:rFonts w:ascii="仿宋" w:hAnsi="仿宋" w:eastAsia="仿宋" w:cs="仿宋"/>
      <w:color w:val="000000"/>
      <w:sz w:val="18"/>
      <w:szCs w:val="18"/>
    </w:rPr>
  </w:style>
  <w:style w:type="character" w:customStyle="1" w:styleId="184">
    <w:name w:val="页眉 Char14"/>
    <w:semiHidden/>
    <w:qFormat/>
    <w:uiPriority w:val="99"/>
    <w:rPr>
      <w:rFonts w:ascii="仿宋" w:hAnsi="仿宋" w:eastAsia="仿宋" w:cs="仿宋"/>
      <w:color w:val="000000"/>
      <w:sz w:val="18"/>
      <w:szCs w:val="18"/>
    </w:rPr>
  </w:style>
  <w:style w:type="character" w:customStyle="1" w:styleId="185">
    <w:name w:val="页眉 Char13"/>
    <w:semiHidden/>
    <w:qFormat/>
    <w:uiPriority w:val="99"/>
    <w:rPr>
      <w:rFonts w:ascii="仿宋" w:hAnsi="仿宋" w:eastAsia="仿宋" w:cs="仿宋"/>
      <w:color w:val="000000"/>
      <w:sz w:val="18"/>
      <w:szCs w:val="18"/>
    </w:rPr>
  </w:style>
  <w:style w:type="character" w:customStyle="1" w:styleId="186">
    <w:name w:val="页眉 Char12"/>
    <w:semiHidden/>
    <w:qFormat/>
    <w:uiPriority w:val="99"/>
    <w:rPr>
      <w:rFonts w:ascii="仿宋" w:hAnsi="仿宋" w:eastAsia="仿宋" w:cs="仿宋"/>
      <w:color w:val="000000"/>
      <w:sz w:val="18"/>
      <w:szCs w:val="18"/>
    </w:rPr>
  </w:style>
  <w:style w:type="character" w:customStyle="1" w:styleId="187">
    <w:name w:val="页眉 Char11"/>
    <w:semiHidden/>
    <w:qFormat/>
    <w:uiPriority w:val="99"/>
    <w:rPr>
      <w:rFonts w:ascii="仿宋" w:hAnsi="仿宋" w:eastAsia="仿宋" w:cs="仿宋"/>
      <w:color w:val="000000"/>
      <w:sz w:val="18"/>
      <w:szCs w:val="18"/>
    </w:rPr>
  </w:style>
  <w:style w:type="character" w:customStyle="1" w:styleId="188">
    <w:name w:val="正文文本缩进 3 Char1"/>
    <w:semiHidden/>
    <w:qFormat/>
    <w:uiPriority w:val="99"/>
    <w:rPr>
      <w:rFonts w:ascii="仿宋" w:hAnsi="仿宋" w:eastAsia="仿宋" w:cs="仿宋"/>
      <w:color w:val="000000"/>
      <w:sz w:val="16"/>
      <w:szCs w:val="16"/>
    </w:rPr>
  </w:style>
  <w:style w:type="character" w:customStyle="1" w:styleId="189">
    <w:name w:val="正文文本缩进 3 Char123"/>
    <w:semiHidden/>
    <w:qFormat/>
    <w:uiPriority w:val="99"/>
    <w:rPr>
      <w:rFonts w:ascii="仿宋" w:hAnsi="仿宋" w:eastAsia="仿宋" w:cs="仿宋"/>
      <w:color w:val="000000"/>
      <w:sz w:val="16"/>
      <w:szCs w:val="16"/>
    </w:rPr>
  </w:style>
  <w:style w:type="character" w:customStyle="1" w:styleId="190">
    <w:name w:val="正文文本缩进 3 Char122"/>
    <w:semiHidden/>
    <w:qFormat/>
    <w:uiPriority w:val="99"/>
    <w:rPr>
      <w:rFonts w:ascii="仿宋" w:hAnsi="仿宋" w:eastAsia="仿宋" w:cs="仿宋"/>
      <w:color w:val="000000"/>
      <w:sz w:val="16"/>
      <w:szCs w:val="16"/>
    </w:rPr>
  </w:style>
  <w:style w:type="character" w:customStyle="1" w:styleId="191">
    <w:name w:val="正文文本缩进 3 Char121"/>
    <w:semiHidden/>
    <w:qFormat/>
    <w:uiPriority w:val="99"/>
    <w:rPr>
      <w:rFonts w:ascii="仿宋" w:hAnsi="仿宋" w:eastAsia="仿宋" w:cs="仿宋"/>
      <w:color w:val="000000"/>
      <w:sz w:val="16"/>
      <w:szCs w:val="16"/>
    </w:rPr>
  </w:style>
  <w:style w:type="character" w:customStyle="1" w:styleId="192">
    <w:name w:val="正文文本缩进 3 Char120"/>
    <w:semiHidden/>
    <w:qFormat/>
    <w:uiPriority w:val="99"/>
    <w:rPr>
      <w:rFonts w:ascii="仿宋" w:hAnsi="仿宋" w:eastAsia="仿宋" w:cs="仿宋"/>
      <w:color w:val="000000"/>
      <w:sz w:val="16"/>
      <w:szCs w:val="16"/>
    </w:rPr>
  </w:style>
  <w:style w:type="character" w:customStyle="1" w:styleId="193">
    <w:name w:val="正文文本缩进 3 Char119"/>
    <w:semiHidden/>
    <w:qFormat/>
    <w:uiPriority w:val="99"/>
    <w:rPr>
      <w:rFonts w:ascii="仿宋" w:hAnsi="仿宋" w:eastAsia="仿宋" w:cs="仿宋"/>
      <w:color w:val="000000"/>
      <w:sz w:val="16"/>
      <w:szCs w:val="16"/>
    </w:rPr>
  </w:style>
  <w:style w:type="character" w:customStyle="1" w:styleId="194">
    <w:name w:val="正文文本缩进 3 Char118"/>
    <w:semiHidden/>
    <w:qFormat/>
    <w:uiPriority w:val="99"/>
    <w:rPr>
      <w:rFonts w:ascii="仿宋" w:hAnsi="仿宋" w:eastAsia="仿宋" w:cs="仿宋"/>
      <w:color w:val="000000"/>
      <w:sz w:val="16"/>
      <w:szCs w:val="16"/>
    </w:rPr>
  </w:style>
  <w:style w:type="character" w:customStyle="1" w:styleId="195">
    <w:name w:val="正文文本缩进 3 Char117"/>
    <w:semiHidden/>
    <w:qFormat/>
    <w:uiPriority w:val="99"/>
    <w:rPr>
      <w:rFonts w:ascii="仿宋" w:hAnsi="仿宋" w:eastAsia="仿宋" w:cs="仿宋"/>
      <w:color w:val="000000"/>
      <w:sz w:val="16"/>
      <w:szCs w:val="16"/>
    </w:rPr>
  </w:style>
  <w:style w:type="character" w:customStyle="1" w:styleId="196">
    <w:name w:val="正文文本缩进 3 Char116"/>
    <w:semiHidden/>
    <w:qFormat/>
    <w:uiPriority w:val="99"/>
    <w:rPr>
      <w:rFonts w:ascii="仿宋" w:hAnsi="仿宋" w:eastAsia="仿宋" w:cs="仿宋"/>
      <w:color w:val="000000"/>
      <w:sz w:val="16"/>
      <w:szCs w:val="16"/>
    </w:rPr>
  </w:style>
  <w:style w:type="character" w:customStyle="1" w:styleId="197">
    <w:name w:val="正文文本缩进 3 Char115"/>
    <w:semiHidden/>
    <w:qFormat/>
    <w:uiPriority w:val="99"/>
    <w:rPr>
      <w:rFonts w:ascii="仿宋" w:hAnsi="仿宋" w:eastAsia="仿宋" w:cs="仿宋"/>
      <w:color w:val="000000"/>
      <w:sz w:val="16"/>
      <w:szCs w:val="16"/>
    </w:rPr>
  </w:style>
  <w:style w:type="character" w:customStyle="1" w:styleId="198">
    <w:name w:val="正文文本缩进 3 Char114"/>
    <w:semiHidden/>
    <w:qFormat/>
    <w:uiPriority w:val="99"/>
    <w:rPr>
      <w:rFonts w:ascii="仿宋" w:hAnsi="仿宋" w:eastAsia="仿宋" w:cs="仿宋"/>
      <w:color w:val="000000"/>
      <w:sz w:val="16"/>
      <w:szCs w:val="16"/>
    </w:rPr>
  </w:style>
  <w:style w:type="character" w:customStyle="1" w:styleId="199">
    <w:name w:val="正文文本缩进 3 Char113"/>
    <w:semiHidden/>
    <w:qFormat/>
    <w:uiPriority w:val="99"/>
    <w:rPr>
      <w:rFonts w:ascii="仿宋" w:hAnsi="仿宋" w:eastAsia="仿宋" w:cs="仿宋"/>
      <w:color w:val="000000"/>
      <w:sz w:val="16"/>
      <w:szCs w:val="16"/>
    </w:rPr>
  </w:style>
  <w:style w:type="character" w:customStyle="1" w:styleId="200">
    <w:name w:val="正文文本缩进 3 Char112"/>
    <w:semiHidden/>
    <w:qFormat/>
    <w:uiPriority w:val="99"/>
    <w:rPr>
      <w:rFonts w:ascii="仿宋" w:hAnsi="仿宋" w:eastAsia="仿宋" w:cs="仿宋"/>
      <w:color w:val="000000"/>
      <w:sz w:val="16"/>
      <w:szCs w:val="16"/>
    </w:rPr>
  </w:style>
  <w:style w:type="character" w:customStyle="1" w:styleId="201">
    <w:name w:val="正文文本缩进 3 Char111"/>
    <w:semiHidden/>
    <w:qFormat/>
    <w:uiPriority w:val="99"/>
    <w:rPr>
      <w:rFonts w:ascii="仿宋" w:hAnsi="仿宋" w:eastAsia="仿宋" w:cs="仿宋"/>
      <w:color w:val="000000"/>
      <w:sz w:val="16"/>
      <w:szCs w:val="16"/>
    </w:rPr>
  </w:style>
  <w:style w:type="character" w:customStyle="1" w:styleId="202">
    <w:name w:val="正文文本缩进 3 Char110"/>
    <w:semiHidden/>
    <w:qFormat/>
    <w:uiPriority w:val="99"/>
    <w:rPr>
      <w:rFonts w:ascii="仿宋" w:hAnsi="仿宋" w:eastAsia="仿宋" w:cs="仿宋"/>
      <w:color w:val="000000"/>
      <w:sz w:val="16"/>
      <w:szCs w:val="16"/>
    </w:rPr>
  </w:style>
  <w:style w:type="character" w:customStyle="1" w:styleId="203">
    <w:name w:val="正文文本缩进 3 Char19"/>
    <w:semiHidden/>
    <w:qFormat/>
    <w:uiPriority w:val="99"/>
    <w:rPr>
      <w:rFonts w:ascii="仿宋" w:hAnsi="仿宋" w:eastAsia="仿宋" w:cs="仿宋"/>
      <w:color w:val="000000"/>
      <w:sz w:val="16"/>
      <w:szCs w:val="16"/>
    </w:rPr>
  </w:style>
  <w:style w:type="character" w:customStyle="1" w:styleId="204">
    <w:name w:val="正文文本缩进 3 Char18"/>
    <w:semiHidden/>
    <w:qFormat/>
    <w:uiPriority w:val="99"/>
    <w:rPr>
      <w:rFonts w:ascii="仿宋" w:hAnsi="仿宋" w:eastAsia="仿宋" w:cs="仿宋"/>
      <w:color w:val="000000"/>
      <w:sz w:val="16"/>
      <w:szCs w:val="16"/>
    </w:rPr>
  </w:style>
  <w:style w:type="character" w:customStyle="1" w:styleId="205">
    <w:name w:val="正文文本缩进 3 Char17"/>
    <w:semiHidden/>
    <w:qFormat/>
    <w:uiPriority w:val="99"/>
    <w:rPr>
      <w:rFonts w:ascii="仿宋" w:hAnsi="仿宋" w:eastAsia="仿宋" w:cs="仿宋"/>
      <w:color w:val="000000"/>
      <w:sz w:val="16"/>
      <w:szCs w:val="16"/>
    </w:rPr>
  </w:style>
  <w:style w:type="character" w:customStyle="1" w:styleId="206">
    <w:name w:val="正文文本缩进 3 Char16"/>
    <w:semiHidden/>
    <w:qFormat/>
    <w:uiPriority w:val="99"/>
    <w:rPr>
      <w:rFonts w:ascii="仿宋" w:hAnsi="仿宋" w:eastAsia="仿宋" w:cs="仿宋"/>
      <w:color w:val="000000"/>
      <w:sz w:val="16"/>
      <w:szCs w:val="16"/>
    </w:rPr>
  </w:style>
  <w:style w:type="character" w:customStyle="1" w:styleId="207">
    <w:name w:val="正文文本缩进 3 Char15"/>
    <w:semiHidden/>
    <w:qFormat/>
    <w:uiPriority w:val="99"/>
    <w:rPr>
      <w:rFonts w:ascii="仿宋" w:hAnsi="仿宋" w:eastAsia="仿宋" w:cs="仿宋"/>
      <w:color w:val="000000"/>
      <w:sz w:val="16"/>
      <w:szCs w:val="16"/>
    </w:rPr>
  </w:style>
  <w:style w:type="character" w:customStyle="1" w:styleId="208">
    <w:name w:val="正文文本缩进 3 Char14"/>
    <w:semiHidden/>
    <w:qFormat/>
    <w:uiPriority w:val="99"/>
    <w:rPr>
      <w:rFonts w:ascii="仿宋" w:hAnsi="仿宋" w:eastAsia="仿宋" w:cs="仿宋"/>
      <w:color w:val="000000"/>
      <w:sz w:val="16"/>
      <w:szCs w:val="16"/>
    </w:rPr>
  </w:style>
  <w:style w:type="character" w:customStyle="1" w:styleId="209">
    <w:name w:val="正文文本缩进 3 Char13"/>
    <w:semiHidden/>
    <w:qFormat/>
    <w:uiPriority w:val="99"/>
    <w:rPr>
      <w:rFonts w:ascii="仿宋" w:hAnsi="仿宋" w:eastAsia="仿宋" w:cs="仿宋"/>
      <w:color w:val="000000"/>
      <w:sz w:val="16"/>
      <w:szCs w:val="16"/>
    </w:rPr>
  </w:style>
  <w:style w:type="character" w:customStyle="1" w:styleId="210">
    <w:name w:val="正文文本缩进 3 Char12"/>
    <w:semiHidden/>
    <w:qFormat/>
    <w:uiPriority w:val="99"/>
    <w:rPr>
      <w:rFonts w:ascii="仿宋" w:hAnsi="仿宋" w:eastAsia="仿宋" w:cs="仿宋"/>
      <w:color w:val="000000"/>
      <w:sz w:val="16"/>
      <w:szCs w:val="16"/>
    </w:rPr>
  </w:style>
  <w:style w:type="character" w:customStyle="1" w:styleId="211">
    <w:name w:val="正文文本缩进 3 Char11"/>
    <w:semiHidden/>
    <w:qFormat/>
    <w:uiPriority w:val="99"/>
    <w:rPr>
      <w:rFonts w:ascii="仿宋" w:hAnsi="仿宋" w:eastAsia="仿宋" w:cs="仿宋"/>
      <w:color w:val="000000"/>
      <w:sz w:val="16"/>
      <w:szCs w:val="16"/>
    </w:rPr>
  </w:style>
  <w:style w:type="character" w:customStyle="1" w:styleId="212">
    <w:name w:val="未处理的提及1"/>
    <w:semiHidden/>
    <w:qFormat/>
    <w:uiPriority w:val="99"/>
    <w:rPr>
      <w:rFonts w:cs="Times New Roman"/>
      <w:color w:val="605E5C"/>
      <w:shd w:val="clear" w:color="auto" w:fill="E1DFDD"/>
    </w:rPr>
  </w:style>
  <w:style w:type="character" w:customStyle="1" w:styleId="213">
    <w:name w:val="Footer Char"/>
    <w:qFormat/>
    <w:locked/>
    <w:uiPriority w:val="0"/>
    <w:rPr>
      <w:rFonts w:cs="Times New Roman"/>
      <w:sz w:val="18"/>
      <w:szCs w:val="18"/>
    </w:rPr>
  </w:style>
  <w:style w:type="character" w:customStyle="1" w:styleId="214">
    <w:name w:val="Header Char"/>
    <w:qFormat/>
    <w:locked/>
    <w:uiPriority w:val="0"/>
    <w:rPr>
      <w:rFonts w:cs="Times New Roman"/>
      <w:sz w:val="18"/>
      <w:szCs w:val="18"/>
    </w:rPr>
  </w:style>
  <w:style w:type="table" w:customStyle="1" w:styleId="215">
    <w:name w:val="TableGrid"/>
    <w:qFormat/>
    <w:uiPriority w:val="99"/>
    <w:tblPr>
      <w:tblCellMar>
        <w:top w:w="0" w:type="dxa"/>
        <w:left w:w="0" w:type="dxa"/>
        <w:bottom w:w="0" w:type="dxa"/>
        <w:right w:w="0" w:type="dxa"/>
      </w:tblCellMar>
    </w:tblPr>
  </w:style>
  <w:style w:type="table" w:customStyle="1" w:styleId="216">
    <w:name w:val="Table Normal1"/>
    <w:semiHidden/>
    <w:qFormat/>
    <w:uiPriority w:val="99"/>
    <w:pPr>
      <w:widowControl w:val="0"/>
    </w:pPr>
    <w:rPr>
      <w:sz w:val="22"/>
      <w:lang w:eastAsia="en-US"/>
    </w:rPr>
    <w:tblPr>
      <w:tblCellMar>
        <w:top w:w="0" w:type="dxa"/>
        <w:left w:w="0" w:type="dxa"/>
        <w:bottom w:w="0" w:type="dxa"/>
        <w:right w:w="0" w:type="dxa"/>
      </w:tblCellMar>
    </w:tblPr>
  </w:style>
  <w:style w:type="table" w:customStyle="1" w:styleId="217">
    <w:name w:val="网格型1"/>
    <w:basedOn w:val="30"/>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8">
    <w:name w:val="网格型2"/>
    <w:basedOn w:val="30"/>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9">
    <w:name w:val="网格型3"/>
    <w:basedOn w:val="30"/>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0">
    <w:name w:val="网格型4"/>
    <w:basedOn w:val="30"/>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1">
    <w:name w:val="网格型5"/>
    <w:basedOn w:val="30"/>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222">
    <w:name w:val="正文文本缩进 Char"/>
    <w:link w:val="223"/>
    <w:qFormat/>
    <w:uiPriority w:val="0"/>
    <w:rPr>
      <w:rFonts w:ascii="Calibri" w:hAnsi="Calibri" w:cs="黑体"/>
      <w:kern w:val="2"/>
      <w:sz w:val="24"/>
      <w:szCs w:val="22"/>
    </w:rPr>
  </w:style>
  <w:style w:type="paragraph" w:customStyle="1" w:styleId="223">
    <w:name w:val="正文文本缩进1"/>
    <w:basedOn w:val="1"/>
    <w:link w:val="222"/>
    <w:qFormat/>
    <w:uiPriority w:val="0"/>
    <w:pPr>
      <w:widowControl w:val="0"/>
      <w:spacing w:after="120" w:line="240" w:lineRule="auto"/>
      <w:ind w:left="420" w:leftChars="200" w:firstLine="0"/>
      <w:jc w:val="both"/>
    </w:pPr>
    <w:rPr>
      <w:rFonts w:ascii="Calibri" w:hAnsi="Calibri" w:eastAsia="宋体" w:cs="黑体"/>
      <w:color w:val="auto"/>
    </w:rPr>
  </w:style>
  <w:style w:type="character" w:customStyle="1" w:styleId="224">
    <w:name w:val="5-正文 Char"/>
    <w:link w:val="225"/>
    <w:qFormat/>
    <w:uiPriority w:val="0"/>
    <w:rPr>
      <w:kern w:val="2"/>
      <w:sz w:val="24"/>
      <w:szCs w:val="24"/>
    </w:rPr>
  </w:style>
  <w:style w:type="paragraph" w:customStyle="1" w:styleId="225">
    <w:name w:val="5-正文"/>
    <w:basedOn w:val="1"/>
    <w:link w:val="224"/>
    <w:qFormat/>
    <w:uiPriority w:val="0"/>
    <w:pPr>
      <w:widowControl w:val="0"/>
      <w:spacing w:before="100" w:beforeAutospacing="1" w:after="100" w:afterAutospacing="1" w:line="360" w:lineRule="auto"/>
      <w:ind w:left="0" w:firstLine="480" w:firstLineChars="200"/>
      <w:jc w:val="both"/>
    </w:pPr>
    <w:rPr>
      <w:rFonts w:ascii="Times New Roman" w:hAnsi="Times New Roman" w:eastAsia="宋体" w:cs="Times New Roman"/>
      <w:color w:val="auto"/>
      <w:szCs w:val="24"/>
    </w:rPr>
  </w:style>
  <w:style w:type="character" w:customStyle="1" w:styleId="226">
    <w:name w:val="加粗小标 Char Char"/>
    <w:link w:val="227"/>
    <w:qFormat/>
    <w:uiPriority w:val="0"/>
    <w:rPr>
      <w:b/>
      <w:kern w:val="2"/>
      <w:sz w:val="24"/>
      <w:szCs w:val="24"/>
    </w:rPr>
  </w:style>
  <w:style w:type="paragraph" w:customStyle="1" w:styleId="227">
    <w:name w:val="加粗小标"/>
    <w:basedOn w:val="1"/>
    <w:next w:val="1"/>
    <w:link w:val="226"/>
    <w:qFormat/>
    <w:uiPriority w:val="0"/>
    <w:pPr>
      <w:widowControl w:val="0"/>
      <w:tabs>
        <w:tab w:val="left" w:pos="360"/>
        <w:tab w:val="left" w:pos="567"/>
        <w:tab w:val="left" w:pos="1620"/>
      </w:tabs>
      <w:spacing w:after="0" w:line="360" w:lineRule="auto"/>
      <w:ind w:left="1620" w:hanging="360"/>
      <w:jc w:val="center"/>
      <w:textAlignment w:val="center"/>
      <w:outlineLvl w:val="4"/>
    </w:pPr>
    <w:rPr>
      <w:rFonts w:ascii="Times New Roman" w:hAnsi="Times New Roman" w:eastAsia="宋体" w:cs="Times New Roman"/>
      <w:b/>
      <w:color w:val="auto"/>
      <w:szCs w:val="24"/>
    </w:rPr>
  </w:style>
  <w:style w:type="character" w:customStyle="1" w:styleId="228">
    <w:name w:val="表格标题 Char"/>
    <w:link w:val="229"/>
    <w:qFormat/>
    <w:uiPriority w:val="0"/>
    <w:rPr>
      <w:rFonts w:ascii="Arial" w:hAnsi="Arial"/>
      <w:b/>
      <w:kern w:val="28"/>
      <w:sz w:val="24"/>
      <w:szCs w:val="24"/>
    </w:rPr>
  </w:style>
  <w:style w:type="paragraph" w:customStyle="1" w:styleId="229">
    <w:name w:val="表格标题"/>
    <w:next w:val="1"/>
    <w:link w:val="228"/>
    <w:qFormat/>
    <w:uiPriority w:val="0"/>
    <w:pPr>
      <w:overflowPunct w:val="0"/>
      <w:spacing w:beforeLines="50" w:afterLines="50"/>
      <w:jc w:val="center"/>
    </w:pPr>
    <w:rPr>
      <w:rFonts w:ascii="Arial" w:hAnsi="Arial" w:eastAsia="宋体" w:cs="Times New Roman"/>
      <w:b/>
      <w:kern w:val="28"/>
      <w:sz w:val="24"/>
      <w:szCs w:val="24"/>
      <w:lang w:val="en-US" w:eastAsia="zh-CN" w:bidi="ar-SA"/>
    </w:rPr>
  </w:style>
  <w:style w:type="character" w:customStyle="1" w:styleId="230">
    <w:name w:val="正文缩进 Char"/>
    <w:link w:val="231"/>
    <w:qFormat/>
    <w:uiPriority w:val="0"/>
    <w:rPr>
      <w:kern w:val="2"/>
      <w:sz w:val="24"/>
    </w:rPr>
  </w:style>
  <w:style w:type="paragraph" w:customStyle="1" w:styleId="231">
    <w:name w:val="正文缩进1"/>
    <w:basedOn w:val="1"/>
    <w:link w:val="230"/>
    <w:qFormat/>
    <w:uiPriority w:val="0"/>
    <w:pPr>
      <w:widowControl w:val="0"/>
      <w:spacing w:after="0" w:line="240" w:lineRule="auto"/>
      <w:ind w:left="0" w:firstLine="420"/>
      <w:jc w:val="both"/>
    </w:pPr>
    <w:rPr>
      <w:rFonts w:ascii="Times New Roman" w:hAnsi="Times New Roman" w:eastAsia="宋体" w:cs="Times New Roman"/>
      <w:color w:val="auto"/>
      <w:szCs w:val="20"/>
    </w:rPr>
  </w:style>
  <w:style w:type="character" w:customStyle="1" w:styleId="232">
    <w:name w:val="图表 Char Char"/>
    <w:link w:val="233"/>
    <w:qFormat/>
    <w:uiPriority w:val="0"/>
    <w:rPr>
      <w:rFonts w:ascii="宋体" w:hAnsi="宋体"/>
      <w:kern w:val="2"/>
      <w:sz w:val="21"/>
      <w:szCs w:val="21"/>
    </w:rPr>
  </w:style>
  <w:style w:type="paragraph" w:customStyle="1" w:styleId="233">
    <w:name w:val="图表"/>
    <w:link w:val="232"/>
    <w:qFormat/>
    <w:uiPriority w:val="0"/>
    <w:pPr>
      <w:spacing w:line="300" w:lineRule="exact"/>
      <w:jc w:val="center"/>
    </w:pPr>
    <w:rPr>
      <w:rFonts w:ascii="宋体" w:hAnsi="宋体" w:eastAsia="宋体" w:cs="Times New Roman"/>
      <w:kern w:val="2"/>
      <w:sz w:val="21"/>
      <w:szCs w:val="21"/>
      <w:lang w:val="en-US" w:eastAsia="zh-CN" w:bidi="ar-SA"/>
    </w:rPr>
  </w:style>
  <w:style w:type="character" w:customStyle="1" w:styleId="234">
    <w:name w:val="图片表格 Char Char"/>
    <w:link w:val="235"/>
    <w:qFormat/>
    <w:uiPriority w:val="0"/>
    <w:rPr>
      <w:color w:val="FF0000"/>
      <w:kern w:val="2"/>
      <w:sz w:val="24"/>
      <w:szCs w:val="24"/>
    </w:rPr>
  </w:style>
  <w:style w:type="paragraph" w:customStyle="1" w:styleId="235">
    <w:name w:val="图片表格"/>
    <w:basedOn w:val="1"/>
    <w:link w:val="234"/>
    <w:qFormat/>
    <w:uiPriority w:val="0"/>
    <w:pPr>
      <w:widowControl w:val="0"/>
      <w:spacing w:after="0" w:line="360" w:lineRule="auto"/>
      <w:ind w:left="0" w:firstLine="0"/>
      <w:jc w:val="center"/>
      <w:textAlignment w:val="center"/>
    </w:pPr>
    <w:rPr>
      <w:rFonts w:ascii="Times New Roman" w:hAnsi="Times New Roman" w:eastAsia="宋体" w:cs="Times New Roman"/>
      <w:color w:val="FF0000"/>
      <w:szCs w:val="24"/>
    </w:rPr>
  </w:style>
  <w:style w:type="character" w:customStyle="1" w:styleId="236">
    <w:name w:val="正文文本缩进 2 Char"/>
    <w:link w:val="237"/>
    <w:qFormat/>
    <w:uiPriority w:val="0"/>
    <w:rPr>
      <w:kern w:val="2"/>
      <w:sz w:val="21"/>
      <w:szCs w:val="24"/>
    </w:rPr>
  </w:style>
  <w:style w:type="paragraph" w:customStyle="1" w:styleId="237">
    <w:name w:val="正文文本缩进 21"/>
    <w:basedOn w:val="1"/>
    <w:link w:val="236"/>
    <w:qFormat/>
    <w:uiPriority w:val="0"/>
    <w:pPr>
      <w:widowControl w:val="0"/>
      <w:tabs>
        <w:tab w:val="left" w:pos="780"/>
        <w:tab w:val="left" w:pos="1080"/>
      </w:tabs>
      <w:spacing w:after="120" w:line="480" w:lineRule="auto"/>
      <w:ind w:left="420" w:leftChars="200" w:firstLine="0"/>
      <w:jc w:val="both"/>
    </w:pPr>
    <w:rPr>
      <w:rFonts w:ascii="Times New Roman" w:hAnsi="Times New Roman" w:eastAsia="宋体" w:cs="Times New Roman"/>
      <w:color w:val="auto"/>
      <w:sz w:val="21"/>
      <w:szCs w:val="24"/>
    </w:rPr>
  </w:style>
  <w:style w:type="character" w:customStyle="1" w:styleId="238">
    <w:name w:val="正文文本 2 Char1"/>
    <w:link w:val="239"/>
    <w:qFormat/>
    <w:uiPriority w:val="0"/>
    <w:rPr>
      <w:rFonts w:ascii="Arial" w:hAnsi="Arial"/>
      <w:kern w:val="24"/>
      <w:sz w:val="24"/>
      <w:szCs w:val="24"/>
    </w:rPr>
  </w:style>
  <w:style w:type="paragraph" w:customStyle="1" w:styleId="239">
    <w:name w:val="正文文本 21"/>
    <w:basedOn w:val="1"/>
    <w:link w:val="238"/>
    <w:qFormat/>
    <w:uiPriority w:val="0"/>
    <w:pPr>
      <w:widowControl w:val="0"/>
      <w:snapToGrid w:val="0"/>
      <w:spacing w:beforeLines="50" w:afterLines="50" w:line="360" w:lineRule="auto"/>
      <w:ind w:left="0" w:firstLine="472" w:firstLineChars="200"/>
    </w:pPr>
    <w:rPr>
      <w:rFonts w:ascii="Arial" w:hAnsi="Arial" w:eastAsia="宋体" w:cs="Times New Roman"/>
      <w:color w:val="auto"/>
      <w:kern w:val="24"/>
      <w:szCs w:val="24"/>
    </w:rPr>
  </w:style>
  <w:style w:type="character" w:customStyle="1" w:styleId="240">
    <w:name w:val="正文首行缩进 Char"/>
    <w:basedOn w:val="46"/>
    <w:link w:val="241"/>
    <w:qFormat/>
    <w:uiPriority w:val="0"/>
    <w:rPr>
      <w:rFonts w:ascii="仿宋" w:hAnsi="仿宋" w:eastAsia="仿宋" w:cs="仿宋"/>
      <w:color w:val="000000"/>
      <w:kern w:val="2"/>
      <w:sz w:val="21"/>
      <w:szCs w:val="24"/>
    </w:rPr>
  </w:style>
  <w:style w:type="paragraph" w:customStyle="1" w:styleId="241">
    <w:name w:val="正文首行缩进1"/>
    <w:basedOn w:val="11"/>
    <w:link w:val="240"/>
    <w:qFormat/>
    <w:uiPriority w:val="0"/>
    <w:pPr>
      <w:widowControl w:val="0"/>
      <w:spacing w:line="240" w:lineRule="auto"/>
      <w:ind w:left="0" w:firstLine="420" w:firstLineChars="100"/>
      <w:jc w:val="both"/>
    </w:pPr>
    <w:rPr>
      <w:rFonts w:ascii="Times New Roman" w:hAnsi="Times New Roman" w:eastAsia="宋体"/>
      <w:color w:val="auto"/>
      <w:kern w:val="2"/>
      <w:sz w:val="21"/>
      <w:szCs w:val="24"/>
    </w:rPr>
  </w:style>
  <w:style w:type="character" w:customStyle="1" w:styleId="242">
    <w:name w:val="标题 Char"/>
    <w:link w:val="28"/>
    <w:qFormat/>
    <w:uiPriority w:val="0"/>
    <w:rPr>
      <w:rFonts w:ascii="Calibri Light" w:hAnsi="Calibri Light" w:cs="黑体"/>
      <w:b/>
      <w:bCs/>
      <w:kern w:val="2"/>
      <w:sz w:val="32"/>
      <w:szCs w:val="32"/>
    </w:rPr>
  </w:style>
  <w:style w:type="character" w:customStyle="1" w:styleId="243">
    <w:name w:val="正文文本 2 Char"/>
    <w:link w:val="244"/>
    <w:qFormat/>
    <w:uiPriority w:val="0"/>
    <w:rPr>
      <w:kern w:val="2"/>
      <w:sz w:val="21"/>
      <w:szCs w:val="24"/>
    </w:rPr>
  </w:style>
  <w:style w:type="paragraph" w:customStyle="1" w:styleId="244">
    <w:name w:val="正文文本 22"/>
    <w:basedOn w:val="1"/>
    <w:link w:val="243"/>
    <w:qFormat/>
    <w:uiPriority w:val="0"/>
    <w:pPr>
      <w:widowControl w:val="0"/>
      <w:spacing w:after="120" w:line="480" w:lineRule="auto"/>
      <w:ind w:left="0" w:firstLine="0"/>
      <w:jc w:val="both"/>
    </w:pPr>
    <w:rPr>
      <w:rFonts w:ascii="Times New Roman" w:hAnsi="Times New Roman" w:eastAsia="宋体" w:cs="Times New Roman"/>
      <w:color w:val="auto"/>
      <w:sz w:val="21"/>
      <w:szCs w:val="24"/>
    </w:rPr>
  </w:style>
  <w:style w:type="character" w:customStyle="1" w:styleId="245">
    <w:name w:val="表格文字 Char"/>
    <w:link w:val="246"/>
    <w:qFormat/>
    <w:uiPriority w:val="0"/>
    <w:rPr>
      <w:rFonts w:ascii="Arial" w:hAnsi="Arial Unicode MS"/>
      <w:bCs/>
      <w:snapToGrid w:val="0"/>
      <w:kern w:val="2"/>
      <w:sz w:val="21"/>
      <w:szCs w:val="21"/>
    </w:rPr>
  </w:style>
  <w:style w:type="paragraph" w:customStyle="1" w:styleId="246">
    <w:name w:val="表格文字"/>
    <w:link w:val="245"/>
    <w:qFormat/>
    <w:uiPriority w:val="0"/>
    <w:pPr>
      <w:widowControl w:val="0"/>
      <w:autoSpaceDE w:val="0"/>
      <w:autoSpaceDN w:val="0"/>
      <w:adjustRightInd w:val="0"/>
      <w:snapToGrid w:val="0"/>
      <w:jc w:val="center"/>
      <w:textAlignment w:val="center"/>
    </w:pPr>
    <w:rPr>
      <w:rFonts w:ascii="Arial" w:hAnsi="Arial Unicode MS" w:eastAsia="宋体" w:cs="Times New Roman"/>
      <w:bCs/>
      <w:snapToGrid w:val="0"/>
      <w:kern w:val="2"/>
      <w:sz w:val="21"/>
      <w:szCs w:val="21"/>
      <w:lang w:val="en-US" w:eastAsia="zh-CN" w:bidi="ar-SA"/>
    </w:rPr>
  </w:style>
  <w:style w:type="character" w:customStyle="1" w:styleId="247">
    <w:name w:val="副标题 Char"/>
    <w:link w:val="22"/>
    <w:qFormat/>
    <w:uiPriority w:val="0"/>
    <w:rPr>
      <w:rFonts w:ascii="Cambria" w:hAnsi="Cambria"/>
      <w:b/>
      <w:bCs/>
      <w:kern w:val="28"/>
      <w:sz w:val="32"/>
      <w:szCs w:val="32"/>
    </w:rPr>
  </w:style>
  <w:style w:type="character" w:customStyle="1" w:styleId="248">
    <w:name w:val="纯文本 Char"/>
    <w:link w:val="14"/>
    <w:qFormat/>
    <w:uiPriority w:val="0"/>
    <w:rPr>
      <w:rFonts w:ascii="宋体" w:hAnsi="Courier New" w:cs="Courier New"/>
      <w:kern w:val="2"/>
      <w:sz w:val="28"/>
      <w:szCs w:val="21"/>
    </w:rPr>
  </w:style>
  <w:style w:type="character" w:customStyle="1" w:styleId="249">
    <w:name w:val="标题3 Char"/>
    <w:link w:val="250"/>
    <w:qFormat/>
    <w:uiPriority w:val="0"/>
    <w:rPr>
      <w:rFonts w:ascii="宋体" w:hAnsi="宋体" w:eastAsia="黑体"/>
      <w:b/>
      <w:bCs/>
      <w:color w:val="008000"/>
      <w:kern w:val="2"/>
      <w:sz w:val="24"/>
      <w:szCs w:val="24"/>
    </w:rPr>
  </w:style>
  <w:style w:type="paragraph" w:customStyle="1" w:styleId="250">
    <w:name w:val="标题3"/>
    <w:basedOn w:val="4"/>
    <w:link w:val="249"/>
    <w:qFormat/>
    <w:uiPriority w:val="0"/>
    <w:pPr>
      <w:widowControl w:val="0"/>
      <w:spacing w:after="0" w:line="360" w:lineRule="auto"/>
      <w:ind w:left="0" w:firstLine="241" w:firstLineChars="100"/>
      <w:jc w:val="both"/>
    </w:pPr>
    <w:rPr>
      <w:rFonts w:hAnsi="宋体" w:eastAsia="黑体" w:cs="Times New Roman"/>
      <w:b/>
      <w:bCs/>
      <w:color w:val="008000"/>
      <w:sz w:val="24"/>
      <w:szCs w:val="24"/>
    </w:rPr>
  </w:style>
  <w:style w:type="character" w:customStyle="1" w:styleId="251">
    <w:name w:val="标准正文 Char"/>
    <w:link w:val="252"/>
    <w:qFormat/>
    <w:uiPriority w:val="0"/>
    <w:rPr>
      <w:rFonts w:ascii="Arial" w:hAnsi="Arial"/>
      <w:kern w:val="2"/>
      <w:sz w:val="24"/>
      <w:szCs w:val="24"/>
    </w:rPr>
  </w:style>
  <w:style w:type="paragraph" w:customStyle="1" w:styleId="252">
    <w:name w:val="标准正文"/>
    <w:basedOn w:val="1"/>
    <w:link w:val="251"/>
    <w:qFormat/>
    <w:uiPriority w:val="0"/>
    <w:pPr>
      <w:widowControl w:val="0"/>
      <w:spacing w:after="0" w:line="360" w:lineRule="auto"/>
      <w:ind w:left="0" w:firstLine="480" w:firstLineChars="200"/>
      <w:jc w:val="both"/>
    </w:pPr>
    <w:rPr>
      <w:rFonts w:ascii="Arial" w:hAnsi="Arial" w:eastAsia="宋体" w:cs="Times New Roman"/>
      <w:color w:val="auto"/>
      <w:szCs w:val="24"/>
    </w:rPr>
  </w:style>
  <w:style w:type="character" w:customStyle="1" w:styleId="253">
    <w:name w:val="t正文 Char"/>
    <w:link w:val="254"/>
    <w:qFormat/>
    <w:uiPriority w:val="0"/>
    <w:rPr>
      <w:rFonts w:ascii="宋体" w:hAnsi="宋体"/>
      <w:color w:val="000000"/>
      <w:kern w:val="2"/>
      <w:sz w:val="24"/>
      <w:szCs w:val="24"/>
    </w:rPr>
  </w:style>
  <w:style w:type="paragraph" w:customStyle="1" w:styleId="254">
    <w:name w:val="t正文"/>
    <w:basedOn w:val="1"/>
    <w:link w:val="253"/>
    <w:qFormat/>
    <w:uiPriority w:val="0"/>
    <w:pPr>
      <w:widowControl w:val="0"/>
      <w:spacing w:after="0" w:line="360" w:lineRule="auto"/>
      <w:ind w:left="0" w:firstLine="200" w:firstLineChars="200"/>
      <w:jc w:val="both"/>
    </w:pPr>
    <w:rPr>
      <w:rFonts w:ascii="宋体" w:hAnsi="宋体" w:eastAsia="宋体" w:cs="Times New Roman"/>
      <w:szCs w:val="24"/>
    </w:rPr>
  </w:style>
  <w:style w:type="character" w:customStyle="1" w:styleId="255">
    <w:name w:val="注释部分 Char"/>
    <w:link w:val="256"/>
    <w:qFormat/>
    <w:uiPriority w:val="0"/>
    <w:rPr>
      <w:rFonts w:ascii="Arial" w:hAnsi="Arial"/>
      <w:sz w:val="21"/>
      <w:szCs w:val="21"/>
    </w:rPr>
  </w:style>
  <w:style w:type="paragraph" w:customStyle="1" w:styleId="256">
    <w:name w:val="注释部分"/>
    <w:basedOn w:val="1"/>
    <w:link w:val="255"/>
    <w:qFormat/>
    <w:uiPriority w:val="0"/>
    <w:pPr>
      <w:widowControl w:val="0"/>
      <w:spacing w:after="0" w:line="240" w:lineRule="auto"/>
      <w:ind w:left="0" w:firstLine="420" w:firstLineChars="200"/>
      <w:jc w:val="both"/>
    </w:pPr>
    <w:rPr>
      <w:rFonts w:ascii="Arial" w:hAnsi="Arial" w:eastAsia="宋体" w:cs="Times New Roman"/>
      <w:color w:val="auto"/>
      <w:kern w:val="0"/>
      <w:sz w:val="21"/>
      <w:szCs w:val="21"/>
    </w:rPr>
  </w:style>
  <w:style w:type="character" w:customStyle="1" w:styleId="257">
    <w:name w:val="纯文本 Char1"/>
    <w:basedOn w:val="32"/>
    <w:semiHidden/>
    <w:qFormat/>
    <w:uiPriority w:val="99"/>
    <w:rPr>
      <w:rFonts w:ascii="宋体" w:hAnsi="Courier New" w:cs="Courier New"/>
      <w:color w:val="000000"/>
      <w:kern w:val="2"/>
      <w:sz w:val="21"/>
      <w:szCs w:val="21"/>
    </w:rPr>
  </w:style>
  <w:style w:type="character" w:customStyle="1" w:styleId="258">
    <w:name w:val="标题 Char1"/>
    <w:basedOn w:val="32"/>
    <w:qFormat/>
    <w:uiPriority w:val="0"/>
    <w:rPr>
      <w:rFonts w:asciiTheme="majorHAnsi" w:hAnsiTheme="majorHAnsi" w:cstheme="majorBidi"/>
      <w:b/>
      <w:bCs/>
      <w:color w:val="000000"/>
      <w:kern w:val="2"/>
      <w:sz w:val="32"/>
      <w:szCs w:val="32"/>
    </w:rPr>
  </w:style>
  <w:style w:type="character" w:customStyle="1" w:styleId="259">
    <w:name w:val="副标题 Char1"/>
    <w:basedOn w:val="32"/>
    <w:qFormat/>
    <w:uiPriority w:val="0"/>
    <w:rPr>
      <w:rFonts w:asciiTheme="majorHAnsi" w:hAnsiTheme="majorHAnsi" w:cstheme="majorBidi"/>
      <w:b/>
      <w:bCs/>
      <w:color w:val="000000"/>
      <w:kern w:val="28"/>
      <w:sz w:val="32"/>
      <w:szCs w:val="32"/>
    </w:rPr>
  </w:style>
  <w:style w:type="paragraph" w:customStyle="1" w:styleId="260">
    <w:name w:val="font5"/>
    <w:basedOn w:val="1"/>
    <w:qFormat/>
    <w:uiPriority w:val="0"/>
    <w:pPr>
      <w:spacing w:before="100" w:beforeAutospacing="1" w:after="100" w:afterAutospacing="1" w:line="240" w:lineRule="auto"/>
      <w:ind w:left="0" w:firstLine="0"/>
    </w:pPr>
    <w:rPr>
      <w:rFonts w:ascii="宋体" w:hAnsi="宋体" w:eastAsia="宋体" w:cs="宋体"/>
      <w:color w:val="auto"/>
      <w:kern w:val="0"/>
      <w:sz w:val="18"/>
      <w:szCs w:val="18"/>
    </w:rPr>
  </w:style>
  <w:style w:type="paragraph" w:customStyle="1" w:styleId="261">
    <w:name w:val="xl6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left="0" w:firstLine="0"/>
      <w:textAlignment w:val="center"/>
    </w:pPr>
    <w:rPr>
      <w:rFonts w:ascii="宋体" w:hAnsi="宋体" w:eastAsia="宋体" w:cs="宋体"/>
      <w:color w:val="auto"/>
      <w:kern w:val="0"/>
      <w:sz w:val="18"/>
      <w:szCs w:val="18"/>
    </w:rPr>
  </w:style>
  <w:style w:type="paragraph" w:customStyle="1" w:styleId="262">
    <w:name w:val="xl66"/>
    <w:basedOn w:val="1"/>
    <w:qFormat/>
    <w:uiPriority w:val="0"/>
    <w:pPr>
      <w:spacing w:before="100" w:beforeAutospacing="1" w:after="100" w:afterAutospacing="1" w:line="240" w:lineRule="auto"/>
      <w:ind w:left="0" w:firstLine="0"/>
      <w:jc w:val="center"/>
      <w:textAlignment w:val="center"/>
    </w:pPr>
    <w:rPr>
      <w:rFonts w:ascii="宋体" w:hAnsi="宋体" w:eastAsia="宋体" w:cs="宋体"/>
      <w:color w:val="auto"/>
      <w:kern w:val="0"/>
      <w:sz w:val="18"/>
      <w:szCs w:val="18"/>
    </w:rPr>
  </w:style>
  <w:style w:type="paragraph" w:customStyle="1" w:styleId="263">
    <w:name w:val="xl67"/>
    <w:basedOn w:val="1"/>
    <w:qFormat/>
    <w:uiPriority w:val="0"/>
    <w:pPr>
      <w:spacing w:before="100" w:beforeAutospacing="1" w:after="100" w:afterAutospacing="1" w:line="240" w:lineRule="auto"/>
      <w:ind w:left="0" w:firstLine="0"/>
    </w:pPr>
    <w:rPr>
      <w:rFonts w:ascii="宋体" w:hAnsi="宋体" w:eastAsia="宋体" w:cs="宋体"/>
      <w:color w:val="auto"/>
      <w:kern w:val="0"/>
      <w:sz w:val="18"/>
      <w:szCs w:val="18"/>
    </w:rPr>
  </w:style>
  <w:style w:type="paragraph" w:customStyle="1" w:styleId="264">
    <w:name w:val="xl68"/>
    <w:basedOn w:val="1"/>
    <w:qFormat/>
    <w:uiPriority w:val="0"/>
    <w:pPr>
      <w:spacing w:before="100" w:beforeAutospacing="1" w:after="100" w:afterAutospacing="1" w:line="240" w:lineRule="auto"/>
      <w:ind w:left="0" w:firstLine="0"/>
    </w:pPr>
    <w:rPr>
      <w:rFonts w:ascii="宋体" w:hAnsi="宋体" w:eastAsia="宋体" w:cs="宋体"/>
      <w:color w:val="auto"/>
      <w:kern w:val="0"/>
      <w:sz w:val="18"/>
      <w:szCs w:val="18"/>
    </w:rPr>
  </w:style>
  <w:style w:type="paragraph" w:customStyle="1" w:styleId="265">
    <w:name w:val="xl69"/>
    <w:basedOn w:val="1"/>
    <w:qFormat/>
    <w:uiPriority w:val="0"/>
    <w:pPr>
      <w:shd w:val="clear" w:color="000000" w:fill="FFFF00"/>
      <w:spacing w:before="100" w:beforeAutospacing="1" w:after="100" w:afterAutospacing="1" w:line="240" w:lineRule="auto"/>
      <w:ind w:left="0" w:firstLine="0"/>
    </w:pPr>
    <w:rPr>
      <w:rFonts w:ascii="宋体" w:hAnsi="宋体" w:eastAsia="宋体" w:cs="宋体"/>
      <w:color w:val="auto"/>
      <w:kern w:val="0"/>
      <w:sz w:val="18"/>
      <w:szCs w:val="18"/>
    </w:rPr>
  </w:style>
  <w:style w:type="paragraph" w:customStyle="1" w:styleId="266">
    <w:name w:val="xl70"/>
    <w:basedOn w:val="1"/>
    <w:qFormat/>
    <w:uiPriority w:val="0"/>
    <w:pPr>
      <w:shd w:val="clear" w:color="000000" w:fill="008000"/>
      <w:spacing w:before="100" w:beforeAutospacing="1" w:after="100" w:afterAutospacing="1" w:line="240" w:lineRule="auto"/>
      <w:ind w:left="0" w:firstLine="0"/>
    </w:pPr>
    <w:rPr>
      <w:rFonts w:ascii="宋体" w:hAnsi="宋体" w:eastAsia="宋体" w:cs="宋体"/>
      <w:color w:val="auto"/>
      <w:kern w:val="0"/>
      <w:sz w:val="18"/>
      <w:szCs w:val="18"/>
    </w:rPr>
  </w:style>
  <w:style w:type="paragraph" w:customStyle="1" w:styleId="267">
    <w:name w:val="xl71"/>
    <w:basedOn w:val="1"/>
    <w:qFormat/>
    <w:uiPriority w:val="0"/>
    <w:pPr>
      <w:shd w:val="clear" w:color="000000" w:fill="99CCFF"/>
      <w:spacing w:before="100" w:beforeAutospacing="1" w:after="100" w:afterAutospacing="1" w:line="240" w:lineRule="auto"/>
      <w:ind w:left="0" w:firstLine="0"/>
    </w:pPr>
    <w:rPr>
      <w:rFonts w:ascii="宋体" w:hAnsi="宋体" w:eastAsia="宋体" w:cs="宋体"/>
      <w:color w:val="auto"/>
      <w:kern w:val="0"/>
      <w:sz w:val="18"/>
      <w:szCs w:val="18"/>
    </w:rPr>
  </w:style>
  <w:style w:type="paragraph" w:customStyle="1" w:styleId="268">
    <w:name w:val="xl7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left="0" w:firstLine="0"/>
      <w:jc w:val="center"/>
      <w:textAlignment w:val="center"/>
    </w:pPr>
    <w:rPr>
      <w:rFonts w:ascii="宋体" w:hAnsi="宋体" w:eastAsia="宋体" w:cs="宋体"/>
      <w:color w:val="auto"/>
      <w:kern w:val="0"/>
      <w:sz w:val="18"/>
      <w:szCs w:val="18"/>
    </w:rPr>
  </w:style>
  <w:style w:type="paragraph" w:customStyle="1" w:styleId="269">
    <w:name w:val="xl7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left="0" w:firstLine="0"/>
      <w:jc w:val="center"/>
      <w:textAlignment w:val="center"/>
    </w:pPr>
    <w:rPr>
      <w:rFonts w:ascii="宋体" w:hAnsi="宋体" w:eastAsia="宋体" w:cs="宋体"/>
      <w:color w:val="auto"/>
      <w:kern w:val="0"/>
      <w:sz w:val="18"/>
      <w:szCs w:val="18"/>
    </w:rPr>
  </w:style>
  <w:style w:type="paragraph" w:customStyle="1" w:styleId="270">
    <w:name w:val="xl74"/>
    <w:basedOn w:val="1"/>
    <w:qFormat/>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ind w:left="0" w:firstLine="0"/>
      <w:jc w:val="center"/>
      <w:textAlignment w:val="center"/>
    </w:pPr>
    <w:rPr>
      <w:rFonts w:ascii="宋体" w:hAnsi="宋体" w:eastAsia="宋体" w:cs="宋体"/>
      <w:color w:val="auto"/>
      <w:kern w:val="0"/>
      <w:sz w:val="18"/>
      <w:szCs w:val="18"/>
    </w:rPr>
  </w:style>
  <w:style w:type="paragraph" w:customStyle="1" w:styleId="271">
    <w:name w:val="xl75"/>
    <w:basedOn w:val="1"/>
    <w:qFormat/>
    <w:uiPriority w:val="0"/>
    <w:pPr>
      <w:pBdr>
        <w:top w:val="single" w:color="auto" w:sz="4" w:space="0"/>
        <w:left w:val="single" w:color="auto" w:sz="4" w:space="0"/>
        <w:bottom w:val="single" w:color="auto" w:sz="4" w:space="0"/>
        <w:right w:val="single" w:color="auto" w:sz="4" w:space="0"/>
      </w:pBdr>
      <w:shd w:val="clear" w:color="000000" w:fill="008000"/>
      <w:spacing w:before="100" w:beforeAutospacing="1" w:after="100" w:afterAutospacing="1" w:line="240" w:lineRule="auto"/>
      <w:ind w:left="0" w:firstLine="0"/>
      <w:jc w:val="center"/>
      <w:textAlignment w:val="center"/>
    </w:pPr>
    <w:rPr>
      <w:rFonts w:ascii="宋体" w:hAnsi="宋体" w:eastAsia="宋体" w:cs="宋体"/>
      <w:color w:val="auto"/>
      <w:kern w:val="0"/>
      <w:sz w:val="18"/>
      <w:szCs w:val="18"/>
    </w:rPr>
  </w:style>
  <w:style w:type="paragraph" w:customStyle="1" w:styleId="272">
    <w:name w:val="xl76"/>
    <w:basedOn w:val="1"/>
    <w:qFormat/>
    <w:uiPriority w:val="0"/>
    <w:pPr>
      <w:pBdr>
        <w:top w:val="single" w:color="auto" w:sz="4" w:space="0"/>
        <w:left w:val="single" w:color="auto" w:sz="4" w:space="0"/>
        <w:bottom w:val="single" w:color="auto" w:sz="4" w:space="0"/>
        <w:right w:val="single" w:color="auto" w:sz="4" w:space="0"/>
      </w:pBdr>
      <w:shd w:val="clear" w:color="000000" w:fill="99CCFF"/>
      <w:spacing w:before="100" w:beforeAutospacing="1" w:after="100" w:afterAutospacing="1" w:line="240" w:lineRule="auto"/>
      <w:ind w:left="0" w:firstLine="0"/>
      <w:jc w:val="center"/>
      <w:textAlignment w:val="center"/>
    </w:pPr>
    <w:rPr>
      <w:rFonts w:ascii="宋体" w:hAnsi="宋体" w:eastAsia="宋体" w:cs="宋体"/>
      <w:color w:val="auto"/>
      <w:kern w:val="0"/>
      <w:sz w:val="18"/>
      <w:szCs w:val="18"/>
    </w:rPr>
  </w:style>
  <w:style w:type="paragraph" w:customStyle="1" w:styleId="273">
    <w:name w:val="xl77"/>
    <w:basedOn w:val="1"/>
    <w:qFormat/>
    <w:uiPriority w:val="0"/>
    <w:pPr>
      <w:shd w:val="clear" w:color="000000" w:fill="99CCFF"/>
      <w:spacing w:before="100" w:beforeAutospacing="1" w:after="100" w:afterAutospacing="1" w:line="240" w:lineRule="auto"/>
      <w:ind w:left="0" w:firstLine="0"/>
    </w:pPr>
    <w:rPr>
      <w:rFonts w:ascii="宋体" w:hAnsi="宋体" w:eastAsia="宋体" w:cs="宋体"/>
      <w:color w:val="auto"/>
      <w:kern w:val="0"/>
      <w:sz w:val="18"/>
      <w:szCs w:val="18"/>
    </w:rPr>
  </w:style>
  <w:style w:type="paragraph" w:customStyle="1" w:styleId="274">
    <w:name w:val="xl7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left="0" w:firstLine="0"/>
      <w:jc w:val="center"/>
      <w:textAlignment w:val="center"/>
    </w:pPr>
    <w:rPr>
      <w:rFonts w:ascii="宋体" w:hAnsi="宋体" w:eastAsia="宋体" w:cs="宋体"/>
      <w:color w:val="auto"/>
      <w:kern w:val="0"/>
      <w:sz w:val="18"/>
      <w:szCs w:val="18"/>
    </w:rPr>
  </w:style>
  <w:style w:type="paragraph" w:customStyle="1" w:styleId="275">
    <w:name w:val="xl7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left="0" w:firstLine="0"/>
      <w:textAlignment w:val="center"/>
    </w:pPr>
    <w:rPr>
      <w:rFonts w:ascii="宋体" w:hAnsi="宋体" w:eastAsia="宋体" w:cs="宋体"/>
      <w:color w:val="auto"/>
      <w:kern w:val="0"/>
      <w:sz w:val="18"/>
      <w:szCs w:val="18"/>
    </w:rPr>
  </w:style>
  <w:style w:type="paragraph" w:customStyle="1" w:styleId="276">
    <w:name w:val="xl8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left="0" w:firstLine="0"/>
      <w:jc w:val="center"/>
      <w:textAlignment w:val="center"/>
    </w:pPr>
    <w:rPr>
      <w:rFonts w:ascii="宋体" w:hAnsi="宋体" w:eastAsia="宋体" w:cs="宋体"/>
      <w:color w:val="auto"/>
      <w:kern w:val="0"/>
      <w:sz w:val="18"/>
      <w:szCs w:val="18"/>
    </w:rPr>
  </w:style>
  <w:style w:type="paragraph" w:customStyle="1" w:styleId="277">
    <w:name w:val="xl81"/>
    <w:basedOn w:val="1"/>
    <w:qFormat/>
    <w:uiPriority w:val="0"/>
    <w:pPr>
      <w:spacing w:before="100" w:beforeAutospacing="1" w:after="100" w:afterAutospacing="1" w:line="240" w:lineRule="auto"/>
      <w:ind w:left="0" w:firstLine="0"/>
    </w:pPr>
    <w:rPr>
      <w:rFonts w:ascii="宋体" w:hAnsi="宋体" w:eastAsia="宋体" w:cs="宋体"/>
      <w:color w:val="auto"/>
      <w:kern w:val="0"/>
      <w:sz w:val="18"/>
      <w:szCs w:val="18"/>
    </w:rPr>
  </w:style>
  <w:style w:type="paragraph" w:customStyle="1" w:styleId="278">
    <w:name w:val="xl82"/>
    <w:basedOn w:val="1"/>
    <w:qFormat/>
    <w:uiPriority w:val="0"/>
    <w:pPr>
      <w:spacing w:before="100" w:beforeAutospacing="1" w:after="100" w:afterAutospacing="1" w:line="240" w:lineRule="auto"/>
      <w:ind w:left="0" w:firstLine="0"/>
    </w:pPr>
    <w:rPr>
      <w:rFonts w:ascii="宋体" w:hAnsi="宋体" w:eastAsia="宋体" w:cs="宋体"/>
      <w:color w:val="auto"/>
      <w:kern w:val="0"/>
      <w:sz w:val="18"/>
      <w:szCs w:val="18"/>
    </w:rPr>
  </w:style>
  <w:style w:type="paragraph" w:customStyle="1" w:styleId="279">
    <w:name w:val="xl83"/>
    <w:basedOn w:val="1"/>
    <w:qFormat/>
    <w:uiPriority w:val="0"/>
    <w:pPr>
      <w:shd w:val="clear" w:color="000000" w:fill="FFFF00"/>
      <w:spacing w:before="100" w:beforeAutospacing="1" w:after="100" w:afterAutospacing="1" w:line="240" w:lineRule="auto"/>
      <w:ind w:left="0" w:firstLine="0"/>
    </w:pPr>
    <w:rPr>
      <w:rFonts w:ascii="宋体" w:hAnsi="宋体" w:eastAsia="宋体" w:cs="宋体"/>
      <w:color w:val="auto"/>
      <w:kern w:val="0"/>
      <w:sz w:val="18"/>
      <w:szCs w:val="18"/>
    </w:rPr>
  </w:style>
  <w:style w:type="paragraph" w:customStyle="1" w:styleId="280">
    <w:name w:val="xl84"/>
    <w:basedOn w:val="1"/>
    <w:qFormat/>
    <w:uiPriority w:val="0"/>
    <w:pPr>
      <w:shd w:val="clear" w:color="000000" w:fill="008000"/>
      <w:spacing w:before="100" w:beforeAutospacing="1" w:after="100" w:afterAutospacing="1" w:line="240" w:lineRule="auto"/>
      <w:ind w:left="0" w:firstLine="0"/>
    </w:pPr>
    <w:rPr>
      <w:rFonts w:ascii="宋体" w:hAnsi="宋体" w:eastAsia="宋体" w:cs="宋体"/>
      <w:color w:val="auto"/>
      <w:kern w:val="0"/>
      <w:sz w:val="18"/>
      <w:szCs w:val="18"/>
    </w:rPr>
  </w:style>
  <w:style w:type="paragraph" w:customStyle="1" w:styleId="281">
    <w:name w:val="xl85"/>
    <w:basedOn w:val="1"/>
    <w:qFormat/>
    <w:uiPriority w:val="0"/>
    <w:pPr>
      <w:pBdr>
        <w:top w:val="single" w:color="auto" w:sz="4" w:space="0"/>
        <w:left w:val="single" w:color="auto" w:sz="4" w:space="0"/>
        <w:right w:val="single" w:color="auto" w:sz="4" w:space="0"/>
      </w:pBdr>
      <w:spacing w:before="100" w:beforeAutospacing="1" w:after="100" w:afterAutospacing="1" w:line="240" w:lineRule="auto"/>
      <w:ind w:left="0" w:firstLine="0"/>
      <w:jc w:val="center"/>
      <w:textAlignment w:val="center"/>
    </w:pPr>
    <w:rPr>
      <w:rFonts w:ascii="宋体" w:hAnsi="宋体" w:eastAsia="宋体" w:cs="宋体"/>
      <w:color w:val="auto"/>
      <w:kern w:val="0"/>
      <w:sz w:val="18"/>
      <w:szCs w:val="18"/>
    </w:rPr>
  </w:style>
  <w:style w:type="paragraph" w:customStyle="1" w:styleId="282">
    <w:name w:val="xl8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left="0" w:firstLine="0"/>
      <w:textAlignment w:val="center"/>
    </w:pPr>
    <w:rPr>
      <w:rFonts w:ascii="宋体" w:hAnsi="宋体" w:eastAsia="宋体" w:cs="宋体"/>
      <w:color w:val="auto"/>
      <w:kern w:val="0"/>
      <w:sz w:val="18"/>
      <w:szCs w:val="18"/>
    </w:rPr>
  </w:style>
  <w:style w:type="paragraph" w:customStyle="1" w:styleId="283">
    <w:name w:val="xl8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left="0" w:firstLine="0"/>
      <w:textAlignment w:val="center"/>
    </w:pPr>
    <w:rPr>
      <w:rFonts w:ascii="宋体" w:hAnsi="宋体" w:eastAsia="宋体" w:cs="宋体"/>
      <w:color w:val="auto"/>
      <w:kern w:val="0"/>
      <w:sz w:val="18"/>
      <w:szCs w:val="18"/>
    </w:rPr>
  </w:style>
  <w:style w:type="paragraph" w:customStyle="1" w:styleId="284">
    <w:name w:val="xl63"/>
    <w:basedOn w:val="1"/>
    <w:qFormat/>
    <w:uiPriority w:val="0"/>
    <w:pPr>
      <w:spacing w:before="100" w:beforeAutospacing="1" w:after="100" w:afterAutospacing="1" w:line="240" w:lineRule="auto"/>
      <w:ind w:left="0" w:firstLine="0"/>
    </w:pPr>
    <w:rPr>
      <w:rFonts w:ascii="宋体" w:hAnsi="宋体" w:eastAsia="宋体" w:cs="宋体"/>
      <w:color w:val="auto"/>
      <w:kern w:val="0"/>
      <w:sz w:val="18"/>
      <w:szCs w:val="18"/>
    </w:rPr>
  </w:style>
  <w:style w:type="paragraph" w:customStyle="1" w:styleId="285">
    <w:name w:val="xl64"/>
    <w:basedOn w:val="1"/>
    <w:qFormat/>
    <w:uiPriority w:val="0"/>
    <w:pPr>
      <w:spacing w:before="100" w:beforeAutospacing="1" w:after="100" w:afterAutospacing="1" w:line="240" w:lineRule="auto"/>
      <w:ind w:left="0" w:firstLine="0"/>
    </w:pPr>
    <w:rPr>
      <w:rFonts w:ascii="宋体" w:hAnsi="宋体" w:eastAsia="宋体" w:cs="宋体"/>
      <w:color w:val="auto"/>
      <w:kern w:val="0"/>
      <w:sz w:val="18"/>
      <w:szCs w:val="18"/>
    </w:rPr>
  </w:style>
  <w:style w:type="paragraph" w:customStyle="1" w:styleId="286">
    <w:name w:val="批注框文本1"/>
    <w:basedOn w:val="1"/>
    <w:qFormat/>
    <w:uiPriority w:val="0"/>
    <w:pPr>
      <w:widowControl w:val="0"/>
      <w:spacing w:after="0" w:line="240" w:lineRule="auto"/>
      <w:ind w:left="0" w:firstLine="0"/>
      <w:jc w:val="both"/>
    </w:pPr>
    <w:rPr>
      <w:rFonts w:ascii="Calibri" w:hAnsi="Calibri" w:eastAsia="宋体" w:cs="Times New Roman"/>
      <w:color w:val="auto"/>
      <w:sz w:val="18"/>
      <w:szCs w:val="18"/>
    </w:rPr>
  </w:style>
  <w:style w:type="paragraph" w:customStyle="1" w:styleId="287">
    <w:name w:val="xl88"/>
    <w:basedOn w:val="1"/>
    <w:qFormat/>
    <w:uiPriority w:val="0"/>
    <w:pPr>
      <w:pBdr>
        <w:top w:val="single" w:color="auto" w:sz="4" w:space="0"/>
        <w:left w:val="single" w:color="auto" w:sz="4" w:space="0"/>
        <w:right w:val="single" w:color="auto" w:sz="4" w:space="0"/>
      </w:pBdr>
      <w:spacing w:before="100" w:beforeAutospacing="1" w:after="100" w:afterAutospacing="1" w:line="240" w:lineRule="auto"/>
      <w:ind w:left="0" w:firstLine="0"/>
      <w:jc w:val="center"/>
      <w:textAlignment w:val="center"/>
    </w:pPr>
    <w:rPr>
      <w:rFonts w:ascii="宋体" w:hAnsi="宋体" w:eastAsia="宋体" w:cs="宋体"/>
      <w:color w:val="auto"/>
      <w:kern w:val="0"/>
      <w:sz w:val="18"/>
      <w:szCs w:val="18"/>
    </w:rPr>
  </w:style>
  <w:style w:type="paragraph" w:customStyle="1" w:styleId="288">
    <w:name w:val="xl89"/>
    <w:basedOn w:val="1"/>
    <w:qFormat/>
    <w:uiPriority w:val="0"/>
    <w:pPr>
      <w:pBdr>
        <w:left w:val="single" w:color="auto" w:sz="4" w:space="0"/>
        <w:right w:val="single" w:color="auto" w:sz="4" w:space="0"/>
      </w:pBdr>
      <w:spacing w:before="100" w:beforeAutospacing="1" w:after="100" w:afterAutospacing="1" w:line="240" w:lineRule="auto"/>
      <w:ind w:left="0" w:firstLine="0"/>
      <w:jc w:val="center"/>
      <w:textAlignment w:val="center"/>
    </w:pPr>
    <w:rPr>
      <w:rFonts w:ascii="宋体" w:hAnsi="宋体" w:eastAsia="宋体" w:cs="宋体"/>
      <w:color w:val="auto"/>
      <w:kern w:val="0"/>
      <w:sz w:val="18"/>
      <w:szCs w:val="18"/>
    </w:rPr>
  </w:style>
  <w:style w:type="paragraph" w:customStyle="1" w:styleId="289">
    <w:name w:val="xl90"/>
    <w:basedOn w:val="1"/>
    <w:qFormat/>
    <w:uiPriority w:val="0"/>
    <w:pPr>
      <w:pBdr>
        <w:left w:val="single" w:color="auto" w:sz="4" w:space="0"/>
        <w:bottom w:val="single" w:color="auto" w:sz="4" w:space="0"/>
        <w:right w:val="single" w:color="auto" w:sz="4" w:space="0"/>
      </w:pBdr>
      <w:spacing w:before="100" w:beforeAutospacing="1" w:after="100" w:afterAutospacing="1" w:line="240" w:lineRule="auto"/>
      <w:ind w:left="0" w:firstLine="0"/>
      <w:jc w:val="center"/>
      <w:textAlignment w:val="center"/>
    </w:pPr>
    <w:rPr>
      <w:rFonts w:ascii="宋体" w:hAnsi="宋体" w:eastAsia="宋体" w:cs="宋体"/>
      <w:color w:val="auto"/>
      <w:kern w:val="0"/>
      <w:sz w:val="18"/>
      <w:szCs w:val="18"/>
    </w:rPr>
  </w:style>
  <w:style w:type="paragraph" w:customStyle="1" w:styleId="290">
    <w:name w:val="xl91"/>
    <w:basedOn w:val="1"/>
    <w:qFormat/>
    <w:uiPriority w:val="0"/>
    <w:pPr>
      <w:pBdr>
        <w:left w:val="single" w:color="auto" w:sz="4" w:space="0"/>
        <w:right w:val="single" w:color="auto" w:sz="4" w:space="0"/>
      </w:pBdr>
      <w:spacing w:before="100" w:beforeAutospacing="1" w:after="100" w:afterAutospacing="1" w:line="240" w:lineRule="auto"/>
      <w:ind w:left="0" w:firstLine="0"/>
      <w:jc w:val="center"/>
      <w:textAlignment w:val="center"/>
    </w:pPr>
    <w:rPr>
      <w:rFonts w:ascii="宋体" w:hAnsi="宋体" w:eastAsia="宋体" w:cs="宋体"/>
      <w:color w:val="auto"/>
      <w:kern w:val="0"/>
      <w:sz w:val="18"/>
      <w:szCs w:val="18"/>
    </w:rPr>
  </w:style>
  <w:style w:type="paragraph" w:customStyle="1" w:styleId="291">
    <w:name w:val="xl92"/>
    <w:basedOn w:val="1"/>
    <w:qFormat/>
    <w:uiPriority w:val="0"/>
    <w:pPr>
      <w:pBdr>
        <w:left w:val="single" w:color="auto" w:sz="4" w:space="0"/>
        <w:bottom w:val="single" w:color="auto" w:sz="4" w:space="0"/>
        <w:right w:val="single" w:color="auto" w:sz="4" w:space="0"/>
      </w:pBdr>
      <w:spacing w:before="100" w:beforeAutospacing="1" w:after="100" w:afterAutospacing="1" w:line="240" w:lineRule="auto"/>
      <w:ind w:left="0" w:firstLine="0"/>
      <w:jc w:val="center"/>
      <w:textAlignment w:val="center"/>
    </w:pPr>
    <w:rPr>
      <w:rFonts w:ascii="宋体" w:hAnsi="宋体" w:eastAsia="宋体" w:cs="宋体"/>
      <w:color w:val="auto"/>
      <w:kern w:val="0"/>
      <w:sz w:val="18"/>
      <w:szCs w:val="18"/>
    </w:rPr>
  </w:style>
  <w:style w:type="table" w:customStyle="1" w:styleId="292">
    <w:name w:val="网格型18"/>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93">
    <w:name w:val="网格型19"/>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94">
    <w:name w:val="网格型20"/>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295">
    <w:name w:val="font11"/>
    <w:basedOn w:val="32"/>
    <w:qFormat/>
    <w:uiPriority w:val="0"/>
    <w:rPr>
      <w:rFonts w:hint="eastAsia" w:ascii="宋体" w:hAnsi="宋体" w:eastAsia="宋体" w:cs="宋体"/>
      <w:color w:val="0D0D0D"/>
      <w:sz w:val="20"/>
      <w:szCs w:val="20"/>
      <w:u w:val="none"/>
    </w:rPr>
  </w:style>
  <w:style w:type="paragraph" w:customStyle="1" w:styleId="296">
    <w:name w:val="font6"/>
    <w:basedOn w:val="1"/>
    <w:qFormat/>
    <w:uiPriority w:val="0"/>
    <w:pPr>
      <w:spacing w:before="100" w:beforeAutospacing="1" w:after="100" w:afterAutospacing="1" w:line="240" w:lineRule="auto"/>
      <w:ind w:left="0" w:firstLine="0"/>
    </w:pPr>
    <w:rPr>
      <w:rFonts w:ascii="宋体" w:hAnsi="宋体" w:eastAsia="宋体" w:cs="宋体"/>
      <w:b/>
      <w:bCs/>
      <w:kern w:val="0"/>
      <w:sz w:val="18"/>
      <w:szCs w:val="18"/>
    </w:rPr>
  </w:style>
  <w:style w:type="paragraph" w:customStyle="1" w:styleId="297">
    <w:name w:val="font7"/>
    <w:basedOn w:val="1"/>
    <w:qFormat/>
    <w:uiPriority w:val="0"/>
    <w:pPr>
      <w:spacing w:before="100" w:beforeAutospacing="1" w:after="100" w:afterAutospacing="1" w:line="240" w:lineRule="auto"/>
      <w:ind w:left="0" w:firstLine="0"/>
    </w:pPr>
    <w:rPr>
      <w:rFonts w:ascii="Times New Roman" w:hAnsi="Times New Roman" w:eastAsia="宋体" w:cs="Times New Roman"/>
      <w:b/>
      <w:bCs/>
      <w:kern w:val="0"/>
      <w:sz w:val="18"/>
      <w:szCs w:val="18"/>
    </w:rPr>
  </w:style>
  <w:style w:type="paragraph" w:customStyle="1" w:styleId="298">
    <w:name w:val="font8"/>
    <w:basedOn w:val="1"/>
    <w:qFormat/>
    <w:uiPriority w:val="0"/>
    <w:pPr>
      <w:spacing w:before="100" w:beforeAutospacing="1" w:after="100" w:afterAutospacing="1" w:line="240" w:lineRule="auto"/>
      <w:ind w:left="0" w:firstLine="0"/>
    </w:pPr>
    <w:rPr>
      <w:rFonts w:ascii="宋体" w:hAnsi="宋体" w:eastAsia="宋体" w:cs="宋体"/>
      <w:kern w:val="0"/>
      <w:sz w:val="18"/>
      <w:szCs w:val="18"/>
    </w:rPr>
  </w:style>
  <w:style w:type="paragraph" w:customStyle="1" w:styleId="299">
    <w:name w:val="font9"/>
    <w:basedOn w:val="1"/>
    <w:qFormat/>
    <w:uiPriority w:val="0"/>
    <w:pPr>
      <w:spacing w:before="100" w:beforeAutospacing="1" w:after="100" w:afterAutospacing="1" w:line="240" w:lineRule="auto"/>
      <w:ind w:left="0" w:firstLine="0"/>
    </w:pPr>
    <w:rPr>
      <w:rFonts w:ascii="宋体" w:hAnsi="宋体" w:eastAsia="宋体" w:cs="宋体"/>
      <w:color w:val="00B050"/>
      <w:kern w:val="0"/>
      <w:sz w:val="18"/>
      <w:szCs w:val="18"/>
    </w:rPr>
  </w:style>
  <w:style w:type="paragraph" w:customStyle="1" w:styleId="300">
    <w:name w:val="font10"/>
    <w:basedOn w:val="1"/>
    <w:qFormat/>
    <w:uiPriority w:val="0"/>
    <w:pPr>
      <w:spacing w:before="100" w:beforeAutospacing="1" w:after="100" w:afterAutospacing="1" w:line="240" w:lineRule="auto"/>
      <w:ind w:left="0" w:firstLine="0"/>
    </w:pPr>
    <w:rPr>
      <w:rFonts w:ascii="宋体" w:hAnsi="宋体" w:eastAsia="宋体" w:cs="宋体"/>
      <w:color w:val="FF0000"/>
      <w:kern w:val="0"/>
      <w:sz w:val="18"/>
      <w:szCs w:val="18"/>
    </w:rPr>
  </w:style>
  <w:style w:type="paragraph" w:styleId="301">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3" Type="http://schemas.openxmlformats.org/officeDocument/2006/relationships/fontTable" Target="fontTable.xml"/><Relationship Id="rId42" Type="http://schemas.openxmlformats.org/officeDocument/2006/relationships/customXml" Target="../customXml/item2.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endnotes" Target="endnotes.xml"/><Relationship Id="rId39" Type="http://schemas.openxmlformats.org/officeDocument/2006/relationships/image" Target="media/image21.png"/><Relationship Id="rId38" Type="http://schemas.openxmlformats.org/officeDocument/2006/relationships/image" Target="media/image20.png"/><Relationship Id="rId37" Type="http://schemas.openxmlformats.org/officeDocument/2006/relationships/image" Target="media/image19.png"/><Relationship Id="rId36" Type="http://schemas.openxmlformats.org/officeDocument/2006/relationships/image" Target="media/image18.png"/><Relationship Id="rId35" Type="http://schemas.openxmlformats.org/officeDocument/2006/relationships/image" Target="media/image17.png"/><Relationship Id="rId34" Type="http://schemas.openxmlformats.org/officeDocument/2006/relationships/image" Target="media/image16.png"/><Relationship Id="rId33" Type="http://schemas.openxmlformats.org/officeDocument/2006/relationships/image" Target="media/image15.png"/><Relationship Id="rId32" Type="http://schemas.openxmlformats.org/officeDocument/2006/relationships/image" Target="media/image14.png"/><Relationship Id="rId31" Type="http://schemas.openxmlformats.org/officeDocument/2006/relationships/image" Target="media/image13.png"/><Relationship Id="rId30" Type="http://schemas.openxmlformats.org/officeDocument/2006/relationships/image" Target="media/image12.png"/><Relationship Id="rId3" Type="http://schemas.openxmlformats.org/officeDocument/2006/relationships/footnotes" Target="footnotes.xml"/><Relationship Id="rId29" Type="http://schemas.openxmlformats.org/officeDocument/2006/relationships/image" Target="media/image11.png"/><Relationship Id="rId28" Type="http://schemas.openxmlformats.org/officeDocument/2006/relationships/image" Target="media/image10.png"/><Relationship Id="rId27"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header" Target="header8.xml"/><Relationship Id="rId16" Type="http://schemas.openxmlformats.org/officeDocument/2006/relationships/footer" Target="footer5.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4102"/>
    <customShpInfo spid="_x0000_s4101"/>
    <customShpInfo spid="_x0000_s4100"/>
    <customShpInfo spid="_x0000_s4099"/>
    <customShpInfo spid="_x0000_s4098"/>
    <customShpInfo spid="_x0000_s409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413C11D-AB1B-4A65-ABCC-4AD6A136E5AC}">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92</Pages>
  <Words>42327</Words>
  <Characters>43919</Characters>
  <Lines>399</Lines>
  <Paragraphs>112</Paragraphs>
  <TotalTime>486</TotalTime>
  <ScaleCrop>false</ScaleCrop>
  <LinksUpToDate>false</LinksUpToDate>
  <CharactersWithSpaces>46066</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2020-06-09T11:17:00Z</dcterms:created>
  <dc:creator>G X</dc:creator>
  <cp:lastModifiedBy>单调的黑白</cp:lastModifiedBy>
  <cp:lastPrinted>2022-06-17T01:32:10Z</cp:lastPrinted>
  <dcterms:modified xsi:type="dcterms:W3CDTF">2022-06-17T01:35:07Z</dcterms:modified>
  <dc:title>安全生产标准化手册第二册</dc:title>
  <cp:revision>187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0BB4E1D826FA497CB15600BD8EA43E4B</vt:lpwstr>
  </property>
</Properties>
</file>