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0" w:line="881" w:lineRule="exact"/>
        <w:ind w:left="0" w:right="23" w:firstLine="0"/>
        <w:jc w:val="center"/>
        <w:rPr>
          <w:rFonts w:cs="Times New Roman" w:asciiTheme="minorEastAsia" w:hAnsiTheme="minorEastAsia" w:eastAsiaTheme="minorEastAsia"/>
          <w:color w:val="auto"/>
          <w:spacing w:val="18"/>
          <w:sz w:val="52"/>
          <w:szCs w:val="24"/>
          <w:highlight w:val="none"/>
        </w:rPr>
      </w:pPr>
    </w:p>
    <w:p>
      <w:pPr>
        <w:widowControl w:val="0"/>
        <w:spacing w:after="0" w:line="881" w:lineRule="exact"/>
        <w:ind w:left="0" w:right="23" w:firstLine="0"/>
        <w:jc w:val="center"/>
        <w:rPr>
          <w:rFonts w:cs="Times New Roman" w:asciiTheme="minorEastAsia" w:hAnsiTheme="minorEastAsia" w:eastAsiaTheme="minorEastAsia"/>
          <w:color w:val="auto"/>
          <w:spacing w:val="18"/>
          <w:sz w:val="40"/>
          <w:szCs w:val="24"/>
          <w:highlight w:val="none"/>
        </w:rPr>
      </w:pPr>
      <w:r>
        <w:rPr>
          <w:rFonts w:hint="eastAsia" w:cs="Times New Roman" w:asciiTheme="minorEastAsia" w:hAnsiTheme="minorEastAsia" w:eastAsiaTheme="minorEastAsia"/>
          <w:color w:val="auto"/>
          <w:spacing w:val="18"/>
          <w:sz w:val="40"/>
          <w:szCs w:val="24"/>
          <w:highlight w:val="none"/>
        </w:rPr>
        <w:t>中电建冀交高速公路投资发展有限公司</w:t>
      </w:r>
    </w:p>
    <w:p>
      <w:pPr>
        <w:widowControl w:val="0"/>
        <w:spacing w:after="0" w:line="881" w:lineRule="exact"/>
        <w:ind w:left="0" w:right="23" w:firstLine="0"/>
        <w:jc w:val="center"/>
        <w:rPr>
          <w:rFonts w:cs="Times New Roman" w:asciiTheme="minorEastAsia" w:hAnsiTheme="minorEastAsia" w:eastAsiaTheme="minorEastAsia"/>
          <w:color w:val="auto"/>
          <w:spacing w:val="18"/>
          <w:sz w:val="48"/>
          <w:szCs w:val="24"/>
          <w:highlight w:val="none"/>
        </w:rPr>
      </w:pPr>
      <w:r>
        <w:rPr>
          <w:rFonts w:hint="eastAsia" w:cs="Times New Roman" w:asciiTheme="minorEastAsia" w:hAnsiTheme="minorEastAsia" w:eastAsiaTheme="minorEastAsia"/>
          <w:color w:val="auto"/>
          <w:spacing w:val="18"/>
          <w:sz w:val="40"/>
          <w:szCs w:val="24"/>
          <w:highlight w:val="none"/>
        </w:rPr>
        <w:t>风险分级管控与隐患排查治理实施手册</w:t>
      </w:r>
    </w:p>
    <w:p>
      <w:pPr>
        <w:widowControl w:val="0"/>
        <w:spacing w:after="0" w:line="881" w:lineRule="exact"/>
        <w:ind w:left="0" w:right="23" w:firstLine="0"/>
        <w:jc w:val="center"/>
        <w:rPr>
          <w:rFonts w:cs="Times New Roman" w:asciiTheme="minorEastAsia" w:hAnsiTheme="minorEastAsia" w:eastAsiaTheme="minorEastAsia"/>
          <w:color w:val="auto"/>
          <w:spacing w:val="18"/>
          <w:sz w:val="40"/>
          <w:szCs w:val="24"/>
          <w:highlight w:val="none"/>
        </w:rPr>
      </w:pPr>
      <w:r>
        <w:rPr>
          <w:rFonts w:hint="eastAsia" w:cs="Times New Roman" w:asciiTheme="minorEastAsia" w:hAnsiTheme="minorEastAsia" w:eastAsiaTheme="minorEastAsia"/>
          <w:color w:val="auto"/>
          <w:spacing w:val="18"/>
          <w:sz w:val="40"/>
          <w:szCs w:val="24"/>
          <w:highlight w:val="none"/>
        </w:rPr>
        <w:t>（总则）</w:t>
      </w: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highlight w:val="none"/>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highlight w:val="none"/>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highlight w:val="none"/>
          <w:lang w:val="zh-CN" w:bidi="zh-CN"/>
        </w:rPr>
      </w:pPr>
    </w:p>
    <w:p>
      <w:pPr>
        <w:widowControl w:val="0"/>
        <w:tabs>
          <w:tab w:val="left" w:pos="1259"/>
          <w:tab w:val="left" w:pos="2520"/>
          <w:tab w:val="left" w:pos="3780"/>
        </w:tabs>
        <w:spacing w:after="0" w:line="240" w:lineRule="auto"/>
        <w:ind w:left="0" w:right="15" w:firstLine="0"/>
        <w:jc w:val="center"/>
        <w:rPr>
          <w:rFonts w:cs="Times New Roman" w:asciiTheme="minorEastAsia" w:hAnsiTheme="minorEastAsia" w:eastAsiaTheme="minorEastAsia"/>
          <w:color w:val="auto"/>
          <w:sz w:val="84"/>
          <w:szCs w:val="24"/>
          <w:highlight w:val="none"/>
        </w:rPr>
      </w:pPr>
      <w:r>
        <w:rPr>
          <w:color w:val="auto"/>
          <w:highlight w:val="none"/>
        </w:rPr>
        <w:drawing>
          <wp:inline distT="0" distB="0" distL="0" distR="0">
            <wp:extent cx="1285875" cy="14859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1285875" cy="1485900"/>
                    </a:xfrm>
                    <a:prstGeom prst="rect">
                      <a:avLst/>
                    </a:prstGeom>
                  </pic:spPr>
                </pic:pic>
              </a:graphicData>
            </a:graphic>
          </wp:inline>
        </w:drawing>
      </w: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84"/>
          <w:szCs w:val="24"/>
          <w:highlight w:val="none"/>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84"/>
          <w:szCs w:val="24"/>
          <w:highlight w:val="none"/>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highlight w:val="none"/>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highlight w:val="none"/>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highlight w:val="none"/>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highlight w:val="none"/>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highlight w:val="none"/>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highlight w:val="none"/>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highlight w:val="none"/>
          <w:lang w:val="zh-CN" w:bidi="zh-CN"/>
        </w:rPr>
      </w:pPr>
    </w:p>
    <w:p>
      <w:pPr>
        <w:widowControl w:val="0"/>
        <w:autoSpaceDE w:val="0"/>
        <w:autoSpaceDN w:val="0"/>
        <w:spacing w:after="0" w:line="360" w:lineRule="auto"/>
        <w:ind w:left="0" w:firstLine="0"/>
        <w:jc w:val="center"/>
        <w:rPr>
          <w:rFonts w:cs="Noto Sans CJK JP Regular" w:asciiTheme="minorEastAsia" w:hAnsiTheme="minorEastAsia" w:eastAsiaTheme="minorEastAsia"/>
          <w:color w:val="auto"/>
          <w:kern w:val="0"/>
          <w:sz w:val="32"/>
          <w:szCs w:val="36"/>
          <w:highlight w:val="none"/>
          <w:lang w:val="zh-CN" w:bidi="zh-CN"/>
        </w:rPr>
      </w:pPr>
      <w:r>
        <w:rPr>
          <w:rFonts w:hint="eastAsia" w:cs="Noto Sans CJK JP Regular" w:asciiTheme="minorEastAsia" w:hAnsiTheme="minorEastAsia" w:eastAsiaTheme="minorEastAsia"/>
          <w:color w:val="auto"/>
          <w:kern w:val="0"/>
          <w:sz w:val="36"/>
          <w:szCs w:val="36"/>
          <w:highlight w:val="none"/>
          <w:lang w:val="zh-CN" w:bidi="zh-CN"/>
        </w:rPr>
        <w:t>中电建冀交高速公路投资发展有限公司</w:t>
      </w:r>
    </w:p>
    <w:p>
      <w:pPr>
        <w:widowControl w:val="0"/>
        <w:autoSpaceDE w:val="0"/>
        <w:autoSpaceDN w:val="0"/>
        <w:spacing w:after="0" w:line="360" w:lineRule="auto"/>
        <w:ind w:left="0" w:firstLine="0"/>
        <w:jc w:val="center"/>
        <w:rPr>
          <w:rFonts w:cs="Noto Sans CJK JP Regular" w:asciiTheme="minorEastAsia" w:hAnsiTheme="minorEastAsia" w:eastAsiaTheme="minorEastAsia"/>
          <w:color w:val="auto"/>
          <w:kern w:val="0"/>
          <w:sz w:val="36"/>
          <w:szCs w:val="36"/>
          <w:highlight w:val="none"/>
          <w:lang w:val="zh-CN" w:bidi="zh-CN"/>
        </w:rPr>
      </w:pPr>
      <w:r>
        <w:rPr>
          <w:rFonts w:cs="Noto Sans CJK JP Regular" w:asciiTheme="minorEastAsia" w:hAnsiTheme="minorEastAsia" w:eastAsiaTheme="minorEastAsia"/>
          <w:color w:val="auto"/>
          <w:kern w:val="0"/>
          <w:sz w:val="36"/>
          <w:szCs w:val="36"/>
          <w:highlight w:val="none"/>
          <w:lang w:val="zh-CN" w:bidi="zh-CN"/>
        </w:rPr>
        <w:t>20</w:t>
      </w:r>
      <w:r>
        <w:rPr>
          <w:rFonts w:hint="eastAsia" w:cs="Noto Sans CJK JP Regular" w:asciiTheme="minorEastAsia" w:hAnsiTheme="minorEastAsia" w:eastAsiaTheme="minorEastAsia"/>
          <w:color w:val="auto"/>
          <w:kern w:val="0"/>
          <w:sz w:val="36"/>
          <w:szCs w:val="36"/>
          <w:highlight w:val="none"/>
          <w:lang w:val="zh-CN" w:bidi="zh-CN"/>
        </w:rPr>
        <w:t>22</w:t>
      </w:r>
      <w:r>
        <w:rPr>
          <w:rFonts w:cs="Noto Sans CJK JP Regular" w:asciiTheme="minorEastAsia" w:hAnsiTheme="minorEastAsia" w:eastAsiaTheme="minorEastAsia"/>
          <w:color w:val="auto"/>
          <w:kern w:val="0"/>
          <w:sz w:val="36"/>
          <w:szCs w:val="36"/>
          <w:highlight w:val="none"/>
          <w:lang w:val="zh-CN" w:bidi="zh-CN"/>
        </w:rPr>
        <w:t>年</w:t>
      </w:r>
      <w:r>
        <w:rPr>
          <w:rFonts w:hint="eastAsia" w:cs="Noto Sans CJK JP Regular" w:asciiTheme="minorEastAsia" w:hAnsiTheme="minorEastAsia" w:eastAsiaTheme="minorEastAsia"/>
          <w:color w:val="auto"/>
          <w:kern w:val="0"/>
          <w:sz w:val="36"/>
          <w:szCs w:val="36"/>
          <w:highlight w:val="none"/>
          <w:lang w:val="zh-CN" w:bidi="zh-CN"/>
        </w:rPr>
        <w:t>6</w:t>
      </w:r>
      <w:r>
        <w:rPr>
          <w:rFonts w:cs="Noto Sans CJK JP Regular" w:asciiTheme="minorEastAsia" w:hAnsiTheme="minorEastAsia" w:eastAsiaTheme="minorEastAsia"/>
          <w:color w:val="auto"/>
          <w:kern w:val="0"/>
          <w:sz w:val="36"/>
          <w:szCs w:val="36"/>
          <w:highlight w:val="none"/>
          <w:lang w:val="zh-CN" w:bidi="zh-CN"/>
        </w:rPr>
        <w:t>月</w:t>
      </w:r>
    </w:p>
    <w:p>
      <w:pPr>
        <w:spacing w:line="560" w:lineRule="exact"/>
        <w:ind w:left="18" w:hanging="18" w:hangingChars="4"/>
        <w:jc w:val="center"/>
        <w:rPr>
          <w:rFonts w:asciiTheme="minorEastAsia" w:hAnsiTheme="minorEastAsia" w:eastAsiaTheme="minorEastAsia"/>
          <w:b/>
          <w:color w:val="auto"/>
          <w:sz w:val="32"/>
          <w:szCs w:val="32"/>
          <w:highlight w:val="none"/>
        </w:rPr>
      </w:pPr>
      <w:r>
        <w:rPr>
          <w:rFonts w:asciiTheme="minorEastAsia" w:hAnsiTheme="minorEastAsia" w:eastAsiaTheme="minorEastAsia"/>
          <w:b/>
          <w:color w:val="auto"/>
          <w:sz w:val="44"/>
          <w:szCs w:val="44"/>
          <w:highlight w:val="none"/>
        </w:rPr>
        <w:br w:type="page"/>
      </w:r>
      <w:r>
        <w:rPr>
          <w:rFonts w:hint="eastAsia" w:asciiTheme="minorEastAsia" w:hAnsiTheme="minorEastAsia" w:eastAsiaTheme="minorEastAsia"/>
          <w:b/>
          <w:color w:val="auto"/>
          <w:sz w:val="32"/>
          <w:szCs w:val="32"/>
          <w:highlight w:val="none"/>
        </w:rPr>
        <w:t>编制说明</w:t>
      </w:r>
    </w:p>
    <w:p>
      <w:pPr>
        <w:spacing w:after="0" w:line="560" w:lineRule="exact"/>
        <w:ind w:left="0" w:firstLine="0"/>
        <w:jc w:val="both"/>
        <w:rPr>
          <w:rFonts w:asciiTheme="minorEastAsia" w:hAnsiTheme="minorEastAsia" w:eastAsiaTheme="minorEastAsia"/>
          <w:b/>
          <w:color w:val="auto"/>
          <w:sz w:val="44"/>
          <w:szCs w:val="44"/>
          <w:highlight w:val="none"/>
        </w:rPr>
      </w:pPr>
    </w:p>
    <w:p>
      <w:pPr>
        <w:spacing w:after="0" w:line="560" w:lineRule="exact"/>
        <w:ind w:left="0" w:firstLine="480" w:firstLineChars="200"/>
        <w:jc w:val="both"/>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构建安全生产风险管理和隐患治理双重预防体系是贯彻落实中共中央国务院关于推进安全生产领域改革发展的重要要求，是转变安全生产管理方式提高安全生产管理水平的重要途径，是有效防范和遏制安全生产重特大事故的重要举措。中电建冀交高速公路投资发展有限公司（以下简称“中电建冀交高投公司”）按照“标本兼治、综合治理、系统建设”的总要求，将安全生产风险管理和隐患治理作为安全生产常态化管理工作，认真组织贯彻落实双控体系建设要求，积极推进安全生产风险管理和隐患治理机制建设，持续推动中电建冀交高投公司安全发展。</w:t>
      </w:r>
    </w:p>
    <w:p>
      <w:pPr>
        <w:spacing w:after="0" w:line="560" w:lineRule="exact"/>
        <w:ind w:left="0" w:firstLine="480" w:firstLineChars="200"/>
        <w:jc w:val="both"/>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本手册是依据交通运输部《中华人民共和国安全生产法》、《河北省安全生产风险管控与隐患治理规定》规定，按照省交通运输厅和河北交通投资集团公司对风险管理和隐患排查治理要求，结合公司实际特点编制而成。手册中明确了风险、隐患的定义，各部室、各单位在风险管理和隐患排查治理中的职责，以及风险管理和隐患排查治理的流程、要求和标准等内容，用于规范和指导中电建冀交高投公司风险管理和事故隐患排查治理工作。</w:t>
      </w:r>
    </w:p>
    <w:p>
      <w:pPr>
        <w:spacing w:after="0" w:line="560" w:lineRule="exact"/>
        <w:ind w:left="0" w:firstLine="480" w:firstLineChars="200"/>
        <w:jc w:val="both"/>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本手册除总则外，制定了公司机关、收费运营、基础设施、工程管理、指挥调度分册。本篇为总则篇，主要介绍双控的基本概念、要求和相关法律法规、文件规定。</w:t>
      </w:r>
    </w:p>
    <w:p>
      <w:pPr>
        <w:spacing w:line="440" w:lineRule="exact"/>
        <w:ind w:left="208" w:firstLine="0"/>
        <w:jc w:val="center"/>
        <w:outlineLvl w:val="0"/>
        <w:rPr>
          <w:rFonts w:asciiTheme="minorEastAsia" w:hAnsiTheme="minorEastAsia" w:eastAsiaTheme="minorEastAsia"/>
          <w:b/>
          <w:color w:val="auto"/>
          <w:sz w:val="44"/>
          <w:szCs w:val="44"/>
          <w:highlight w:val="none"/>
        </w:rPr>
      </w:pPr>
      <w:bookmarkStart w:id="0" w:name="_Toc3258835"/>
      <w:r>
        <w:rPr>
          <w:rFonts w:asciiTheme="minorEastAsia" w:hAnsiTheme="minorEastAsia" w:eastAsiaTheme="minorEastAsia"/>
          <w:b/>
          <w:color w:val="auto"/>
          <w:sz w:val="44"/>
          <w:szCs w:val="44"/>
          <w:highlight w:val="none"/>
        </w:rPr>
        <w:br w:type="page"/>
      </w:r>
      <w:bookmarkStart w:id="1" w:name="_Toc24398904"/>
      <w:bookmarkStart w:id="2" w:name="_Toc80303380"/>
      <w:bookmarkStart w:id="3" w:name="_Toc7522687"/>
      <w:bookmarkStart w:id="4" w:name="_Toc104735753"/>
      <w:bookmarkStart w:id="5" w:name="_Toc43049866"/>
      <w:bookmarkStart w:id="6" w:name="_Toc5204757"/>
      <w:bookmarkStart w:id="7" w:name="_Toc7522661"/>
      <w:bookmarkStart w:id="8" w:name="_Toc48510038"/>
      <w:r>
        <w:rPr>
          <w:rFonts w:hint="eastAsia" w:asciiTheme="minorEastAsia" w:hAnsiTheme="minorEastAsia" w:eastAsiaTheme="minorEastAsia"/>
          <w:b/>
          <w:color w:val="auto"/>
          <w:sz w:val="44"/>
          <w:szCs w:val="44"/>
          <w:highlight w:val="none"/>
        </w:rPr>
        <w:t>目</w:t>
      </w:r>
      <w:r>
        <w:rPr>
          <w:rFonts w:asciiTheme="minorEastAsia" w:hAnsiTheme="minorEastAsia" w:eastAsiaTheme="minorEastAsia"/>
          <w:b/>
          <w:color w:val="auto"/>
          <w:sz w:val="44"/>
          <w:szCs w:val="44"/>
          <w:highlight w:val="none"/>
        </w:rPr>
        <w:t xml:space="preserve">  </w:t>
      </w:r>
      <w:r>
        <w:rPr>
          <w:rFonts w:hint="eastAsia" w:asciiTheme="minorEastAsia" w:hAnsiTheme="minorEastAsia" w:eastAsiaTheme="minorEastAsia"/>
          <w:b/>
          <w:color w:val="auto"/>
          <w:sz w:val="44"/>
          <w:szCs w:val="44"/>
          <w:highlight w:val="none"/>
        </w:rPr>
        <w:t>录</w:t>
      </w:r>
      <w:bookmarkEnd w:id="0"/>
      <w:bookmarkEnd w:id="1"/>
      <w:bookmarkEnd w:id="2"/>
      <w:bookmarkEnd w:id="3"/>
      <w:bookmarkEnd w:id="4"/>
      <w:bookmarkEnd w:id="5"/>
      <w:bookmarkEnd w:id="6"/>
      <w:bookmarkEnd w:id="7"/>
      <w:bookmarkEnd w:id="8"/>
    </w:p>
    <w:p>
      <w:pPr>
        <w:pStyle w:val="19"/>
        <w:tabs>
          <w:tab w:val="right" w:leader="dot" w:pos="8498"/>
        </w:tabs>
        <w:spacing w:beforeLines="50" w:afterLines="50" w:line="360" w:lineRule="auto"/>
        <w:ind w:hanging="11"/>
        <w:rPr>
          <w:rFonts w:asciiTheme="minorEastAsia" w:hAnsiTheme="minorEastAsia" w:eastAsiaTheme="minorEastAsia"/>
          <w:b w:val="0"/>
          <w:color w:val="auto"/>
          <w:sz w:val="24"/>
          <w:szCs w:val="24"/>
          <w:highlight w:val="none"/>
        </w:rPr>
      </w:pPr>
      <w:r>
        <w:rPr>
          <w:rFonts w:cs="Times New Roman" w:asciiTheme="minorEastAsia" w:hAnsiTheme="minorEastAsia" w:eastAsiaTheme="minorEastAsia"/>
          <w:b w:val="0"/>
          <w:color w:val="auto"/>
          <w:sz w:val="44"/>
          <w:highlight w:val="none"/>
        </w:rPr>
        <w:t xml:space="preserve"> </w:t>
      </w:r>
      <w:r>
        <w:rPr>
          <w:rFonts w:asciiTheme="minorEastAsia" w:hAnsiTheme="minorEastAsia" w:eastAsiaTheme="minorEastAsia"/>
          <w:b w:val="0"/>
          <w:color w:val="auto"/>
          <w:sz w:val="24"/>
          <w:szCs w:val="24"/>
          <w:highlight w:val="none"/>
        </w:rPr>
        <w:fldChar w:fldCharType="begin"/>
      </w:r>
      <w:r>
        <w:rPr>
          <w:rFonts w:asciiTheme="minorEastAsia" w:hAnsiTheme="minorEastAsia" w:eastAsiaTheme="minorEastAsia"/>
          <w:b w:val="0"/>
          <w:color w:val="auto"/>
          <w:sz w:val="24"/>
          <w:szCs w:val="24"/>
          <w:highlight w:val="none"/>
        </w:rPr>
        <w:instrText xml:space="preserve"> TOC \o "1-2" \h \z \u </w:instrText>
      </w:r>
      <w:r>
        <w:rPr>
          <w:rFonts w:asciiTheme="minorEastAsia" w:hAnsiTheme="minorEastAsia" w:eastAsiaTheme="minorEastAsia"/>
          <w:b w:val="0"/>
          <w:color w:val="auto"/>
          <w:sz w:val="24"/>
          <w:szCs w:val="24"/>
          <w:highlight w:val="none"/>
        </w:rPr>
        <w:fldChar w:fldCharType="separate"/>
      </w:r>
    </w:p>
    <w:p>
      <w:pPr>
        <w:pStyle w:val="19"/>
        <w:tabs>
          <w:tab w:val="right" w:leader="dot" w:pos="8498"/>
        </w:tabs>
        <w:spacing w:line="360" w:lineRule="auto"/>
        <w:rPr>
          <w:rFonts w:asciiTheme="minorEastAsia" w:hAnsiTheme="minorEastAsia" w:eastAsiaTheme="minorEastAsia" w:cstheme="minorBidi"/>
          <w:b w:val="0"/>
          <w:bCs w:val="0"/>
          <w:caps w:val="0"/>
          <w:color w:val="auto"/>
          <w:sz w:val="24"/>
          <w:szCs w:val="24"/>
          <w:highlight w:val="none"/>
        </w:rPr>
      </w:pPr>
      <w:r>
        <w:rPr>
          <w:color w:val="auto"/>
          <w:highlight w:val="none"/>
        </w:rPr>
        <w:fldChar w:fldCharType="begin"/>
      </w:r>
      <w:r>
        <w:rPr>
          <w:color w:val="auto"/>
          <w:highlight w:val="none"/>
        </w:rPr>
        <w:instrText xml:space="preserve"> HYPERLINK \l "_Toc104735754" </w:instrText>
      </w:r>
      <w:r>
        <w:rPr>
          <w:color w:val="auto"/>
          <w:highlight w:val="none"/>
        </w:rPr>
        <w:fldChar w:fldCharType="separate"/>
      </w:r>
      <w:r>
        <w:rPr>
          <w:rStyle w:val="32"/>
          <w:rFonts w:hint="eastAsia" w:cs="Calibri" w:asciiTheme="minorEastAsia" w:hAnsiTheme="minorEastAsia" w:eastAsiaTheme="minorEastAsia"/>
          <w:b w:val="0"/>
          <w:color w:val="auto"/>
          <w:sz w:val="24"/>
          <w:szCs w:val="24"/>
          <w:highlight w:val="none"/>
        </w:rPr>
        <w:t>第一章</w:t>
      </w:r>
      <w:r>
        <w:rPr>
          <w:rStyle w:val="32"/>
          <w:rFonts w:cs="Calibri" w:asciiTheme="minorEastAsia" w:hAnsiTheme="minorEastAsia" w:eastAsiaTheme="minorEastAsia"/>
          <w:b w:val="0"/>
          <w:color w:val="auto"/>
          <w:sz w:val="24"/>
          <w:szCs w:val="24"/>
          <w:highlight w:val="none"/>
        </w:rPr>
        <w:t xml:space="preserve"> </w:t>
      </w:r>
      <w:r>
        <w:rPr>
          <w:rStyle w:val="32"/>
          <w:rFonts w:hint="eastAsia" w:cs="Calibri" w:asciiTheme="minorEastAsia" w:hAnsiTheme="minorEastAsia" w:eastAsiaTheme="minorEastAsia"/>
          <w:b w:val="0"/>
          <w:color w:val="auto"/>
          <w:sz w:val="24"/>
          <w:szCs w:val="24"/>
          <w:highlight w:val="none"/>
        </w:rPr>
        <w:t>概述</w:t>
      </w:r>
      <w:r>
        <w:rPr>
          <w:rFonts w:asciiTheme="minorEastAsia" w:hAnsiTheme="minorEastAsia" w:eastAsiaTheme="minorEastAsia"/>
          <w:b w:val="0"/>
          <w:color w:val="auto"/>
          <w:sz w:val="24"/>
          <w:szCs w:val="24"/>
          <w:highlight w:val="none"/>
        </w:rPr>
        <w:tab/>
      </w:r>
      <w:r>
        <w:rPr>
          <w:rFonts w:asciiTheme="minorEastAsia" w:hAnsiTheme="minorEastAsia" w:eastAsiaTheme="minorEastAsia"/>
          <w:b w:val="0"/>
          <w:color w:val="auto"/>
          <w:sz w:val="24"/>
          <w:szCs w:val="24"/>
          <w:highlight w:val="none"/>
        </w:rPr>
        <w:fldChar w:fldCharType="begin"/>
      </w:r>
      <w:r>
        <w:rPr>
          <w:rFonts w:asciiTheme="minorEastAsia" w:hAnsiTheme="minorEastAsia" w:eastAsiaTheme="minorEastAsia"/>
          <w:b w:val="0"/>
          <w:color w:val="auto"/>
          <w:sz w:val="24"/>
          <w:szCs w:val="24"/>
          <w:highlight w:val="none"/>
        </w:rPr>
        <w:instrText xml:space="preserve"> PAGEREF _Toc104735754 \h </w:instrText>
      </w:r>
      <w:r>
        <w:rPr>
          <w:rFonts w:asciiTheme="minorEastAsia" w:hAnsiTheme="minorEastAsia" w:eastAsiaTheme="minorEastAsia"/>
          <w:b w:val="0"/>
          <w:color w:val="auto"/>
          <w:sz w:val="24"/>
          <w:szCs w:val="24"/>
          <w:highlight w:val="none"/>
        </w:rPr>
        <w:fldChar w:fldCharType="separate"/>
      </w:r>
      <w:r>
        <w:rPr>
          <w:rFonts w:asciiTheme="minorEastAsia" w:hAnsiTheme="minorEastAsia" w:eastAsiaTheme="minorEastAsia"/>
          <w:b w:val="0"/>
          <w:color w:val="auto"/>
          <w:sz w:val="24"/>
          <w:szCs w:val="24"/>
          <w:highlight w:val="none"/>
        </w:rPr>
        <w:t>5</w:t>
      </w:r>
      <w:r>
        <w:rPr>
          <w:rFonts w:asciiTheme="minorEastAsia" w:hAnsiTheme="minorEastAsia" w:eastAsiaTheme="minorEastAsia"/>
          <w:b w:val="0"/>
          <w:color w:val="auto"/>
          <w:sz w:val="24"/>
          <w:szCs w:val="24"/>
          <w:highlight w:val="none"/>
        </w:rPr>
        <w:fldChar w:fldCharType="end"/>
      </w:r>
      <w:r>
        <w:rPr>
          <w:rFonts w:asciiTheme="minorEastAsia" w:hAnsiTheme="minorEastAsia" w:eastAsiaTheme="minorEastAsia"/>
          <w:b w:val="0"/>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"_Toc104735755"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1.1</w:t>
      </w:r>
      <w:r>
        <w:rPr>
          <w:rStyle w:val="32"/>
          <w:rFonts w:hint="eastAsia" w:cs="Calibri" w:asciiTheme="minorEastAsia" w:hAnsiTheme="minorEastAsia" w:eastAsiaTheme="minorEastAsia"/>
          <w:color w:val="auto"/>
          <w:sz w:val="24"/>
          <w:szCs w:val="24"/>
          <w:highlight w:val="none"/>
        </w:rPr>
        <w:t>目标</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_Toc104735755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5</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"_Toc104735756"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1.2</w:t>
      </w:r>
      <w:r>
        <w:rPr>
          <w:rStyle w:val="32"/>
          <w:rFonts w:hint="eastAsia" w:cs="Calibri" w:asciiTheme="minorEastAsia" w:hAnsiTheme="minorEastAsia" w:eastAsiaTheme="minorEastAsia"/>
          <w:color w:val="auto"/>
          <w:sz w:val="24"/>
          <w:szCs w:val="24"/>
          <w:highlight w:val="none"/>
        </w:rPr>
        <w:t>依据</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_Toc104735756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5</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"_Toc104735757"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1.3</w:t>
      </w:r>
      <w:r>
        <w:rPr>
          <w:rStyle w:val="32"/>
          <w:rFonts w:hint="eastAsia" w:cs="Calibri" w:asciiTheme="minorEastAsia" w:hAnsiTheme="minorEastAsia" w:eastAsiaTheme="minorEastAsia"/>
          <w:color w:val="auto"/>
          <w:sz w:val="24"/>
          <w:szCs w:val="24"/>
          <w:highlight w:val="none"/>
        </w:rPr>
        <w:t>原则</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_Toc104735757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6</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"_Toc104735758"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1.4</w:t>
      </w:r>
      <w:r>
        <w:rPr>
          <w:rStyle w:val="32"/>
          <w:rFonts w:hint="eastAsia" w:cs="Calibri" w:asciiTheme="minorEastAsia" w:hAnsiTheme="minorEastAsia" w:eastAsiaTheme="minorEastAsia"/>
          <w:color w:val="auto"/>
          <w:sz w:val="24"/>
          <w:szCs w:val="24"/>
          <w:highlight w:val="none"/>
        </w:rPr>
        <w:t>范围</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_Toc104735758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6</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"_Toc104735759"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1.5</w:t>
      </w:r>
      <w:r>
        <w:rPr>
          <w:rStyle w:val="32"/>
          <w:rFonts w:hint="eastAsia" w:cs="Calibri" w:asciiTheme="minorEastAsia" w:hAnsiTheme="minorEastAsia" w:eastAsiaTheme="minorEastAsia"/>
          <w:color w:val="auto"/>
          <w:sz w:val="24"/>
          <w:szCs w:val="24"/>
          <w:highlight w:val="none"/>
        </w:rPr>
        <w:t>领导小组</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_Toc104735759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7</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19"/>
        <w:tabs>
          <w:tab w:val="right" w:leader="dot" w:pos="8498"/>
        </w:tabs>
        <w:spacing w:line="360" w:lineRule="auto"/>
        <w:rPr>
          <w:rFonts w:asciiTheme="minorEastAsia" w:hAnsiTheme="minorEastAsia" w:eastAsiaTheme="minorEastAsia" w:cstheme="minorBidi"/>
          <w:b w:val="0"/>
          <w:bCs w:val="0"/>
          <w:caps w:val="0"/>
          <w:color w:val="auto"/>
          <w:sz w:val="24"/>
          <w:szCs w:val="24"/>
          <w:highlight w:val="none"/>
        </w:rPr>
      </w:pPr>
      <w:r>
        <w:rPr>
          <w:color w:val="auto"/>
          <w:highlight w:val="none"/>
        </w:rPr>
        <w:fldChar w:fldCharType="begin"/>
      </w:r>
      <w:r>
        <w:rPr>
          <w:color w:val="auto"/>
          <w:highlight w:val="none"/>
        </w:rPr>
        <w:instrText xml:space="preserve"> HYPERLINK \l "_Toc104735760" </w:instrText>
      </w:r>
      <w:r>
        <w:rPr>
          <w:color w:val="auto"/>
          <w:highlight w:val="none"/>
        </w:rPr>
        <w:fldChar w:fldCharType="separate"/>
      </w:r>
      <w:r>
        <w:rPr>
          <w:rStyle w:val="32"/>
          <w:rFonts w:hint="eastAsia" w:cs="Calibri" w:asciiTheme="minorEastAsia" w:hAnsiTheme="minorEastAsia" w:eastAsiaTheme="minorEastAsia"/>
          <w:b w:val="0"/>
          <w:color w:val="auto"/>
          <w:sz w:val="24"/>
          <w:szCs w:val="24"/>
          <w:highlight w:val="none"/>
        </w:rPr>
        <w:t>第二章</w:t>
      </w:r>
      <w:r>
        <w:rPr>
          <w:rStyle w:val="32"/>
          <w:rFonts w:cs="Calibri" w:asciiTheme="minorEastAsia" w:hAnsiTheme="minorEastAsia" w:eastAsiaTheme="minorEastAsia"/>
          <w:b w:val="0"/>
          <w:color w:val="auto"/>
          <w:sz w:val="24"/>
          <w:szCs w:val="24"/>
          <w:highlight w:val="none"/>
        </w:rPr>
        <w:t xml:space="preserve"> </w:t>
      </w:r>
      <w:r>
        <w:rPr>
          <w:rStyle w:val="32"/>
          <w:rFonts w:hint="eastAsia" w:cs="Calibri" w:asciiTheme="minorEastAsia" w:hAnsiTheme="minorEastAsia" w:eastAsiaTheme="minorEastAsia"/>
          <w:b w:val="0"/>
          <w:color w:val="auto"/>
          <w:sz w:val="24"/>
          <w:szCs w:val="24"/>
          <w:highlight w:val="none"/>
        </w:rPr>
        <w:t>公司概况</w:t>
      </w:r>
      <w:r>
        <w:rPr>
          <w:rFonts w:asciiTheme="minorEastAsia" w:hAnsiTheme="minorEastAsia" w:eastAsiaTheme="minorEastAsia"/>
          <w:b w:val="0"/>
          <w:color w:val="auto"/>
          <w:sz w:val="24"/>
          <w:szCs w:val="24"/>
          <w:highlight w:val="none"/>
        </w:rPr>
        <w:tab/>
      </w:r>
      <w:r>
        <w:rPr>
          <w:rFonts w:asciiTheme="minorEastAsia" w:hAnsiTheme="minorEastAsia" w:eastAsiaTheme="minorEastAsia"/>
          <w:b w:val="0"/>
          <w:color w:val="auto"/>
          <w:sz w:val="24"/>
          <w:szCs w:val="24"/>
          <w:highlight w:val="none"/>
        </w:rPr>
        <w:fldChar w:fldCharType="begin"/>
      </w:r>
      <w:r>
        <w:rPr>
          <w:rFonts w:asciiTheme="minorEastAsia" w:hAnsiTheme="minorEastAsia" w:eastAsiaTheme="minorEastAsia"/>
          <w:b w:val="0"/>
          <w:color w:val="auto"/>
          <w:sz w:val="24"/>
          <w:szCs w:val="24"/>
          <w:highlight w:val="none"/>
        </w:rPr>
        <w:instrText xml:space="preserve"> PAGEREF _Toc104735760 \h </w:instrText>
      </w:r>
      <w:r>
        <w:rPr>
          <w:rFonts w:asciiTheme="minorEastAsia" w:hAnsiTheme="minorEastAsia" w:eastAsiaTheme="minorEastAsia"/>
          <w:b w:val="0"/>
          <w:color w:val="auto"/>
          <w:sz w:val="24"/>
          <w:szCs w:val="24"/>
          <w:highlight w:val="none"/>
        </w:rPr>
        <w:fldChar w:fldCharType="separate"/>
      </w:r>
      <w:r>
        <w:rPr>
          <w:rFonts w:asciiTheme="minorEastAsia" w:hAnsiTheme="minorEastAsia" w:eastAsiaTheme="minorEastAsia"/>
          <w:b w:val="0"/>
          <w:color w:val="auto"/>
          <w:sz w:val="24"/>
          <w:szCs w:val="24"/>
          <w:highlight w:val="none"/>
        </w:rPr>
        <w:t>8</w:t>
      </w:r>
      <w:r>
        <w:rPr>
          <w:rFonts w:asciiTheme="minorEastAsia" w:hAnsiTheme="minorEastAsia" w:eastAsiaTheme="minorEastAsia"/>
          <w:b w:val="0"/>
          <w:color w:val="auto"/>
          <w:sz w:val="24"/>
          <w:szCs w:val="24"/>
          <w:highlight w:val="none"/>
        </w:rPr>
        <w:fldChar w:fldCharType="end"/>
      </w:r>
      <w:r>
        <w:rPr>
          <w:rFonts w:asciiTheme="minorEastAsia" w:hAnsiTheme="minorEastAsia" w:eastAsiaTheme="minorEastAsia"/>
          <w:b w:val="0"/>
          <w:color w:val="auto"/>
          <w:sz w:val="24"/>
          <w:szCs w:val="24"/>
          <w:highlight w:val="none"/>
        </w:rPr>
        <w:fldChar w:fldCharType="end"/>
      </w:r>
    </w:p>
    <w:p>
      <w:pPr>
        <w:pStyle w:val="19"/>
        <w:tabs>
          <w:tab w:val="right" w:leader="dot" w:pos="8498"/>
        </w:tabs>
        <w:spacing w:line="360" w:lineRule="auto"/>
        <w:rPr>
          <w:rFonts w:asciiTheme="minorEastAsia" w:hAnsiTheme="minorEastAsia" w:eastAsiaTheme="minorEastAsia" w:cstheme="minorBidi"/>
          <w:b w:val="0"/>
          <w:bCs w:val="0"/>
          <w:caps w:val="0"/>
          <w:color w:val="auto"/>
          <w:sz w:val="24"/>
          <w:szCs w:val="24"/>
          <w:highlight w:val="none"/>
        </w:rPr>
      </w:pPr>
      <w:r>
        <w:rPr>
          <w:color w:val="auto"/>
          <w:highlight w:val="none"/>
        </w:rPr>
        <w:fldChar w:fldCharType="begin"/>
      </w:r>
      <w:r>
        <w:rPr>
          <w:color w:val="auto"/>
          <w:highlight w:val="none"/>
        </w:rPr>
        <w:instrText xml:space="preserve"> HYPERLINK \l "_Toc104735761" </w:instrText>
      </w:r>
      <w:r>
        <w:rPr>
          <w:color w:val="auto"/>
          <w:highlight w:val="none"/>
        </w:rPr>
        <w:fldChar w:fldCharType="separate"/>
      </w:r>
      <w:r>
        <w:rPr>
          <w:rStyle w:val="32"/>
          <w:rFonts w:hint="eastAsia" w:cs="Calibri" w:asciiTheme="minorEastAsia" w:hAnsiTheme="minorEastAsia" w:eastAsiaTheme="minorEastAsia"/>
          <w:b w:val="0"/>
          <w:color w:val="auto"/>
          <w:sz w:val="24"/>
          <w:szCs w:val="24"/>
          <w:highlight w:val="none"/>
        </w:rPr>
        <w:t>第三章</w:t>
      </w:r>
      <w:r>
        <w:rPr>
          <w:rStyle w:val="32"/>
          <w:rFonts w:cs="Calibri" w:asciiTheme="minorEastAsia" w:hAnsiTheme="minorEastAsia" w:eastAsiaTheme="minorEastAsia"/>
          <w:b w:val="0"/>
          <w:color w:val="auto"/>
          <w:sz w:val="24"/>
          <w:szCs w:val="24"/>
          <w:highlight w:val="none"/>
        </w:rPr>
        <w:t xml:space="preserve"> </w:t>
      </w:r>
      <w:r>
        <w:rPr>
          <w:rStyle w:val="32"/>
          <w:rFonts w:hint="eastAsia" w:cs="Calibri" w:asciiTheme="minorEastAsia" w:hAnsiTheme="minorEastAsia" w:eastAsiaTheme="minorEastAsia"/>
          <w:b w:val="0"/>
          <w:color w:val="auto"/>
          <w:sz w:val="24"/>
          <w:szCs w:val="24"/>
          <w:highlight w:val="none"/>
        </w:rPr>
        <w:t>安全生产风险分级管控</w:t>
      </w:r>
      <w:r>
        <w:rPr>
          <w:rFonts w:asciiTheme="minorEastAsia" w:hAnsiTheme="minorEastAsia" w:eastAsiaTheme="minorEastAsia"/>
          <w:b w:val="0"/>
          <w:color w:val="auto"/>
          <w:sz w:val="24"/>
          <w:szCs w:val="24"/>
          <w:highlight w:val="none"/>
        </w:rPr>
        <w:tab/>
      </w:r>
      <w:r>
        <w:rPr>
          <w:rFonts w:asciiTheme="minorEastAsia" w:hAnsiTheme="minorEastAsia" w:eastAsiaTheme="minorEastAsia"/>
          <w:b w:val="0"/>
          <w:color w:val="auto"/>
          <w:sz w:val="24"/>
          <w:szCs w:val="24"/>
          <w:highlight w:val="none"/>
        </w:rPr>
        <w:fldChar w:fldCharType="begin"/>
      </w:r>
      <w:r>
        <w:rPr>
          <w:rFonts w:asciiTheme="minorEastAsia" w:hAnsiTheme="minorEastAsia" w:eastAsiaTheme="minorEastAsia"/>
          <w:b w:val="0"/>
          <w:color w:val="auto"/>
          <w:sz w:val="24"/>
          <w:szCs w:val="24"/>
          <w:highlight w:val="none"/>
        </w:rPr>
        <w:instrText xml:space="preserve"> PAGEREF _Toc104735761 \h </w:instrText>
      </w:r>
      <w:r>
        <w:rPr>
          <w:rFonts w:asciiTheme="minorEastAsia" w:hAnsiTheme="minorEastAsia" w:eastAsiaTheme="minorEastAsia"/>
          <w:b w:val="0"/>
          <w:color w:val="auto"/>
          <w:sz w:val="24"/>
          <w:szCs w:val="24"/>
          <w:highlight w:val="none"/>
        </w:rPr>
        <w:fldChar w:fldCharType="separate"/>
      </w:r>
      <w:r>
        <w:rPr>
          <w:rFonts w:asciiTheme="minorEastAsia" w:hAnsiTheme="minorEastAsia" w:eastAsiaTheme="minorEastAsia"/>
          <w:b w:val="0"/>
          <w:color w:val="auto"/>
          <w:sz w:val="24"/>
          <w:szCs w:val="24"/>
          <w:highlight w:val="none"/>
        </w:rPr>
        <w:t>10</w:t>
      </w:r>
      <w:r>
        <w:rPr>
          <w:rFonts w:asciiTheme="minorEastAsia" w:hAnsiTheme="minorEastAsia" w:eastAsiaTheme="minorEastAsia"/>
          <w:b w:val="0"/>
          <w:color w:val="auto"/>
          <w:sz w:val="24"/>
          <w:szCs w:val="24"/>
          <w:highlight w:val="none"/>
        </w:rPr>
        <w:fldChar w:fldCharType="end"/>
      </w:r>
      <w:r>
        <w:rPr>
          <w:rFonts w:asciiTheme="minorEastAsia" w:hAnsiTheme="minorEastAsia" w:eastAsiaTheme="minorEastAsia"/>
          <w:b w:val="0"/>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"_Toc104735762"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3.1</w:t>
      </w:r>
      <w:r>
        <w:rPr>
          <w:rStyle w:val="32"/>
          <w:rFonts w:hint="eastAsia" w:cs="Calibri" w:asciiTheme="minorEastAsia" w:hAnsiTheme="minorEastAsia" w:eastAsiaTheme="minorEastAsia"/>
          <w:color w:val="auto"/>
          <w:sz w:val="24"/>
          <w:szCs w:val="24"/>
          <w:highlight w:val="none"/>
        </w:rPr>
        <w:t>术语和定义</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_Toc104735762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10</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"_Toc104735763"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3.2</w:t>
      </w:r>
      <w:r>
        <w:rPr>
          <w:rStyle w:val="32"/>
          <w:rFonts w:hint="eastAsia" w:cs="Calibri" w:asciiTheme="minorEastAsia" w:hAnsiTheme="minorEastAsia" w:eastAsiaTheme="minorEastAsia"/>
          <w:color w:val="auto"/>
          <w:sz w:val="24"/>
          <w:szCs w:val="24"/>
          <w:highlight w:val="none"/>
        </w:rPr>
        <w:t>风险管理职责</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_Toc104735763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12</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"_Toc104735764"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3.3</w:t>
      </w:r>
      <w:r>
        <w:rPr>
          <w:rStyle w:val="32"/>
          <w:rFonts w:hint="eastAsia" w:cs="Calibri" w:asciiTheme="minorEastAsia" w:hAnsiTheme="minorEastAsia" w:eastAsiaTheme="minorEastAsia"/>
          <w:color w:val="auto"/>
          <w:sz w:val="24"/>
          <w:szCs w:val="24"/>
          <w:highlight w:val="none"/>
        </w:rPr>
        <w:t>风险分类分级</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_Toc104735764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12</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"_Toc104735765"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3.4</w:t>
      </w:r>
      <w:r>
        <w:rPr>
          <w:rStyle w:val="32"/>
          <w:rFonts w:hint="eastAsia" w:cs="Calibri" w:asciiTheme="minorEastAsia" w:hAnsiTheme="minorEastAsia" w:eastAsiaTheme="minorEastAsia"/>
          <w:color w:val="auto"/>
          <w:sz w:val="24"/>
          <w:szCs w:val="24"/>
          <w:highlight w:val="none"/>
        </w:rPr>
        <w:t>风险辨识</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_Toc104735765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14</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"_Toc104735766" </w:instrText>
      </w:r>
      <w:r>
        <w:rPr>
          <w:color w:val="auto"/>
          <w:highlight w:val="none"/>
        </w:rPr>
        <w:fldChar w:fldCharType="separate"/>
      </w:r>
      <w:r>
        <w:rPr>
          <w:rStyle w:val="32"/>
          <w:rFonts w:asciiTheme="minorEastAsia" w:hAnsiTheme="minorEastAsia" w:eastAsiaTheme="minorEastAsia"/>
          <w:color w:val="auto"/>
          <w:sz w:val="24"/>
          <w:szCs w:val="24"/>
          <w:highlight w:val="none"/>
        </w:rPr>
        <w:t>3.5</w:t>
      </w:r>
      <w:r>
        <w:rPr>
          <w:rStyle w:val="32"/>
          <w:rFonts w:hint="eastAsia" w:asciiTheme="minorEastAsia" w:hAnsiTheme="minorEastAsia" w:eastAsiaTheme="minorEastAsia"/>
          <w:color w:val="auto"/>
          <w:sz w:val="24"/>
          <w:szCs w:val="24"/>
          <w:highlight w:val="none"/>
        </w:rPr>
        <w:t>基础设施风险评估</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_Toc104735766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15</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"_Toc104735767" </w:instrText>
      </w:r>
      <w:r>
        <w:rPr>
          <w:color w:val="auto"/>
          <w:highlight w:val="none"/>
        </w:rPr>
        <w:fldChar w:fldCharType="separate"/>
      </w:r>
      <w:r>
        <w:rPr>
          <w:rStyle w:val="32"/>
          <w:rFonts w:asciiTheme="minorEastAsia" w:hAnsiTheme="minorEastAsia" w:eastAsiaTheme="minorEastAsia"/>
          <w:color w:val="auto"/>
          <w:sz w:val="24"/>
          <w:szCs w:val="24"/>
          <w:highlight w:val="none"/>
        </w:rPr>
        <w:t>3.6</w:t>
      </w:r>
      <w:r>
        <w:rPr>
          <w:rStyle w:val="32"/>
          <w:rFonts w:hint="eastAsia" w:asciiTheme="minorEastAsia" w:hAnsiTheme="minorEastAsia" w:eastAsiaTheme="minorEastAsia"/>
          <w:color w:val="auto"/>
          <w:sz w:val="24"/>
          <w:szCs w:val="24"/>
          <w:highlight w:val="none"/>
        </w:rPr>
        <w:t>场所区域、设备设施及作业活动风险评估</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_Toc104735767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22</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"_Toc104735768" </w:instrText>
      </w:r>
      <w:r>
        <w:rPr>
          <w:color w:val="auto"/>
          <w:highlight w:val="none"/>
        </w:rPr>
        <w:fldChar w:fldCharType="separate"/>
      </w:r>
      <w:r>
        <w:rPr>
          <w:rStyle w:val="32"/>
          <w:rFonts w:asciiTheme="minorEastAsia" w:hAnsiTheme="minorEastAsia" w:eastAsiaTheme="minorEastAsia"/>
          <w:color w:val="auto"/>
          <w:sz w:val="24"/>
          <w:szCs w:val="24"/>
          <w:highlight w:val="none"/>
        </w:rPr>
        <w:t>3.7</w:t>
      </w:r>
      <w:r>
        <w:rPr>
          <w:rStyle w:val="32"/>
          <w:rFonts w:hint="eastAsia" w:asciiTheme="minorEastAsia" w:hAnsiTheme="minorEastAsia" w:eastAsiaTheme="minorEastAsia"/>
          <w:color w:val="auto"/>
          <w:sz w:val="24"/>
          <w:szCs w:val="24"/>
          <w:highlight w:val="none"/>
        </w:rPr>
        <w:t>风险分级管控</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_Toc104735768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29</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"_Toc104735769" </w:instrText>
      </w:r>
      <w:r>
        <w:rPr>
          <w:color w:val="auto"/>
          <w:highlight w:val="none"/>
        </w:rPr>
        <w:fldChar w:fldCharType="separate"/>
      </w:r>
      <w:r>
        <w:rPr>
          <w:rStyle w:val="32"/>
          <w:rFonts w:asciiTheme="minorEastAsia" w:hAnsiTheme="minorEastAsia" w:eastAsiaTheme="minorEastAsia"/>
          <w:color w:val="auto"/>
          <w:sz w:val="24"/>
          <w:szCs w:val="24"/>
          <w:highlight w:val="none"/>
        </w:rPr>
        <w:t>3.8</w:t>
      </w:r>
      <w:r>
        <w:rPr>
          <w:rStyle w:val="32"/>
          <w:rFonts w:hint="eastAsia" w:asciiTheme="minorEastAsia" w:hAnsiTheme="minorEastAsia" w:eastAsiaTheme="minorEastAsia"/>
          <w:color w:val="auto"/>
          <w:sz w:val="24"/>
          <w:szCs w:val="24"/>
          <w:highlight w:val="none"/>
        </w:rPr>
        <w:t>风险分级管控清单</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_Toc104735769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32</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"_Toc104735770" </w:instrText>
      </w:r>
      <w:r>
        <w:rPr>
          <w:color w:val="auto"/>
          <w:highlight w:val="none"/>
        </w:rPr>
        <w:fldChar w:fldCharType="separate"/>
      </w:r>
      <w:r>
        <w:rPr>
          <w:rStyle w:val="32"/>
          <w:rFonts w:asciiTheme="minorEastAsia" w:hAnsiTheme="minorEastAsia" w:eastAsiaTheme="minorEastAsia"/>
          <w:color w:val="auto"/>
          <w:sz w:val="24"/>
          <w:szCs w:val="24"/>
          <w:highlight w:val="none"/>
        </w:rPr>
        <w:t>3.9</w:t>
      </w:r>
      <w:r>
        <w:rPr>
          <w:rStyle w:val="32"/>
          <w:rFonts w:hint="eastAsia" w:asciiTheme="minorEastAsia" w:hAnsiTheme="minorEastAsia" w:eastAsiaTheme="minorEastAsia"/>
          <w:color w:val="auto"/>
          <w:sz w:val="24"/>
          <w:szCs w:val="24"/>
          <w:highlight w:val="none"/>
        </w:rPr>
        <w:t>风险登记</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_Toc104735770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32</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"_Toc104735771" </w:instrText>
      </w:r>
      <w:r>
        <w:rPr>
          <w:color w:val="auto"/>
          <w:highlight w:val="none"/>
        </w:rPr>
        <w:fldChar w:fldCharType="separate"/>
      </w:r>
      <w:r>
        <w:rPr>
          <w:rStyle w:val="32"/>
          <w:rFonts w:asciiTheme="minorEastAsia" w:hAnsiTheme="minorEastAsia" w:eastAsiaTheme="minorEastAsia"/>
          <w:color w:val="auto"/>
          <w:sz w:val="24"/>
          <w:szCs w:val="24"/>
          <w:highlight w:val="none"/>
        </w:rPr>
        <w:t>3.10</w:t>
      </w:r>
      <w:r>
        <w:rPr>
          <w:rStyle w:val="32"/>
          <w:rFonts w:hint="eastAsia" w:asciiTheme="minorEastAsia" w:hAnsiTheme="minorEastAsia" w:eastAsiaTheme="minorEastAsia"/>
          <w:color w:val="auto"/>
          <w:sz w:val="24"/>
          <w:szCs w:val="24"/>
          <w:highlight w:val="none"/>
        </w:rPr>
        <w:t>风险告知</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_Toc104735771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33</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"_Toc104735772" </w:instrText>
      </w:r>
      <w:r>
        <w:rPr>
          <w:color w:val="auto"/>
          <w:highlight w:val="none"/>
        </w:rPr>
        <w:fldChar w:fldCharType="separate"/>
      </w:r>
      <w:r>
        <w:rPr>
          <w:rStyle w:val="32"/>
          <w:rFonts w:asciiTheme="minorEastAsia" w:hAnsiTheme="minorEastAsia" w:eastAsiaTheme="minorEastAsia"/>
          <w:color w:val="auto"/>
          <w:sz w:val="24"/>
          <w:szCs w:val="24"/>
          <w:highlight w:val="none"/>
        </w:rPr>
        <w:t>3.11</w:t>
      </w:r>
      <w:r>
        <w:rPr>
          <w:rStyle w:val="32"/>
          <w:rFonts w:hint="eastAsia" w:asciiTheme="minorEastAsia" w:hAnsiTheme="minorEastAsia" w:eastAsiaTheme="minorEastAsia"/>
          <w:color w:val="auto"/>
          <w:sz w:val="24"/>
          <w:szCs w:val="24"/>
          <w:highlight w:val="none"/>
        </w:rPr>
        <w:t>动态辨识评估</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_Toc104735772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36</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"_Toc104735773" </w:instrText>
      </w:r>
      <w:r>
        <w:rPr>
          <w:color w:val="auto"/>
          <w:highlight w:val="none"/>
        </w:rPr>
        <w:fldChar w:fldCharType="separate"/>
      </w:r>
      <w:r>
        <w:rPr>
          <w:rStyle w:val="32"/>
          <w:rFonts w:asciiTheme="minorEastAsia" w:hAnsiTheme="minorEastAsia" w:eastAsiaTheme="minorEastAsia"/>
          <w:color w:val="auto"/>
          <w:sz w:val="24"/>
          <w:szCs w:val="24"/>
          <w:highlight w:val="none"/>
        </w:rPr>
        <w:t>3.12</w:t>
      </w:r>
      <w:r>
        <w:rPr>
          <w:rStyle w:val="32"/>
          <w:rFonts w:hint="eastAsia" w:asciiTheme="minorEastAsia" w:hAnsiTheme="minorEastAsia" w:eastAsiaTheme="minorEastAsia"/>
          <w:color w:val="auto"/>
          <w:sz w:val="24"/>
          <w:szCs w:val="24"/>
          <w:highlight w:val="none"/>
        </w:rPr>
        <w:t>较大及以上风险管控</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_Toc104735773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38</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19"/>
        <w:tabs>
          <w:tab w:val="right" w:leader="dot" w:pos="8498"/>
        </w:tabs>
        <w:spacing w:line="360" w:lineRule="auto"/>
        <w:rPr>
          <w:rFonts w:asciiTheme="minorEastAsia" w:hAnsiTheme="minorEastAsia" w:eastAsiaTheme="minorEastAsia" w:cstheme="minorBidi"/>
          <w:b w:val="0"/>
          <w:bCs w:val="0"/>
          <w:caps w:val="0"/>
          <w:color w:val="auto"/>
          <w:sz w:val="24"/>
          <w:szCs w:val="24"/>
          <w:highlight w:val="none"/>
        </w:rPr>
      </w:pPr>
      <w:r>
        <w:rPr>
          <w:color w:val="auto"/>
          <w:highlight w:val="none"/>
        </w:rPr>
        <w:fldChar w:fldCharType="begin"/>
      </w:r>
      <w:r>
        <w:rPr>
          <w:color w:val="auto"/>
          <w:highlight w:val="none"/>
        </w:rPr>
        <w:instrText xml:space="preserve"> HYPERLINK \l "_Toc104735774" </w:instrText>
      </w:r>
      <w:r>
        <w:rPr>
          <w:color w:val="auto"/>
          <w:highlight w:val="none"/>
        </w:rPr>
        <w:fldChar w:fldCharType="separate"/>
      </w:r>
      <w:r>
        <w:rPr>
          <w:rStyle w:val="32"/>
          <w:rFonts w:hint="eastAsia" w:cs="Calibri" w:asciiTheme="minorEastAsia" w:hAnsiTheme="minorEastAsia" w:eastAsiaTheme="minorEastAsia"/>
          <w:b w:val="0"/>
          <w:color w:val="auto"/>
          <w:sz w:val="24"/>
          <w:szCs w:val="24"/>
          <w:highlight w:val="none"/>
        </w:rPr>
        <w:t>第四部分</w:t>
      </w:r>
      <w:r>
        <w:rPr>
          <w:rStyle w:val="32"/>
          <w:rFonts w:cs="Calibri" w:asciiTheme="minorEastAsia" w:hAnsiTheme="minorEastAsia" w:eastAsiaTheme="minorEastAsia"/>
          <w:b w:val="0"/>
          <w:color w:val="auto"/>
          <w:sz w:val="24"/>
          <w:szCs w:val="24"/>
          <w:highlight w:val="none"/>
        </w:rPr>
        <w:t xml:space="preserve"> </w:t>
      </w:r>
      <w:r>
        <w:rPr>
          <w:rStyle w:val="32"/>
          <w:rFonts w:hint="eastAsia" w:cs="Calibri" w:asciiTheme="minorEastAsia" w:hAnsiTheme="minorEastAsia" w:eastAsiaTheme="minorEastAsia"/>
          <w:b w:val="0"/>
          <w:color w:val="auto"/>
          <w:sz w:val="24"/>
          <w:szCs w:val="24"/>
          <w:highlight w:val="none"/>
        </w:rPr>
        <w:t>隐患排查治理</w:t>
      </w:r>
      <w:r>
        <w:rPr>
          <w:rFonts w:asciiTheme="minorEastAsia" w:hAnsiTheme="minorEastAsia" w:eastAsiaTheme="minorEastAsia"/>
          <w:b w:val="0"/>
          <w:color w:val="auto"/>
          <w:sz w:val="24"/>
          <w:szCs w:val="24"/>
          <w:highlight w:val="none"/>
        </w:rPr>
        <w:tab/>
      </w:r>
      <w:r>
        <w:rPr>
          <w:rFonts w:asciiTheme="minorEastAsia" w:hAnsiTheme="minorEastAsia" w:eastAsiaTheme="minorEastAsia"/>
          <w:b w:val="0"/>
          <w:color w:val="auto"/>
          <w:sz w:val="24"/>
          <w:szCs w:val="24"/>
          <w:highlight w:val="none"/>
        </w:rPr>
        <w:fldChar w:fldCharType="begin"/>
      </w:r>
      <w:r>
        <w:rPr>
          <w:rFonts w:asciiTheme="minorEastAsia" w:hAnsiTheme="minorEastAsia" w:eastAsiaTheme="minorEastAsia"/>
          <w:b w:val="0"/>
          <w:color w:val="auto"/>
          <w:sz w:val="24"/>
          <w:szCs w:val="24"/>
          <w:highlight w:val="none"/>
        </w:rPr>
        <w:instrText xml:space="preserve"> PAGEREF _Toc104735774 \h </w:instrText>
      </w:r>
      <w:r>
        <w:rPr>
          <w:rFonts w:asciiTheme="minorEastAsia" w:hAnsiTheme="minorEastAsia" w:eastAsiaTheme="minorEastAsia"/>
          <w:b w:val="0"/>
          <w:color w:val="auto"/>
          <w:sz w:val="24"/>
          <w:szCs w:val="24"/>
          <w:highlight w:val="none"/>
        </w:rPr>
        <w:fldChar w:fldCharType="separate"/>
      </w:r>
      <w:r>
        <w:rPr>
          <w:rFonts w:asciiTheme="minorEastAsia" w:hAnsiTheme="minorEastAsia" w:eastAsiaTheme="minorEastAsia"/>
          <w:b w:val="0"/>
          <w:color w:val="auto"/>
          <w:sz w:val="24"/>
          <w:szCs w:val="24"/>
          <w:highlight w:val="none"/>
        </w:rPr>
        <w:t>46</w:t>
      </w:r>
      <w:r>
        <w:rPr>
          <w:rFonts w:asciiTheme="minorEastAsia" w:hAnsiTheme="minorEastAsia" w:eastAsiaTheme="minorEastAsia"/>
          <w:b w:val="0"/>
          <w:color w:val="auto"/>
          <w:sz w:val="24"/>
          <w:szCs w:val="24"/>
          <w:highlight w:val="none"/>
        </w:rPr>
        <w:fldChar w:fldCharType="end"/>
      </w:r>
      <w:r>
        <w:rPr>
          <w:rFonts w:asciiTheme="minorEastAsia" w:hAnsiTheme="minorEastAsia" w:eastAsiaTheme="minorEastAsia"/>
          <w:b w:val="0"/>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"_Toc104735775"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4.1</w:t>
      </w:r>
      <w:r>
        <w:rPr>
          <w:rStyle w:val="32"/>
          <w:rFonts w:hint="eastAsia" w:cs="Calibri" w:asciiTheme="minorEastAsia" w:hAnsiTheme="minorEastAsia" w:eastAsiaTheme="minorEastAsia"/>
          <w:color w:val="auto"/>
          <w:sz w:val="24"/>
          <w:szCs w:val="24"/>
          <w:highlight w:val="none"/>
        </w:rPr>
        <w:t>术语和定义</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_Toc104735775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46</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"_Toc104735776"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4.2</w:t>
      </w:r>
      <w:r>
        <w:rPr>
          <w:rStyle w:val="32"/>
          <w:rFonts w:hint="eastAsia" w:cs="Calibri" w:asciiTheme="minorEastAsia" w:hAnsiTheme="minorEastAsia" w:eastAsiaTheme="minorEastAsia"/>
          <w:color w:val="auto"/>
          <w:sz w:val="24"/>
          <w:szCs w:val="24"/>
          <w:highlight w:val="none"/>
        </w:rPr>
        <w:t>隐患排查治理职责</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_Toc104735776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47</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"_Toc104735777"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4.3</w:t>
      </w:r>
      <w:r>
        <w:rPr>
          <w:rStyle w:val="32"/>
          <w:rFonts w:hint="eastAsia" w:cs="Calibri" w:asciiTheme="minorEastAsia" w:hAnsiTheme="minorEastAsia" w:eastAsiaTheme="minorEastAsia"/>
          <w:color w:val="auto"/>
          <w:sz w:val="24"/>
          <w:szCs w:val="24"/>
          <w:highlight w:val="none"/>
        </w:rPr>
        <w:t>隐患分类</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_Toc104735777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52</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"_Toc104735778"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4.4</w:t>
      </w:r>
      <w:r>
        <w:rPr>
          <w:rStyle w:val="32"/>
          <w:rFonts w:hint="eastAsia" w:cs="Calibri" w:asciiTheme="minorEastAsia" w:hAnsiTheme="minorEastAsia" w:eastAsiaTheme="minorEastAsia"/>
          <w:color w:val="auto"/>
          <w:sz w:val="24"/>
          <w:szCs w:val="24"/>
          <w:highlight w:val="none"/>
        </w:rPr>
        <w:t>隐患分级</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_Toc104735778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54</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"_Toc104735779"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4.5</w:t>
      </w:r>
      <w:r>
        <w:rPr>
          <w:rStyle w:val="32"/>
          <w:rFonts w:hint="eastAsia" w:cs="Calibri" w:asciiTheme="minorEastAsia" w:hAnsiTheme="minorEastAsia" w:eastAsiaTheme="minorEastAsia"/>
          <w:color w:val="auto"/>
          <w:sz w:val="24"/>
          <w:szCs w:val="24"/>
          <w:highlight w:val="none"/>
        </w:rPr>
        <w:t>隐患排查治理程序</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_Toc104735779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55</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"_Toc104735780"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4.6</w:t>
      </w:r>
      <w:r>
        <w:rPr>
          <w:rStyle w:val="32"/>
          <w:rFonts w:hint="eastAsia" w:cs="Calibri" w:asciiTheme="minorEastAsia" w:hAnsiTheme="minorEastAsia" w:eastAsiaTheme="minorEastAsia"/>
          <w:color w:val="auto"/>
          <w:sz w:val="24"/>
          <w:szCs w:val="24"/>
          <w:highlight w:val="none"/>
        </w:rPr>
        <w:t>隐患统计、分析与公示</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_Toc104735780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66</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23"/>
        <w:tabs>
          <w:tab w:val="right" w:leader="dot" w:pos="8498"/>
        </w:tabs>
        <w:spacing w:line="360" w:lineRule="auto"/>
        <w:rPr>
          <w:rFonts w:asciiTheme="minorEastAsia" w:hAnsiTheme="minorEastAsia" w:eastAsiaTheme="minorEastAsia" w:cstheme="minorBidi"/>
          <w:smallCaps w:val="0"/>
          <w:color w:val="auto"/>
          <w:sz w:val="24"/>
          <w:szCs w:val="24"/>
          <w:highlight w:val="none"/>
        </w:rPr>
      </w:pPr>
      <w:r>
        <w:rPr>
          <w:color w:val="auto"/>
          <w:highlight w:val="none"/>
        </w:rPr>
        <w:fldChar w:fldCharType="begin"/>
      </w:r>
      <w:r>
        <w:rPr>
          <w:color w:val="auto"/>
          <w:highlight w:val="none"/>
        </w:rPr>
        <w:instrText xml:space="preserve"> HYPERLINK \l "_Toc104735781" </w:instrText>
      </w:r>
      <w:r>
        <w:rPr>
          <w:color w:val="auto"/>
          <w:highlight w:val="none"/>
        </w:rPr>
        <w:fldChar w:fldCharType="separate"/>
      </w:r>
      <w:r>
        <w:rPr>
          <w:rStyle w:val="32"/>
          <w:rFonts w:cs="Calibri" w:asciiTheme="minorEastAsia" w:hAnsiTheme="minorEastAsia" w:eastAsiaTheme="minorEastAsia"/>
          <w:color w:val="auto"/>
          <w:sz w:val="24"/>
          <w:szCs w:val="24"/>
          <w:highlight w:val="none"/>
        </w:rPr>
        <w:t>4.7</w:t>
      </w:r>
      <w:r>
        <w:rPr>
          <w:rStyle w:val="32"/>
          <w:rFonts w:hint="eastAsia" w:cs="Calibri" w:asciiTheme="minorEastAsia" w:hAnsiTheme="minorEastAsia" w:eastAsiaTheme="minorEastAsia"/>
          <w:color w:val="auto"/>
          <w:sz w:val="24"/>
          <w:szCs w:val="24"/>
          <w:highlight w:val="none"/>
        </w:rPr>
        <w:t>持续改进</w:t>
      </w:r>
      <w:r>
        <w:rPr>
          <w:rFonts w:asciiTheme="minorEastAsia" w:hAnsiTheme="minorEastAsia" w:eastAsiaTheme="minorEastAsia"/>
          <w:color w:val="auto"/>
          <w:sz w:val="24"/>
          <w:szCs w:val="24"/>
          <w:highlight w:val="none"/>
        </w:rPr>
        <w:tab/>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 PAGEREF _Toc104735781 \h </w:instrText>
      </w:r>
      <w:r>
        <w:rPr>
          <w:rFonts w:asciiTheme="minorEastAsia" w:hAnsiTheme="minorEastAsia" w:eastAsiaTheme="minorEastAsia"/>
          <w:color w:val="auto"/>
          <w:sz w:val="24"/>
          <w:szCs w:val="24"/>
          <w:highlight w:val="none"/>
        </w:rPr>
        <w:fldChar w:fldCharType="separate"/>
      </w:r>
      <w:r>
        <w:rPr>
          <w:rFonts w:asciiTheme="minorEastAsia" w:hAnsiTheme="minorEastAsia" w:eastAsiaTheme="minorEastAsia"/>
          <w:color w:val="auto"/>
          <w:sz w:val="24"/>
          <w:szCs w:val="24"/>
          <w:highlight w:val="none"/>
        </w:rPr>
        <w:t>68</w:t>
      </w:r>
      <w:r>
        <w:rPr>
          <w:rFonts w:asciiTheme="minorEastAsia" w:hAnsiTheme="minorEastAsia" w:eastAsiaTheme="minorEastAsia"/>
          <w:color w:val="auto"/>
          <w:sz w:val="24"/>
          <w:szCs w:val="24"/>
          <w:highlight w:val="none"/>
        </w:rPr>
        <w:fldChar w:fldCharType="end"/>
      </w:r>
      <w:r>
        <w:rPr>
          <w:rFonts w:asciiTheme="minorEastAsia" w:hAnsiTheme="minorEastAsia" w:eastAsiaTheme="minorEastAsia"/>
          <w:color w:val="auto"/>
          <w:sz w:val="24"/>
          <w:szCs w:val="24"/>
          <w:highlight w:val="none"/>
        </w:rPr>
        <w:fldChar w:fldCharType="end"/>
      </w:r>
    </w:p>
    <w:p>
      <w:pPr>
        <w:pStyle w:val="19"/>
        <w:tabs>
          <w:tab w:val="right" w:leader="dot" w:pos="8498"/>
        </w:tabs>
        <w:spacing w:line="360" w:lineRule="auto"/>
        <w:ind w:hanging="11"/>
        <w:rPr>
          <w:rFonts w:asciiTheme="minorEastAsia" w:hAnsiTheme="minorEastAsia" w:eastAsiaTheme="minorEastAsia"/>
          <w:color w:val="auto"/>
          <w:highlight w:val="none"/>
        </w:rPr>
      </w:pPr>
      <w:r>
        <w:rPr>
          <w:rFonts w:asciiTheme="minorEastAsia" w:hAnsiTheme="minorEastAsia" w:eastAsiaTheme="minorEastAsia"/>
          <w:b w:val="0"/>
          <w:color w:val="auto"/>
          <w:sz w:val="24"/>
          <w:szCs w:val="24"/>
          <w:highlight w:val="none"/>
        </w:rPr>
        <w:fldChar w:fldCharType="end"/>
      </w:r>
    </w:p>
    <w:p>
      <w:pPr>
        <w:pStyle w:val="19"/>
        <w:tabs>
          <w:tab w:val="right" w:leader="dot" w:pos="8498"/>
        </w:tabs>
        <w:spacing w:line="480" w:lineRule="exact"/>
        <w:ind w:hanging="11"/>
        <w:rPr>
          <w:rStyle w:val="32"/>
          <w:rFonts w:asciiTheme="minorEastAsia" w:hAnsiTheme="minorEastAsia" w:eastAsiaTheme="minorEastAsia"/>
          <w:b w:val="0"/>
          <w:color w:val="auto"/>
          <w:sz w:val="21"/>
          <w:szCs w:val="21"/>
          <w:highlight w:val="none"/>
          <w:u w:val="none"/>
        </w:rPr>
      </w:pPr>
    </w:p>
    <w:p>
      <w:pPr>
        <w:pStyle w:val="19"/>
        <w:tabs>
          <w:tab w:val="right" w:leader="dot" w:pos="8498"/>
        </w:tabs>
        <w:spacing w:before="0" w:after="0" w:line="440" w:lineRule="exact"/>
        <w:rPr>
          <w:rStyle w:val="32"/>
          <w:rFonts w:asciiTheme="minorEastAsia" w:hAnsiTheme="minorEastAsia" w:eastAsiaTheme="minorEastAsia"/>
          <w:b w:val="0"/>
          <w:color w:val="auto"/>
          <w:sz w:val="24"/>
          <w:szCs w:val="24"/>
          <w:highlight w:val="none"/>
          <w:u w:val="none"/>
        </w:rPr>
        <w:sectPr>
          <w:pgSz w:w="11910" w:h="16840"/>
          <w:pgMar w:top="1361" w:right="1701" w:bottom="1361" w:left="1701" w:header="1021" w:footer="953" w:gutter="0"/>
          <w:pgNumType w:fmt="upperRoman" w:start="1"/>
          <w:cols w:space="720" w:num="1"/>
        </w:sectPr>
      </w:pPr>
    </w:p>
    <w:p>
      <w:pPr>
        <w:widowControl w:val="0"/>
        <w:spacing w:after="0" w:line="360" w:lineRule="auto"/>
        <w:ind w:left="0" w:firstLine="0"/>
        <w:jc w:val="center"/>
        <w:outlineLvl w:val="0"/>
        <w:rPr>
          <w:rFonts w:cs="Calibri" w:asciiTheme="minorEastAsia" w:hAnsiTheme="minorEastAsia" w:eastAsiaTheme="minorEastAsia"/>
          <w:b/>
          <w:color w:val="auto"/>
          <w:sz w:val="22"/>
          <w:szCs w:val="24"/>
          <w:highlight w:val="none"/>
        </w:rPr>
      </w:pPr>
      <w:bookmarkStart w:id="9" w:name="_Toc104735754"/>
      <w:r>
        <w:rPr>
          <w:rFonts w:hint="eastAsia" w:cs="Calibri" w:asciiTheme="minorEastAsia" w:hAnsiTheme="minorEastAsia" w:eastAsiaTheme="minorEastAsia"/>
          <w:b/>
          <w:color w:val="auto"/>
          <w:sz w:val="40"/>
          <w:szCs w:val="24"/>
          <w:highlight w:val="none"/>
        </w:rPr>
        <w:t>第一章 概述</w:t>
      </w:r>
      <w:bookmarkEnd w:id="9"/>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10" w:name="_Toc104735755"/>
      <w:r>
        <w:rPr>
          <w:rFonts w:hint="eastAsia" w:cs="Calibri" w:asciiTheme="minorEastAsia" w:hAnsiTheme="minorEastAsia" w:eastAsiaTheme="minorEastAsia"/>
          <w:b/>
          <w:color w:val="auto"/>
          <w:sz w:val="28"/>
          <w:szCs w:val="24"/>
          <w:highlight w:val="none"/>
        </w:rPr>
        <w:t>1.1目标</w:t>
      </w:r>
      <w:bookmarkEnd w:id="10"/>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为有效提升事故预防工作的科学化、信息化、标准化水平，切实增强安全生产整体防控能力，进一步夯实遏制重特大事故的行业基础，真正实现把风险控制在隐患形成之前，把隐患消灭在事故前面。依据《中华人民共和国安全生产法》、《河北省安全生产条例》、《</w:t>
      </w:r>
      <w:r>
        <w:rPr>
          <w:rFonts w:hint="eastAsia" w:asciiTheme="minorEastAsia" w:hAnsiTheme="minorEastAsia" w:eastAsiaTheme="minorEastAsia"/>
          <w:color w:val="auto"/>
          <w:szCs w:val="24"/>
          <w:highlight w:val="none"/>
        </w:rPr>
        <w:t>河北省安全生产风险管控与隐患治理规定</w:t>
      </w:r>
      <w:r>
        <w:rPr>
          <w:rFonts w:hint="eastAsia" w:cs="Calibri" w:asciiTheme="minorEastAsia" w:hAnsiTheme="minorEastAsia" w:eastAsiaTheme="minorEastAsia"/>
          <w:color w:val="auto"/>
          <w:szCs w:val="24"/>
          <w:highlight w:val="none"/>
        </w:rPr>
        <w:t>》等相关规定，结合中电建冀交高投公司实际，制定本手册。</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通过建立健全安全风险分级管控和隐患排查治理双重预防控制工作机制</w:t>
      </w:r>
      <w:r>
        <w:rPr>
          <w:rFonts w:cs="Calibri" w:asciiTheme="minorEastAsia" w:hAnsiTheme="minorEastAsia" w:eastAsiaTheme="minorEastAsia"/>
          <w:color w:val="auto"/>
          <w:szCs w:val="24"/>
          <w:highlight w:val="none"/>
        </w:rPr>
        <w:t>,落实完善安全风险辨识、评估、分级管控和事故隐患排查、上报、整治、</w:t>
      </w:r>
      <w:r>
        <w:rPr>
          <w:rFonts w:hint="eastAsia" w:cs="Calibri" w:asciiTheme="minorEastAsia" w:hAnsiTheme="minorEastAsia" w:eastAsiaTheme="minorEastAsia"/>
          <w:color w:val="auto"/>
          <w:szCs w:val="24"/>
          <w:highlight w:val="none"/>
        </w:rPr>
        <w:t>销号</w:t>
      </w:r>
      <w:r>
        <w:rPr>
          <w:rFonts w:cs="Calibri" w:asciiTheme="minorEastAsia" w:hAnsiTheme="minorEastAsia" w:eastAsiaTheme="minorEastAsia"/>
          <w:color w:val="auto"/>
          <w:szCs w:val="24"/>
          <w:highlight w:val="none"/>
        </w:rPr>
        <w:t>等各环节的工作责任和管理措施</w:t>
      </w:r>
      <w:r>
        <w:rPr>
          <w:rFonts w:hint="eastAsia" w:cs="Calibri" w:asciiTheme="minorEastAsia" w:hAnsiTheme="minorEastAsia" w:eastAsiaTheme="minorEastAsia"/>
          <w:color w:val="auto"/>
          <w:szCs w:val="24"/>
          <w:highlight w:val="none"/>
        </w:rPr>
        <w:t>。</w:t>
      </w:r>
      <w:r>
        <w:rPr>
          <w:rFonts w:cs="Calibri" w:asciiTheme="minorEastAsia" w:hAnsiTheme="minorEastAsia" w:eastAsiaTheme="minorEastAsia"/>
          <w:color w:val="auto"/>
          <w:szCs w:val="24"/>
          <w:highlight w:val="none"/>
        </w:rPr>
        <w:t>实现</w:t>
      </w:r>
      <w:r>
        <w:rPr>
          <w:rFonts w:hint="eastAsia" w:cs="Calibri" w:asciiTheme="minorEastAsia" w:hAnsiTheme="minorEastAsia" w:eastAsiaTheme="minorEastAsia"/>
          <w:color w:val="auto"/>
          <w:szCs w:val="24"/>
          <w:highlight w:val="none"/>
        </w:rPr>
        <w:t>中电建冀交高投公司</w:t>
      </w:r>
      <w:r>
        <w:rPr>
          <w:rFonts w:cs="Calibri" w:asciiTheme="minorEastAsia" w:hAnsiTheme="minorEastAsia" w:eastAsiaTheme="minorEastAsia"/>
          <w:color w:val="auto"/>
          <w:szCs w:val="24"/>
          <w:highlight w:val="none"/>
        </w:rPr>
        <w:t>安全风险的自辨自控和事故隐患的自查自治,形成规范完备的“双控”体系与协调联动运行机制。</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11" w:name="_Toc104735756"/>
      <w:r>
        <w:rPr>
          <w:rFonts w:hint="eastAsia" w:cs="Calibri" w:asciiTheme="minorEastAsia" w:hAnsiTheme="minorEastAsia" w:eastAsiaTheme="minorEastAsia"/>
          <w:b/>
          <w:color w:val="auto"/>
          <w:sz w:val="28"/>
          <w:szCs w:val="24"/>
          <w:highlight w:val="none"/>
        </w:rPr>
        <w:t>1.2依据</w:t>
      </w:r>
      <w:bookmarkEnd w:id="11"/>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w:t>
      </w:r>
      <w:r>
        <w:rPr>
          <w:rFonts w:cs="Calibri" w:asciiTheme="minorEastAsia" w:hAnsiTheme="minorEastAsia" w:eastAsiaTheme="minorEastAsia"/>
          <w:color w:val="auto"/>
          <w:szCs w:val="24"/>
          <w:highlight w:val="none"/>
        </w:rPr>
        <w:t>《中华人民共和国安全生产法》</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（2）</w:t>
      </w:r>
      <w:r>
        <w:rPr>
          <w:rFonts w:cs="Calibri" w:asciiTheme="minorEastAsia" w:hAnsiTheme="minorEastAsia" w:eastAsiaTheme="minorEastAsia"/>
          <w:color w:val="auto"/>
          <w:szCs w:val="24"/>
          <w:highlight w:val="none"/>
        </w:rPr>
        <w:t>《河北省安全生产条例》</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（3）</w:t>
      </w:r>
      <w:r>
        <w:rPr>
          <w:rFonts w:cs="Calibri" w:asciiTheme="minorEastAsia" w:hAnsiTheme="minorEastAsia" w:eastAsiaTheme="minorEastAsia"/>
          <w:color w:val="auto"/>
          <w:szCs w:val="24"/>
          <w:highlight w:val="none"/>
        </w:rPr>
        <w:t>《公路水运工程安全生产监督管理办法》</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（4）</w:t>
      </w:r>
      <w:r>
        <w:rPr>
          <w:rFonts w:cs="Calibri" w:asciiTheme="minorEastAsia" w:hAnsiTheme="minorEastAsia" w:eastAsiaTheme="minorEastAsia"/>
          <w:color w:val="auto"/>
          <w:szCs w:val="24"/>
          <w:highlight w:val="none"/>
        </w:rPr>
        <w:t>《公路水路行业安全生产风险管理暂行办法》</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（5）</w:t>
      </w:r>
      <w:r>
        <w:rPr>
          <w:rFonts w:cs="Calibri" w:asciiTheme="minorEastAsia" w:hAnsiTheme="minorEastAsia" w:eastAsiaTheme="minorEastAsia"/>
          <w:color w:val="auto"/>
          <w:szCs w:val="24"/>
          <w:highlight w:val="none"/>
        </w:rPr>
        <w:t>《公路水路行业安全生产事故隐患治理暂行办法》</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（6）</w:t>
      </w:r>
      <w:r>
        <w:rPr>
          <w:rFonts w:cs="Calibri" w:asciiTheme="minorEastAsia" w:hAnsiTheme="minorEastAsia" w:eastAsiaTheme="minorEastAsia"/>
          <w:color w:val="auto"/>
          <w:szCs w:val="24"/>
          <w:highlight w:val="none"/>
        </w:rPr>
        <w:t>《安全生产事故隐患排查治理暂行规定》</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（7）</w:t>
      </w:r>
      <w:r>
        <w:rPr>
          <w:rFonts w:cs="Calibri" w:asciiTheme="minorEastAsia" w:hAnsiTheme="minorEastAsia" w:eastAsiaTheme="minorEastAsia"/>
          <w:color w:val="auto"/>
          <w:szCs w:val="24"/>
          <w:highlight w:val="none"/>
        </w:rPr>
        <w:t>《河北省安全生产风险管控与隐患治理规定》</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（8）</w:t>
      </w:r>
      <w:r>
        <w:rPr>
          <w:rFonts w:cs="Calibri" w:asciiTheme="minorEastAsia" w:hAnsiTheme="minorEastAsia" w:eastAsiaTheme="minorEastAsia"/>
          <w:color w:val="auto"/>
          <w:szCs w:val="24"/>
          <w:highlight w:val="none"/>
        </w:rPr>
        <w:t>《河北省交通运输安全生产风险管理实施办法（试行）》</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（9）</w:t>
      </w:r>
      <w:r>
        <w:rPr>
          <w:rFonts w:cs="Calibri" w:asciiTheme="minorEastAsia" w:hAnsiTheme="minorEastAsia" w:eastAsiaTheme="minorEastAsia"/>
          <w:color w:val="auto"/>
          <w:szCs w:val="24"/>
          <w:highlight w:val="none"/>
        </w:rPr>
        <w:t>《河北省交通运输安全生产隐患治理实施办法（试行）》</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（10）</w:t>
      </w:r>
      <w:r>
        <w:rPr>
          <w:rFonts w:cs="Calibri" w:asciiTheme="minorEastAsia" w:hAnsiTheme="minorEastAsia" w:eastAsiaTheme="minorEastAsia"/>
          <w:color w:val="auto"/>
          <w:szCs w:val="24"/>
          <w:highlight w:val="none"/>
        </w:rPr>
        <w:t>《企业职工伤亡事故分类》 （GB 6441-1986）</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（11）</w:t>
      </w:r>
      <w:r>
        <w:rPr>
          <w:rFonts w:cs="Calibri" w:asciiTheme="minorEastAsia" w:hAnsiTheme="minorEastAsia" w:eastAsiaTheme="minorEastAsia"/>
          <w:color w:val="auto"/>
          <w:szCs w:val="24"/>
          <w:highlight w:val="none"/>
        </w:rPr>
        <w:t>《公路水路行业安全生产风险辨识评估管控基本规范（试行）》</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（12）《河北省公路运营安全生产风险辨识</w:t>
      </w:r>
      <w:r>
        <w:rPr>
          <w:rFonts w:cs="Calibri" w:asciiTheme="minorEastAsia" w:hAnsiTheme="minorEastAsia" w:eastAsiaTheme="minorEastAsia"/>
          <w:color w:val="auto"/>
          <w:szCs w:val="24"/>
          <w:highlight w:val="none"/>
        </w:rPr>
        <w:t xml:space="preserve"> 评估标准及管控措施(试行)</w:t>
      </w:r>
      <w:r>
        <w:rPr>
          <w:rFonts w:hint="eastAsia" w:cs="Calibri" w:asciiTheme="minorEastAsia" w:hAnsiTheme="minorEastAsia" w:eastAsiaTheme="minorEastAsia"/>
          <w:color w:val="auto"/>
          <w:szCs w:val="24"/>
          <w:highlight w:val="none"/>
        </w:rPr>
        <w:t xml:space="preserve"> 》</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（13）</w:t>
      </w:r>
      <w:r>
        <w:rPr>
          <w:rFonts w:cs="Calibri" w:asciiTheme="minorEastAsia" w:hAnsiTheme="minorEastAsia" w:eastAsiaTheme="minorEastAsia"/>
          <w:color w:val="auto"/>
          <w:szCs w:val="24"/>
          <w:highlight w:val="none"/>
        </w:rPr>
        <w:t>《危险化学品重大危险源辨识》（GB 18218-2018）</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（14）</w:t>
      </w:r>
      <w:r>
        <w:rPr>
          <w:rFonts w:cs="Calibri" w:asciiTheme="minorEastAsia" w:hAnsiTheme="minorEastAsia" w:eastAsiaTheme="minorEastAsia"/>
          <w:color w:val="auto"/>
          <w:szCs w:val="24"/>
          <w:highlight w:val="none"/>
        </w:rPr>
        <w:t>《生产过程危险和有害因素分类与代码》（GB/T 13861-2009）</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（15）</w:t>
      </w:r>
      <w:r>
        <w:rPr>
          <w:rFonts w:cs="Calibri" w:asciiTheme="minorEastAsia" w:hAnsiTheme="minorEastAsia" w:eastAsiaTheme="minorEastAsia"/>
          <w:color w:val="auto"/>
          <w:szCs w:val="24"/>
          <w:highlight w:val="none"/>
        </w:rPr>
        <w:t>《风险管理原则和实施指南》（GB/T 24353-2009）</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（16）《省交通运输厅安监办关于贯彻落实重点领域安全风险辨识管控措施标准的通知》（冀交安监办函〔</w:t>
      </w:r>
      <w:r>
        <w:rPr>
          <w:rFonts w:cs="Calibri" w:asciiTheme="minorEastAsia" w:hAnsiTheme="minorEastAsia" w:eastAsiaTheme="minorEastAsia"/>
          <w:color w:val="auto"/>
          <w:szCs w:val="24"/>
          <w:highlight w:val="none"/>
        </w:rPr>
        <w:t>2018〕54号）</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（17）《河北交通投资集团公司关于印发</w:t>
      </w:r>
      <w:r>
        <w:rPr>
          <w:rFonts w:cs="Calibri" w:asciiTheme="minorEastAsia" w:hAnsiTheme="minorEastAsia" w:eastAsiaTheme="minorEastAsia"/>
          <w:color w:val="auto"/>
          <w:szCs w:val="24"/>
          <w:highlight w:val="none"/>
        </w:rPr>
        <w:t>&lt;深入推进安全风险分级管控和隐患排查治理双重预防机制建设工作实施方案&gt;的通知》（冀交投基〔2019〕599号）</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12" w:name="_Toc104735757"/>
      <w:r>
        <w:rPr>
          <w:rFonts w:hint="eastAsia" w:cs="Calibri" w:asciiTheme="minorEastAsia" w:hAnsiTheme="minorEastAsia" w:eastAsiaTheme="minorEastAsia"/>
          <w:b/>
          <w:color w:val="auto"/>
          <w:sz w:val="28"/>
          <w:szCs w:val="24"/>
          <w:highlight w:val="none"/>
        </w:rPr>
        <w:t>1.3原则</w:t>
      </w:r>
      <w:bookmarkEnd w:id="12"/>
    </w:p>
    <w:p>
      <w:pPr>
        <w:widowControl w:val="0"/>
        <w:spacing w:beforeLines="50" w:afterLines="50" w:line="560" w:lineRule="exact"/>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1.</w:t>
      </w:r>
      <w:r>
        <w:rPr>
          <w:rFonts w:cs="Calibri" w:asciiTheme="minorEastAsia" w:hAnsiTheme="minorEastAsia" w:eastAsiaTheme="minorEastAsia"/>
          <w:b/>
          <w:color w:val="auto"/>
          <w:szCs w:val="24"/>
          <w:highlight w:val="none"/>
        </w:rPr>
        <w:t>3.1主体责任原则</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中电建冀交高投公司是双控组织实施落实的责任主体</w:t>
      </w:r>
      <w:r>
        <w:rPr>
          <w:rFonts w:cs="Calibri" w:asciiTheme="minorEastAsia" w:hAnsiTheme="minorEastAsia" w:eastAsiaTheme="minorEastAsia"/>
          <w:color w:val="auto"/>
          <w:szCs w:val="24"/>
          <w:highlight w:val="none"/>
        </w:rPr>
        <w:t>,</w:t>
      </w:r>
      <w:r>
        <w:rPr>
          <w:rFonts w:hint="eastAsia" w:cs="Calibri" w:asciiTheme="minorEastAsia" w:hAnsiTheme="minorEastAsia" w:eastAsiaTheme="minorEastAsia"/>
          <w:color w:val="auto"/>
          <w:szCs w:val="24"/>
          <w:highlight w:val="none"/>
        </w:rPr>
        <w:t>各部室、各站区</w:t>
      </w:r>
      <w:r>
        <w:rPr>
          <w:rFonts w:cs="Calibri" w:asciiTheme="minorEastAsia" w:hAnsiTheme="minorEastAsia" w:eastAsiaTheme="minorEastAsia"/>
          <w:color w:val="auto"/>
          <w:szCs w:val="24"/>
          <w:highlight w:val="none"/>
        </w:rPr>
        <w:t>按照职责分工，切实履行双控体系建设</w:t>
      </w:r>
      <w:r>
        <w:rPr>
          <w:rFonts w:hint="eastAsia" w:cs="Calibri" w:asciiTheme="minorEastAsia" w:hAnsiTheme="minorEastAsia" w:eastAsiaTheme="minorEastAsia"/>
          <w:color w:val="auto"/>
          <w:szCs w:val="24"/>
          <w:highlight w:val="none"/>
        </w:rPr>
        <w:t>、</w:t>
      </w:r>
      <w:r>
        <w:rPr>
          <w:rFonts w:cs="Calibri" w:asciiTheme="minorEastAsia" w:hAnsiTheme="minorEastAsia" w:eastAsiaTheme="minorEastAsia"/>
          <w:color w:val="auto"/>
          <w:szCs w:val="24"/>
          <w:highlight w:val="none"/>
        </w:rPr>
        <w:t>实施和监督管理责任。</w:t>
      </w:r>
    </w:p>
    <w:p>
      <w:pPr>
        <w:widowControl w:val="0"/>
        <w:spacing w:beforeLines="50" w:afterLines="50" w:line="560" w:lineRule="exact"/>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1.</w:t>
      </w:r>
      <w:r>
        <w:rPr>
          <w:rFonts w:cs="Calibri" w:asciiTheme="minorEastAsia" w:hAnsiTheme="minorEastAsia" w:eastAsiaTheme="minorEastAsia"/>
          <w:b/>
          <w:color w:val="auto"/>
          <w:szCs w:val="24"/>
          <w:highlight w:val="none"/>
        </w:rPr>
        <w:t>3.2分级分类原则</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根据对安全风险辨识评估和事故隐患排查情况</w:t>
      </w:r>
      <w:r>
        <w:rPr>
          <w:rFonts w:cs="Calibri" w:asciiTheme="minorEastAsia" w:hAnsiTheme="minorEastAsia" w:eastAsiaTheme="minorEastAsia"/>
          <w:color w:val="auto"/>
          <w:szCs w:val="24"/>
          <w:highlight w:val="none"/>
        </w:rPr>
        <w:t>,以及风险防控和隐患整治的难易程度与可能造成的危害损失,将安全风险与事故隐患进行合理的分类分级划分，实行差别化</w:t>
      </w:r>
      <w:r>
        <w:rPr>
          <w:rFonts w:hint="eastAsia" w:cs="Calibri" w:asciiTheme="minorEastAsia" w:hAnsiTheme="minorEastAsia" w:eastAsiaTheme="minorEastAsia"/>
          <w:color w:val="auto"/>
          <w:szCs w:val="24"/>
          <w:highlight w:val="none"/>
        </w:rPr>
        <w:t>管控</w:t>
      </w:r>
      <w:r>
        <w:rPr>
          <w:rFonts w:cs="Calibri" w:asciiTheme="minorEastAsia" w:hAnsiTheme="minorEastAsia" w:eastAsiaTheme="minorEastAsia"/>
          <w:color w:val="auto"/>
          <w:szCs w:val="24"/>
          <w:highlight w:val="none"/>
        </w:rPr>
        <w:t>、防范和治理。</w:t>
      </w:r>
    </w:p>
    <w:p>
      <w:pPr>
        <w:widowControl w:val="0"/>
        <w:spacing w:beforeLines="50" w:afterLines="50" w:line="560" w:lineRule="exact"/>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1.</w:t>
      </w:r>
      <w:r>
        <w:rPr>
          <w:rFonts w:cs="Calibri" w:asciiTheme="minorEastAsia" w:hAnsiTheme="minorEastAsia" w:eastAsiaTheme="minorEastAsia"/>
          <w:b/>
          <w:color w:val="auto"/>
          <w:szCs w:val="24"/>
          <w:highlight w:val="none"/>
        </w:rPr>
        <w:t>3.3协调联动原则</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安全风险分级管控和隐患排查治理相互联系、相互补充、相互支撑、相互促进</w:t>
      </w:r>
      <w:r>
        <w:rPr>
          <w:rFonts w:cs="Calibri" w:asciiTheme="minorEastAsia" w:hAnsiTheme="minorEastAsia" w:eastAsiaTheme="minorEastAsia"/>
          <w:color w:val="auto"/>
          <w:szCs w:val="24"/>
          <w:highlight w:val="none"/>
        </w:rPr>
        <w:t>,把两者作为防范和遏制事故发生的有机统一体,做到同安排、同部署、同落实,实现一体化推进和提升。</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13" w:name="_Toc104735758"/>
      <w:r>
        <w:rPr>
          <w:rFonts w:hint="eastAsia" w:cs="Calibri" w:asciiTheme="minorEastAsia" w:hAnsiTheme="minorEastAsia" w:eastAsiaTheme="minorEastAsia"/>
          <w:b/>
          <w:color w:val="auto"/>
          <w:sz w:val="28"/>
          <w:szCs w:val="24"/>
          <w:highlight w:val="none"/>
        </w:rPr>
        <w:t>1.4范围</w:t>
      </w:r>
      <w:bookmarkEnd w:id="13"/>
    </w:p>
    <w:p>
      <w:pPr>
        <w:widowControl w:val="0"/>
        <w:spacing w:after="0" w:line="560" w:lineRule="exact"/>
        <w:ind w:left="0"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本手册</w:t>
      </w:r>
      <w:r>
        <w:rPr>
          <w:rFonts w:cs="宋体" w:asciiTheme="minorEastAsia" w:hAnsiTheme="minorEastAsia" w:eastAsiaTheme="minorEastAsia"/>
          <w:color w:val="auto"/>
          <w:szCs w:val="24"/>
          <w:highlight w:val="none"/>
        </w:rPr>
        <w:t>适应于</w:t>
      </w:r>
      <w:r>
        <w:rPr>
          <w:rFonts w:hint="eastAsia" w:cs="宋体" w:asciiTheme="minorEastAsia" w:hAnsiTheme="minorEastAsia" w:eastAsiaTheme="minorEastAsia"/>
          <w:color w:val="auto"/>
          <w:szCs w:val="24"/>
          <w:highlight w:val="none"/>
        </w:rPr>
        <w:t>中电建冀交高速公路投资发展有限公司内部风险管理与隐患排查治理，各相关单位应参照执行。</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14" w:name="_Toc104735759"/>
      <w:r>
        <w:rPr>
          <w:rFonts w:hint="eastAsia" w:cs="Calibri" w:asciiTheme="minorEastAsia" w:hAnsiTheme="minorEastAsia" w:eastAsiaTheme="minorEastAsia"/>
          <w:b/>
          <w:color w:val="auto"/>
          <w:sz w:val="28"/>
          <w:szCs w:val="24"/>
          <w:highlight w:val="none"/>
        </w:rPr>
        <w:t>1.5领导小组</w:t>
      </w:r>
      <w:bookmarkEnd w:id="14"/>
    </w:p>
    <w:p>
      <w:pPr>
        <w:widowControl w:val="0"/>
        <w:spacing w:after="0" w:line="560" w:lineRule="exact"/>
        <w:ind w:left="0"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按照《省交通运输厅安监办关于贯彻落实重点领域安全风险辨识管控措施标准的通知》（冀交安监办函〔</w:t>
      </w:r>
      <w:r>
        <w:rPr>
          <w:rFonts w:cs="宋体" w:asciiTheme="minorEastAsia" w:hAnsiTheme="minorEastAsia" w:eastAsiaTheme="minorEastAsia"/>
          <w:color w:val="auto"/>
          <w:szCs w:val="24"/>
          <w:highlight w:val="none"/>
        </w:rPr>
        <w:t>2018〕54号）</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《河北交通投资集团公司关于印发&lt;深入推进安全风险分级管控和隐患排查治理双重预防机制建设工作实施方案&gt;的通知》（冀交投基〔2019〕599号）</w:t>
      </w:r>
      <w:r>
        <w:rPr>
          <w:rFonts w:hint="eastAsia" w:cs="宋体" w:asciiTheme="minorEastAsia" w:hAnsiTheme="minorEastAsia" w:eastAsiaTheme="minorEastAsia"/>
          <w:color w:val="auto"/>
          <w:szCs w:val="24"/>
          <w:highlight w:val="none"/>
        </w:rPr>
        <w:t>，中电建冀交高投公司成立风险分级管控与隐患排查治理领导小组：</w:t>
      </w:r>
    </w:p>
    <w:p>
      <w:pPr>
        <w:widowControl w:val="0"/>
        <w:spacing w:after="0" w:line="560" w:lineRule="exact"/>
        <w:ind w:left="0" w:firstLine="480" w:firstLineChars="200"/>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组</w:t>
      </w:r>
      <w:r>
        <w:rPr>
          <w:rFonts w:hint="eastAsia" w:cs="宋体" w:asciiTheme="minorEastAsia" w:hAnsiTheme="minorEastAsia" w:eastAsiaTheme="minorEastAsia"/>
          <w:color w:val="auto"/>
          <w:szCs w:val="24"/>
          <w:highlight w:val="none"/>
          <w:lang w:val="en-US" w:eastAsia="zh-CN"/>
        </w:rPr>
        <w:t xml:space="preserve">  </w:t>
      </w:r>
      <w:r>
        <w:rPr>
          <w:rFonts w:hint="eastAsia" w:cs="宋体" w:asciiTheme="minorEastAsia" w:hAnsiTheme="minorEastAsia" w:eastAsiaTheme="minorEastAsia"/>
          <w:color w:val="auto"/>
          <w:szCs w:val="24"/>
          <w:highlight w:val="none"/>
          <w:lang w:eastAsia="zh-CN"/>
        </w:rPr>
        <w:t>长：公司董事长</w:t>
      </w:r>
    </w:p>
    <w:p>
      <w:pPr>
        <w:widowControl w:val="0"/>
        <w:spacing w:after="0" w:line="560" w:lineRule="exact"/>
        <w:ind w:left="0" w:firstLine="1440" w:firstLineChars="600"/>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公司党委书记、总经理</w:t>
      </w:r>
    </w:p>
    <w:p>
      <w:pPr>
        <w:widowControl w:val="0"/>
        <w:spacing w:after="0" w:line="560" w:lineRule="exact"/>
        <w:ind w:left="0" w:firstLine="480" w:firstLineChars="200"/>
        <w:rPr>
          <w:rFonts w:hint="eastAsia"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color w:val="auto"/>
          <w:szCs w:val="24"/>
          <w:highlight w:val="none"/>
          <w:lang w:eastAsia="zh-CN"/>
        </w:rPr>
        <w:t>副组长：</w:t>
      </w:r>
      <w:r>
        <w:rPr>
          <w:rFonts w:hint="eastAsia" w:cs="宋体" w:asciiTheme="minorEastAsia" w:hAnsiTheme="minorEastAsia" w:eastAsiaTheme="minorEastAsia"/>
          <w:color w:val="auto"/>
          <w:szCs w:val="24"/>
          <w:highlight w:val="none"/>
          <w:lang w:val="en-US" w:eastAsia="zh-CN"/>
        </w:rPr>
        <w:t>公司副总经理、总工程师、总会计师、纪委书记</w:t>
      </w:r>
    </w:p>
    <w:p>
      <w:pPr>
        <w:widowControl w:val="0"/>
        <w:spacing w:after="0" w:line="560" w:lineRule="exact"/>
        <w:ind w:left="0" w:firstLine="480" w:firstLineChars="200"/>
        <w:rPr>
          <w:rFonts w:hint="eastAsia"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color w:val="auto"/>
          <w:szCs w:val="24"/>
          <w:highlight w:val="none"/>
          <w:lang w:val="en-US" w:eastAsia="zh-CN"/>
        </w:rPr>
        <w:t>执行组长：公司安全总监</w:t>
      </w:r>
    </w:p>
    <w:p>
      <w:pPr>
        <w:widowControl w:val="0"/>
        <w:spacing w:after="0" w:line="560" w:lineRule="exact"/>
        <w:ind w:left="0" w:firstLine="480" w:firstLineChars="200"/>
        <w:rPr>
          <w:rFonts w:hint="default"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color w:val="auto"/>
          <w:szCs w:val="24"/>
          <w:highlight w:val="none"/>
          <w:lang w:val="en-US" w:eastAsia="zh-CN"/>
        </w:rPr>
        <w:t>执行副组长：公司工程总监、运营总监</w:t>
      </w:r>
    </w:p>
    <w:p>
      <w:pPr>
        <w:widowControl w:val="0"/>
        <w:spacing w:after="0" w:line="560" w:lineRule="exact"/>
        <w:ind w:left="0" w:firstLine="480" w:firstLineChars="200"/>
        <w:rPr>
          <w:rFonts w:hint="default"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color w:val="auto"/>
          <w:szCs w:val="24"/>
          <w:highlight w:val="none"/>
          <w:lang w:eastAsia="zh-CN"/>
        </w:rPr>
        <w:t>成</w:t>
      </w:r>
      <w:r>
        <w:rPr>
          <w:rFonts w:hint="eastAsia" w:cs="宋体" w:asciiTheme="minorEastAsia" w:hAnsiTheme="minorEastAsia" w:eastAsiaTheme="minorEastAsia"/>
          <w:color w:val="auto"/>
          <w:szCs w:val="24"/>
          <w:highlight w:val="none"/>
          <w:lang w:val="en-US" w:eastAsia="zh-CN"/>
        </w:rPr>
        <w:t xml:space="preserve">  </w:t>
      </w:r>
      <w:r>
        <w:rPr>
          <w:rFonts w:hint="eastAsia" w:cs="宋体" w:asciiTheme="minorEastAsia" w:hAnsiTheme="minorEastAsia" w:eastAsiaTheme="minorEastAsia"/>
          <w:color w:val="auto"/>
          <w:szCs w:val="24"/>
          <w:highlight w:val="none"/>
          <w:lang w:eastAsia="zh-CN"/>
        </w:rPr>
        <w:t>员：各部室主任、各基层单位主要负责人</w:t>
      </w:r>
    </w:p>
    <w:p>
      <w:pPr>
        <w:widowControl w:val="0"/>
        <w:spacing w:after="0" w:line="560" w:lineRule="exact"/>
        <w:ind w:left="0"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领导小组</w:t>
      </w:r>
      <w:r>
        <w:rPr>
          <w:rFonts w:hint="eastAsia" w:cs="宋体" w:asciiTheme="minorEastAsia" w:hAnsiTheme="minorEastAsia" w:eastAsiaTheme="minorEastAsia"/>
          <w:color w:val="auto"/>
          <w:szCs w:val="24"/>
          <w:highlight w:val="none"/>
          <w:lang w:eastAsia="zh-CN"/>
        </w:rPr>
        <w:t>下设</w:t>
      </w:r>
      <w:r>
        <w:rPr>
          <w:rFonts w:hint="eastAsia" w:cs="宋体" w:asciiTheme="minorEastAsia" w:hAnsiTheme="minorEastAsia" w:eastAsiaTheme="minorEastAsia"/>
          <w:color w:val="auto"/>
          <w:szCs w:val="24"/>
          <w:highlight w:val="none"/>
        </w:rPr>
        <w:t>办公室</w:t>
      </w:r>
      <w:r>
        <w:rPr>
          <w:rFonts w:hint="eastAsia" w:cs="宋体" w:asciiTheme="minorEastAsia" w:hAnsiTheme="minorEastAsia" w:eastAsiaTheme="minorEastAsia"/>
          <w:color w:val="auto"/>
          <w:szCs w:val="24"/>
          <w:highlight w:val="none"/>
          <w:lang w:eastAsia="zh-CN"/>
        </w:rPr>
        <w:t>，办公室</w:t>
      </w:r>
      <w:r>
        <w:rPr>
          <w:rFonts w:hint="eastAsia" w:cs="宋体" w:asciiTheme="minorEastAsia" w:hAnsiTheme="minorEastAsia" w:eastAsiaTheme="minorEastAsia"/>
          <w:color w:val="auto"/>
          <w:szCs w:val="24"/>
          <w:highlight w:val="none"/>
        </w:rPr>
        <w:t>设在公司安全管理部，具体负责公司 “双控”机制建设的牵头组织工作。</w:t>
      </w:r>
    </w:p>
    <w:p>
      <w:pPr>
        <w:spacing w:after="0" w:line="240" w:lineRule="auto"/>
        <w:ind w:left="0" w:firstLine="0"/>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br w:type="page"/>
      </w:r>
    </w:p>
    <w:p>
      <w:pPr>
        <w:widowControl w:val="0"/>
        <w:spacing w:after="0" w:line="360" w:lineRule="auto"/>
        <w:ind w:left="0" w:firstLine="0"/>
        <w:jc w:val="center"/>
        <w:outlineLvl w:val="0"/>
        <w:rPr>
          <w:rFonts w:cs="Calibri" w:asciiTheme="minorEastAsia" w:hAnsiTheme="minorEastAsia" w:eastAsiaTheme="minorEastAsia"/>
          <w:b/>
          <w:color w:val="auto"/>
          <w:sz w:val="22"/>
          <w:szCs w:val="24"/>
          <w:highlight w:val="none"/>
        </w:rPr>
      </w:pPr>
      <w:bookmarkStart w:id="15" w:name="_Toc104735760"/>
      <w:r>
        <w:rPr>
          <w:rFonts w:hint="eastAsia" w:cs="Calibri" w:asciiTheme="minorEastAsia" w:hAnsiTheme="minorEastAsia" w:eastAsiaTheme="minorEastAsia"/>
          <w:b/>
          <w:color w:val="auto"/>
          <w:sz w:val="40"/>
          <w:szCs w:val="24"/>
          <w:highlight w:val="none"/>
        </w:rPr>
        <w:t>第二章</w:t>
      </w:r>
      <w:r>
        <w:rPr>
          <w:rFonts w:cs="Calibri" w:asciiTheme="minorEastAsia" w:hAnsiTheme="minorEastAsia" w:eastAsiaTheme="minorEastAsia"/>
          <w:b/>
          <w:color w:val="auto"/>
          <w:sz w:val="40"/>
          <w:szCs w:val="24"/>
          <w:highlight w:val="none"/>
        </w:rPr>
        <w:t xml:space="preserve"> </w:t>
      </w:r>
      <w:r>
        <w:rPr>
          <w:rFonts w:hint="eastAsia" w:cs="Calibri" w:asciiTheme="minorEastAsia" w:hAnsiTheme="minorEastAsia" w:eastAsiaTheme="minorEastAsia"/>
          <w:b/>
          <w:color w:val="auto"/>
          <w:sz w:val="40"/>
          <w:szCs w:val="24"/>
          <w:highlight w:val="none"/>
        </w:rPr>
        <w:t>公司概况</w:t>
      </w:r>
      <w:bookmarkEnd w:id="15"/>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cs="Calibri" w:asciiTheme="minorEastAsia" w:hAnsiTheme="minorEastAsia" w:eastAsiaTheme="minorEastAsia"/>
          <w:color w:val="auto"/>
          <w:szCs w:val="24"/>
          <w:highlight w:val="none"/>
        </w:rPr>
        <w:t xml:space="preserve">  中电建冀交高速公路投资发展有限公司由四家股东共同出资组建，负责河北省太行山等高速公路项目包（二）建设和运营管理工作。其中，政府投资人河北交通投资集团公司占49%,代表实施机构对公司进行直接管理，对建设项目实施日常管理；中电建路桥集团有限公司、中国电力建设股份有限公司、成都华川公路建设集团有限公司组成的联合体占51%。公司项目包括：太行山高速公路邢台段、太行山高速公路邯郸段、天津至石家庄高速公路冀津界至保石界段（以下简称“津石高速公路”）、新乐至元氏高速公路郭村至拐角铺段（以下简称“新元高速公路”）等四段</w:t>
      </w:r>
      <w:r>
        <w:rPr>
          <w:rFonts w:hint="eastAsia" w:cs="Calibri" w:asciiTheme="minorEastAsia" w:hAnsiTheme="minorEastAsia" w:eastAsiaTheme="minorEastAsia"/>
          <w:color w:val="auto"/>
          <w:szCs w:val="24"/>
          <w:highlight w:val="none"/>
        </w:rPr>
        <w:t>，建设总规模</w:t>
      </w:r>
      <w:r>
        <w:rPr>
          <w:rFonts w:cs="Calibri" w:asciiTheme="minorEastAsia" w:hAnsiTheme="minorEastAsia" w:eastAsiaTheme="minorEastAsia"/>
          <w:color w:val="auto"/>
          <w:szCs w:val="24"/>
          <w:highlight w:val="none"/>
        </w:rPr>
        <w:t>345.974公里，总投资约454.67亿元。太行山高速公路邢台段和太行山高速公路邯郸段统称为太行山高速，津石高速公路和新元高速公路统称为非太行山高速。项目基本情况如下：</w:t>
      </w:r>
    </w:p>
    <w:p>
      <w:pPr>
        <w:widowControl w:val="0"/>
        <w:spacing w:after="0" w:line="560" w:lineRule="exact"/>
        <w:ind w:left="0" w:firstLine="482"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b/>
          <w:color w:val="auto"/>
          <w:szCs w:val="24"/>
          <w:highlight w:val="none"/>
        </w:rPr>
        <w:t>（1）太行山高速邢台</w:t>
      </w:r>
      <w:r>
        <w:rPr>
          <w:rFonts w:hint="eastAsia" w:cs="Calibri" w:asciiTheme="minorEastAsia" w:hAnsiTheme="minorEastAsia" w:eastAsiaTheme="minorEastAsia"/>
          <w:color w:val="auto"/>
          <w:szCs w:val="24"/>
          <w:highlight w:val="none"/>
        </w:rPr>
        <w:t>：</w:t>
      </w:r>
      <w:r>
        <w:rPr>
          <w:rFonts w:cs="Calibri" w:asciiTheme="minorEastAsia" w:hAnsiTheme="minorEastAsia" w:eastAsiaTheme="minorEastAsia"/>
          <w:color w:val="auto"/>
          <w:szCs w:val="24"/>
          <w:highlight w:val="none"/>
        </w:rPr>
        <w:t>路线起自石家庄邢台界，与太行山高速平山至赞皇段顺接，向南在沙河市册井乡与武安市矿山镇之间进入邯郸境内，与太行山高速邯郸段顺接。</w:t>
      </w:r>
      <w:r>
        <w:rPr>
          <w:rFonts w:hint="eastAsia" w:cs="Calibri" w:asciiTheme="minorEastAsia" w:hAnsiTheme="minorEastAsia" w:eastAsiaTheme="minorEastAsia"/>
          <w:color w:val="auto"/>
          <w:szCs w:val="24"/>
          <w:highlight w:val="none"/>
        </w:rPr>
        <w:t>太行山高速公路邢台段路线全长</w:t>
      </w:r>
      <w:r>
        <w:rPr>
          <w:rFonts w:cs="Calibri" w:asciiTheme="minorEastAsia" w:hAnsiTheme="minorEastAsia" w:eastAsiaTheme="minorEastAsia"/>
          <w:color w:val="auto"/>
          <w:szCs w:val="24"/>
          <w:highlight w:val="none"/>
        </w:rPr>
        <w:t>83.704公里，项目概算总投资95.054亿元；主线采用双向四车道高速公路标准建设。起点至石城互通设计速度采用100公里/小时，路基宽度采用25米；石城互通至终点设计速度采用80公里/小时，路基宽度采用24.5米。</w:t>
      </w:r>
    </w:p>
    <w:p>
      <w:pPr>
        <w:widowControl w:val="0"/>
        <w:spacing w:after="0" w:line="560" w:lineRule="exact"/>
        <w:ind w:left="0" w:firstLine="482"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b/>
          <w:color w:val="auto"/>
          <w:szCs w:val="24"/>
          <w:highlight w:val="none"/>
        </w:rPr>
        <w:t>2）太行山高速邯郸段</w:t>
      </w:r>
      <w:r>
        <w:rPr>
          <w:rFonts w:hint="eastAsia" w:cs="Calibri" w:asciiTheme="minorEastAsia" w:hAnsiTheme="minorEastAsia" w:eastAsiaTheme="minorEastAsia"/>
          <w:color w:val="auto"/>
          <w:szCs w:val="24"/>
          <w:highlight w:val="none"/>
        </w:rPr>
        <w:t>：</w:t>
      </w:r>
      <w:r>
        <w:rPr>
          <w:rFonts w:cs="Calibri" w:asciiTheme="minorEastAsia" w:hAnsiTheme="minorEastAsia" w:eastAsiaTheme="minorEastAsia"/>
          <w:color w:val="auto"/>
          <w:szCs w:val="24"/>
          <w:highlight w:val="none"/>
        </w:rPr>
        <w:t>路线起自邢台邯郸市界，与太行山高速邢台段顺接，路线向南终于合漳乡邰家口村东的冀豫省界。</w:t>
      </w:r>
      <w:r>
        <w:rPr>
          <w:rFonts w:hint="eastAsia" w:cs="Calibri" w:asciiTheme="minorEastAsia" w:hAnsiTheme="minorEastAsia" w:eastAsiaTheme="minorEastAsia"/>
          <w:color w:val="auto"/>
          <w:szCs w:val="24"/>
          <w:highlight w:val="none"/>
        </w:rPr>
        <w:t>太行山高速公路邯郸段路线全长</w:t>
      </w:r>
      <w:r>
        <w:rPr>
          <w:rFonts w:cs="Calibri" w:asciiTheme="minorEastAsia" w:hAnsiTheme="minorEastAsia" w:eastAsiaTheme="minorEastAsia"/>
          <w:color w:val="auto"/>
          <w:szCs w:val="24"/>
          <w:highlight w:val="none"/>
        </w:rPr>
        <w:t>68.684公里，项目概算总投资为104.861亿元；主线采用双向四车道高速公路标准建设，设计速度80公里/小时，路基宽度采用24.5米。</w:t>
      </w:r>
    </w:p>
    <w:p>
      <w:pPr>
        <w:widowControl w:val="0"/>
        <w:spacing w:after="0" w:line="560" w:lineRule="exact"/>
        <w:ind w:left="0" w:firstLine="482"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b/>
          <w:color w:val="auto"/>
          <w:szCs w:val="24"/>
          <w:highlight w:val="none"/>
        </w:rPr>
        <w:t>3）津石高速</w:t>
      </w:r>
      <w:r>
        <w:rPr>
          <w:rFonts w:hint="eastAsia" w:cs="Calibri" w:asciiTheme="minorEastAsia" w:hAnsiTheme="minorEastAsia" w:eastAsiaTheme="minorEastAsia"/>
          <w:color w:val="auto"/>
          <w:szCs w:val="24"/>
          <w:highlight w:val="none"/>
        </w:rPr>
        <w:t>：路线起自河北省廊坊市大城县与天津市静海县交界处的东辛庄北，经大城县、任丘市、高阳县、蠡县西、博野县、安国县，在跨越大沙河后与津石高速石家庄段相接。天津至石家庄国家高速公路津冀界至保石界段路线全长</w:t>
      </w:r>
      <w:r>
        <w:rPr>
          <w:rFonts w:cs="Calibri" w:asciiTheme="minorEastAsia" w:hAnsiTheme="minorEastAsia" w:eastAsiaTheme="minorEastAsia"/>
          <w:color w:val="auto"/>
          <w:szCs w:val="24"/>
          <w:highlight w:val="none"/>
        </w:rPr>
        <w:t>171.177公里，项目概算总投资239.247亿元；主线采用双向六车道高速公路标准建设，设计速度120公里/小时，路基宽度采用33.5米。</w:t>
      </w:r>
    </w:p>
    <w:p>
      <w:pPr>
        <w:widowControl w:val="0"/>
        <w:spacing w:after="0" w:line="560" w:lineRule="exact"/>
        <w:ind w:left="0" w:firstLine="482"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b/>
          <w:color w:val="auto"/>
          <w:szCs w:val="24"/>
          <w:highlight w:val="none"/>
        </w:rPr>
        <w:t>4）新元高速</w:t>
      </w:r>
      <w:r>
        <w:rPr>
          <w:rFonts w:hint="eastAsia" w:cs="Calibri" w:asciiTheme="minorEastAsia" w:hAnsiTheme="minorEastAsia" w:eastAsiaTheme="minorEastAsia"/>
          <w:color w:val="auto"/>
          <w:szCs w:val="24"/>
          <w:highlight w:val="none"/>
        </w:rPr>
        <w:t>：路线起点位于新乐郭村枢纽互通起点，路线向西南经新乐、石家庄机场、正定高新区至正定县拐角铺村，项目终点位于拐角铺枢纽互通中心。新乐至元氏高速公路郭村至拐角铺段改扩建工程路线全长</w:t>
      </w:r>
      <w:r>
        <w:rPr>
          <w:rFonts w:cs="Calibri" w:asciiTheme="minorEastAsia" w:hAnsiTheme="minorEastAsia" w:eastAsiaTheme="minorEastAsia"/>
          <w:color w:val="auto"/>
          <w:szCs w:val="24"/>
          <w:highlight w:val="none"/>
        </w:rPr>
        <w:t>22.47公里,项目概算总投资15.513亿元；全线由四车道改扩建为六车道高速公路标准，设计速度采用120公里/小时，路基宽度采用34.5米。</w:t>
      </w:r>
    </w:p>
    <w:p>
      <w:pPr>
        <w:widowControl w:val="0"/>
        <w:spacing w:after="0" w:line="560" w:lineRule="exact"/>
        <w:ind w:left="0" w:firstLine="480" w:firstLineChars="200"/>
        <w:rPr>
          <w:rFonts w:cs="宋体" w:asciiTheme="minorEastAsia" w:hAnsiTheme="minorEastAsia" w:eastAsiaTheme="minorEastAsia"/>
          <w:color w:val="auto"/>
          <w:szCs w:val="24"/>
          <w:highlight w:val="none"/>
        </w:rPr>
      </w:pPr>
    </w:p>
    <w:p>
      <w:pPr>
        <w:widowControl w:val="0"/>
        <w:spacing w:after="0" w:line="360" w:lineRule="auto"/>
        <w:ind w:left="0" w:firstLine="0"/>
        <w:jc w:val="center"/>
        <w:outlineLvl w:val="0"/>
        <w:rPr>
          <w:rFonts w:cs="微软雅黑" w:asciiTheme="minorEastAsia" w:hAnsiTheme="minorEastAsia" w:eastAsiaTheme="minorEastAsia"/>
          <w:b/>
          <w:color w:val="auto"/>
          <w:sz w:val="28"/>
          <w:szCs w:val="28"/>
          <w:highlight w:val="none"/>
        </w:rPr>
      </w:pPr>
      <w:r>
        <w:rPr>
          <w:rFonts w:cs="微软雅黑" w:asciiTheme="minorEastAsia" w:hAnsiTheme="minorEastAsia" w:eastAsiaTheme="minorEastAsia"/>
          <w:b/>
          <w:color w:val="auto"/>
          <w:sz w:val="28"/>
          <w:szCs w:val="28"/>
          <w:highlight w:val="none"/>
        </w:rPr>
        <w:br w:type="page"/>
      </w:r>
      <w:bookmarkStart w:id="16" w:name="_Toc2179401"/>
      <w:bookmarkStart w:id="17" w:name="_Toc7522666"/>
    </w:p>
    <w:p>
      <w:pPr>
        <w:widowControl w:val="0"/>
        <w:spacing w:after="0" w:line="360" w:lineRule="auto"/>
        <w:ind w:left="0" w:firstLine="0"/>
        <w:jc w:val="center"/>
        <w:outlineLvl w:val="0"/>
        <w:rPr>
          <w:rFonts w:cs="Calibri" w:asciiTheme="minorEastAsia" w:hAnsiTheme="minorEastAsia" w:eastAsiaTheme="minorEastAsia"/>
          <w:b/>
          <w:color w:val="auto"/>
          <w:sz w:val="22"/>
          <w:szCs w:val="24"/>
          <w:highlight w:val="none"/>
        </w:rPr>
      </w:pPr>
      <w:bookmarkStart w:id="18" w:name="_Toc104735761"/>
      <w:r>
        <w:rPr>
          <w:rFonts w:hint="eastAsia" w:cs="Calibri" w:asciiTheme="minorEastAsia" w:hAnsiTheme="minorEastAsia" w:eastAsiaTheme="minorEastAsia"/>
          <w:b/>
          <w:color w:val="auto"/>
          <w:sz w:val="40"/>
          <w:szCs w:val="24"/>
          <w:highlight w:val="none"/>
        </w:rPr>
        <w:t>第三章</w:t>
      </w:r>
      <w:r>
        <w:rPr>
          <w:rFonts w:cs="Calibri" w:asciiTheme="minorEastAsia" w:hAnsiTheme="minorEastAsia" w:eastAsiaTheme="minorEastAsia"/>
          <w:b/>
          <w:color w:val="auto"/>
          <w:sz w:val="40"/>
          <w:szCs w:val="24"/>
          <w:highlight w:val="none"/>
        </w:rPr>
        <w:t xml:space="preserve"> </w:t>
      </w:r>
      <w:r>
        <w:rPr>
          <w:rFonts w:hint="eastAsia" w:cs="Calibri" w:asciiTheme="minorEastAsia" w:hAnsiTheme="minorEastAsia" w:eastAsiaTheme="minorEastAsia"/>
          <w:b/>
          <w:color w:val="auto"/>
          <w:sz w:val="40"/>
          <w:szCs w:val="24"/>
          <w:highlight w:val="none"/>
        </w:rPr>
        <w:t>安全</w:t>
      </w:r>
      <w:r>
        <w:rPr>
          <w:rFonts w:cs="Calibri" w:asciiTheme="minorEastAsia" w:hAnsiTheme="minorEastAsia" w:eastAsiaTheme="minorEastAsia"/>
          <w:b/>
          <w:color w:val="auto"/>
          <w:sz w:val="40"/>
          <w:szCs w:val="24"/>
          <w:highlight w:val="none"/>
        </w:rPr>
        <w:t>生产风险</w:t>
      </w:r>
      <w:r>
        <w:rPr>
          <w:rFonts w:hint="eastAsia" w:cs="Calibri" w:asciiTheme="minorEastAsia" w:hAnsiTheme="minorEastAsia" w:eastAsiaTheme="minorEastAsia"/>
          <w:b/>
          <w:color w:val="auto"/>
          <w:sz w:val="40"/>
          <w:szCs w:val="24"/>
          <w:highlight w:val="none"/>
        </w:rPr>
        <w:t>分级</w:t>
      </w:r>
      <w:r>
        <w:rPr>
          <w:rFonts w:cs="Calibri" w:asciiTheme="minorEastAsia" w:hAnsiTheme="minorEastAsia" w:eastAsiaTheme="minorEastAsia"/>
          <w:b/>
          <w:color w:val="auto"/>
          <w:sz w:val="40"/>
          <w:szCs w:val="24"/>
          <w:highlight w:val="none"/>
        </w:rPr>
        <w:t>管控</w:t>
      </w:r>
      <w:bookmarkEnd w:id="18"/>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19" w:name="_Toc104735762"/>
      <w:r>
        <w:rPr>
          <w:rFonts w:hint="eastAsia" w:cs="Calibri" w:asciiTheme="minorEastAsia" w:hAnsiTheme="minorEastAsia" w:eastAsiaTheme="minorEastAsia"/>
          <w:b/>
          <w:color w:val="auto"/>
          <w:sz w:val="28"/>
          <w:szCs w:val="24"/>
          <w:highlight w:val="none"/>
        </w:rPr>
        <w:t>3.1术语和定义</w:t>
      </w:r>
      <w:bookmarkEnd w:id="19"/>
    </w:p>
    <w:p>
      <w:pPr>
        <w:widowControl w:val="0"/>
        <w:spacing w:after="0" w:line="560" w:lineRule="exact"/>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3.1.1</w:t>
      </w:r>
      <w:r>
        <w:rPr>
          <w:rFonts w:cs="Calibri" w:asciiTheme="minorEastAsia" w:hAnsiTheme="minorEastAsia" w:eastAsiaTheme="minorEastAsia"/>
          <w:b/>
          <w:color w:val="auto"/>
          <w:szCs w:val="24"/>
          <w:highlight w:val="none"/>
        </w:rPr>
        <w:t>风险</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发生危险事件或危险有害暴露的可能性，与随之引发的人身伤害或健康损害的严重性的组合。</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风险（</w:t>
      </w:r>
      <w:r>
        <w:rPr>
          <w:rFonts w:cs="Calibri" w:asciiTheme="minorEastAsia" w:hAnsiTheme="minorEastAsia" w:eastAsiaTheme="minorEastAsia"/>
          <w:color w:val="auto"/>
          <w:szCs w:val="24"/>
          <w:highlight w:val="none"/>
        </w:rPr>
        <w:t>R）＝可能性（L） ×后果（</w:t>
      </w:r>
      <w:r>
        <w:rPr>
          <w:rFonts w:hint="eastAsia" w:cs="Calibri" w:asciiTheme="minorEastAsia" w:hAnsiTheme="minorEastAsia" w:eastAsiaTheme="minorEastAsia"/>
          <w:color w:val="auto"/>
          <w:szCs w:val="24"/>
          <w:highlight w:val="none"/>
        </w:rPr>
        <w:t>C</w:t>
      </w:r>
      <w:r>
        <w:rPr>
          <w:rFonts w:cs="Calibri" w:asciiTheme="minorEastAsia" w:hAnsiTheme="minorEastAsia" w:eastAsiaTheme="minorEastAsia"/>
          <w:color w:val="auto"/>
          <w:szCs w:val="24"/>
          <w:highlight w:val="none"/>
        </w:rPr>
        <w:t>）。</w:t>
      </w:r>
    </w:p>
    <w:p>
      <w:pPr>
        <w:widowControl w:val="0"/>
        <w:spacing w:after="0" w:line="560" w:lineRule="exact"/>
        <w:ind w:left="0" w:firstLine="482" w:firstLineChars="200"/>
        <w:rPr>
          <w:rFonts w:cs="Calibri" w:asciiTheme="minorEastAsia" w:hAnsiTheme="minorEastAsia" w:eastAsiaTheme="minorEastAsia"/>
          <w:b/>
          <w:color w:val="auto"/>
          <w:szCs w:val="24"/>
          <w:highlight w:val="none"/>
        </w:rPr>
      </w:pPr>
      <w:bookmarkStart w:id="20" w:name="_Toc2179403"/>
      <w:r>
        <w:rPr>
          <w:rFonts w:hint="eastAsia" w:cs="宋体" w:asciiTheme="minorEastAsia" w:hAnsiTheme="minorEastAsia" w:eastAsiaTheme="minorEastAsia"/>
          <w:b/>
          <w:color w:val="auto"/>
          <w:szCs w:val="24"/>
          <w:highlight w:val="none"/>
        </w:rPr>
        <w:t>3.1</w:t>
      </w:r>
      <w:r>
        <w:rPr>
          <w:rFonts w:cs="宋体" w:asciiTheme="minorEastAsia" w:hAnsiTheme="minorEastAsia" w:eastAsiaTheme="minorEastAsia"/>
          <w:b/>
          <w:color w:val="auto"/>
          <w:szCs w:val="24"/>
          <w:highlight w:val="none"/>
        </w:rPr>
        <w:t>.2</w:t>
      </w:r>
      <w:r>
        <w:rPr>
          <w:rFonts w:hint="eastAsia" w:cs="宋体" w:asciiTheme="minorEastAsia" w:hAnsiTheme="minorEastAsia" w:eastAsiaTheme="minorEastAsia"/>
          <w:b/>
          <w:color w:val="auto"/>
          <w:szCs w:val="24"/>
          <w:highlight w:val="none"/>
        </w:rPr>
        <w:t>危险源</w:t>
      </w:r>
      <w:bookmarkEnd w:id="20"/>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可能导致人员伤害和（或）健康损害的根源、状态或行为，或它们的组合。危险源的构成包括：</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（1）根源：具有能量或产生、释放能量的物理实体。</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（2）行为：决策人员、管理人员以及从业人员的决策行为、管理行为以及作业行为。</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（3）状态：包括物的状态和作业环境的状态。</w:t>
      </w:r>
    </w:p>
    <w:p>
      <w:pPr>
        <w:widowControl w:val="0"/>
        <w:spacing w:after="0" w:line="560" w:lineRule="exact"/>
        <w:ind w:left="0" w:firstLine="442" w:firstLineChars="200"/>
        <w:rPr>
          <w:rFonts w:cs="Calibri" w:asciiTheme="minorEastAsia" w:hAnsiTheme="minorEastAsia" w:eastAsiaTheme="minorEastAsia"/>
          <w:b/>
          <w:color w:val="auto"/>
          <w:sz w:val="22"/>
          <w:szCs w:val="24"/>
          <w:highlight w:val="none"/>
        </w:rPr>
      </w:pPr>
      <w:r>
        <w:rPr>
          <w:rFonts w:hint="eastAsia" w:cs="Calibri" w:asciiTheme="minorEastAsia" w:hAnsiTheme="minorEastAsia" w:eastAsiaTheme="minorEastAsia"/>
          <w:b/>
          <w:color w:val="auto"/>
          <w:sz w:val="22"/>
          <w:szCs w:val="24"/>
          <w:highlight w:val="none"/>
        </w:rPr>
        <w:t>注：风险是危险源的属性，危险源是风险的载体。</w:t>
      </w:r>
    </w:p>
    <w:p>
      <w:pPr>
        <w:widowControl w:val="0"/>
        <w:spacing w:after="0" w:line="560" w:lineRule="exact"/>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w:t>
      </w:r>
      <w:r>
        <w:rPr>
          <w:rFonts w:cs="Calibri" w:asciiTheme="minorEastAsia" w:hAnsiTheme="minorEastAsia" w:eastAsiaTheme="minorEastAsia"/>
          <w:b/>
          <w:color w:val="auto"/>
          <w:szCs w:val="24"/>
          <w:highlight w:val="none"/>
        </w:rPr>
        <w:t>1.</w:t>
      </w:r>
      <w:r>
        <w:rPr>
          <w:rFonts w:hint="eastAsia" w:cs="Calibri" w:asciiTheme="minorEastAsia" w:hAnsiTheme="minorEastAsia" w:eastAsiaTheme="minorEastAsia"/>
          <w:b/>
          <w:color w:val="auto"/>
          <w:szCs w:val="24"/>
          <w:highlight w:val="none"/>
        </w:rPr>
        <w:t>3</w:t>
      </w:r>
      <w:r>
        <w:rPr>
          <w:rFonts w:cs="Calibri" w:asciiTheme="minorEastAsia" w:hAnsiTheme="minorEastAsia" w:eastAsiaTheme="minorEastAsia"/>
          <w:b/>
          <w:color w:val="auto"/>
          <w:szCs w:val="24"/>
          <w:highlight w:val="none"/>
        </w:rPr>
        <w:t>致险因素</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促使高速公路运营过程中各类突发事件发生、增大其发生的可能性、扩大其损失程度、增大其不良社会影响的潜在原因或条件，重点关注人、设施设备、环境和管理方面影响高速公路运营安全生产的各项因素,一般包含以下方面：</w:t>
      </w:r>
      <w:r>
        <w:rPr>
          <w:rFonts w:cs="Calibri" w:asciiTheme="minorEastAsia" w:hAnsiTheme="minorEastAsia" w:eastAsiaTheme="minorEastAsia"/>
          <w:color w:val="auto"/>
          <w:szCs w:val="24"/>
          <w:highlight w:val="none"/>
        </w:rPr>
        <w:t xml:space="preserve"> </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（1）从业人员安全意识、安全与应急技能、安全行为或状态；</w:t>
      </w:r>
      <w:r>
        <w:rPr>
          <w:rFonts w:cs="Calibri" w:asciiTheme="minorEastAsia" w:hAnsiTheme="minorEastAsia" w:eastAsiaTheme="minorEastAsia"/>
          <w:color w:val="auto"/>
          <w:szCs w:val="24"/>
          <w:highlight w:val="none"/>
        </w:rPr>
        <w:t xml:space="preserve"> </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（2）生产经营基础设施、运输工具、工作场所等设施设备的安全可靠性；</w:t>
      </w:r>
      <w:r>
        <w:rPr>
          <w:rFonts w:cs="Calibri" w:asciiTheme="minorEastAsia" w:hAnsiTheme="minorEastAsia" w:eastAsiaTheme="minorEastAsia"/>
          <w:color w:val="auto"/>
          <w:szCs w:val="24"/>
          <w:highlight w:val="none"/>
        </w:rPr>
        <w:t xml:space="preserve"> </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（3）影响安全生产外部要素的可知性和应对措施；</w:t>
      </w:r>
      <w:r>
        <w:rPr>
          <w:rFonts w:cs="Calibri" w:asciiTheme="minorEastAsia" w:hAnsiTheme="minorEastAsia" w:eastAsiaTheme="minorEastAsia"/>
          <w:color w:val="auto"/>
          <w:szCs w:val="24"/>
          <w:highlight w:val="none"/>
        </w:rPr>
        <w:t xml:space="preserve"> </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（4）安全生产的管理机构、工作机制及安全生产管理制度合规和完备性。</w:t>
      </w:r>
    </w:p>
    <w:p>
      <w:pPr>
        <w:widowControl w:val="0"/>
        <w:spacing w:after="0" w:line="560" w:lineRule="exact"/>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w:t>
      </w:r>
      <w:r>
        <w:rPr>
          <w:rFonts w:cs="Calibri" w:asciiTheme="minorEastAsia" w:hAnsiTheme="minorEastAsia" w:eastAsiaTheme="minorEastAsia"/>
          <w:b/>
          <w:color w:val="auto"/>
          <w:szCs w:val="24"/>
          <w:highlight w:val="none"/>
        </w:rPr>
        <w:t>1.4风险辨识</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发现、确认和描述风险的过程。</w:t>
      </w:r>
    </w:p>
    <w:p>
      <w:pPr>
        <w:widowControl w:val="0"/>
        <w:spacing w:after="0" w:line="560" w:lineRule="exact"/>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w:t>
      </w:r>
      <w:r>
        <w:rPr>
          <w:rFonts w:cs="Calibri" w:asciiTheme="minorEastAsia" w:hAnsiTheme="minorEastAsia" w:eastAsiaTheme="minorEastAsia"/>
          <w:b/>
          <w:color w:val="auto"/>
          <w:szCs w:val="24"/>
          <w:highlight w:val="none"/>
        </w:rPr>
        <w:t>1.5风险评估</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将风险辨识的结果按照风险评估标准进行评估，以确定风险和（或）其量的大小、级别，以及是否可接受或可容许。</w:t>
      </w:r>
    </w:p>
    <w:p>
      <w:pPr>
        <w:widowControl w:val="0"/>
        <w:spacing w:after="0" w:line="560" w:lineRule="exact"/>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w:t>
      </w:r>
      <w:r>
        <w:rPr>
          <w:rFonts w:cs="Calibri" w:asciiTheme="minorEastAsia" w:hAnsiTheme="minorEastAsia" w:eastAsiaTheme="minorEastAsia"/>
          <w:b/>
          <w:color w:val="auto"/>
          <w:szCs w:val="24"/>
          <w:highlight w:val="none"/>
        </w:rPr>
        <w:t>1.6风险等级</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单一风险或组合风险的大小，以后果和可能性的组合来表达。</w:t>
      </w:r>
      <w:r>
        <w:rPr>
          <w:rFonts w:cs="Calibri" w:asciiTheme="minorEastAsia" w:hAnsiTheme="minorEastAsia" w:eastAsiaTheme="minorEastAsia"/>
          <w:color w:val="auto"/>
          <w:szCs w:val="24"/>
          <w:highlight w:val="none"/>
        </w:rPr>
        <w:t xml:space="preserve"> </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（1）低</w:t>
      </w:r>
      <w:r>
        <w:rPr>
          <w:rFonts w:cs="Calibri" w:asciiTheme="minorEastAsia" w:hAnsiTheme="minorEastAsia" w:eastAsiaTheme="minorEastAsia"/>
          <w:color w:val="auto"/>
          <w:szCs w:val="24"/>
          <w:highlight w:val="none"/>
        </w:rPr>
        <w:t>风险：稍有危险或轻度危险，需要注意（或可忽略的）或可以接受（或可容许的）。</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（2）</w:t>
      </w:r>
      <w:r>
        <w:rPr>
          <w:rFonts w:cs="Calibri" w:asciiTheme="minorEastAsia" w:hAnsiTheme="minorEastAsia" w:eastAsiaTheme="minorEastAsia"/>
          <w:color w:val="auto"/>
          <w:szCs w:val="24"/>
          <w:highlight w:val="none"/>
        </w:rPr>
        <w:t>一般风险：中度（或显著）危险，需要控制整改。</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（3）</w:t>
      </w:r>
      <w:r>
        <w:rPr>
          <w:rFonts w:cs="Calibri" w:asciiTheme="minorEastAsia" w:hAnsiTheme="minorEastAsia" w:eastAsiaTheme="minorEastAsia"/>
          <w:color w:val="auto"/>
          <w:szCs w:val="24"/>
          <w:highlight w:val="none"/>
        </w:rPr>
        <w:t>较大风险：高度危险，必须制定措施进行控制管理。</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（4）</w:t>
      </w:r>
      <w:r>
        <w:rPr>
          <w:rFonts w:cs="Calibri" w:asciiTheme="minorEastAsia" w:hAnsiTheme="minorEastAsia" w:eastAsiaTheme="minorEastAsia"/>
          <w:color w:val="auto"/>
          <w:szCs w:val="24"/>
          <w:highlight w:val="none"/>
        </w:rPr>
        <w:t>重大风险：不可容许的风险，极其危险，必须立即整改，不能继续作业。</w:t>
      </w:r>
    </w:p>
    <w:p>
      <w:pPr>
        <w:widowControl w:val="0"/>
        <w:spacing w:after="0" w:line="560" w:lineRule="exact"/>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w:t>
      </w:r>
      <w:r>
        <w:rPr>
          <w:rFonts w:cs="Calibri" w:asciiTheme="minorEastAsia" w:hAnsiTheme="minorEastAsia" w:eastAsiaTheme="minorEastAsia"/>
          <w:b/>
          <w:color w:val="auto"/>
          <w:szCs w:val="24"/>
          <w:highlight w:val="none"/>
        </w:rPr>
        <w:t>1.7可能性</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某风险事件发生的机会。</w:t>
      </w:r>
    </w:p>
    <w:p>
      <w:pPr>
        <w:widowControl w:val="0"/>
        <w:spacing w:after="0" w:line="560" w:lineRule="exact"/>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w:t>
      </w:r>
      <w:r>
        <w:rPr>
          <w:rFonts w:cs="Calibri" w:asciiTheme="minorEastAsia" w:hAnsiTheme="minorEastAsia" w:eastAsiaTheme="minorEastAsia"/>
          <w:b/>
          <w:color w:val="auto"/>
          <w:szCs w:val="24"/>
          <w:highlight w:val="none"/>
        </w:rPr>
        <w:t>1.8后果</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事件对目标的影响结果。</w:t>
      </w:r>
      <w:r>
        <w:rPr>
          <w:rFonts w:cs="Calibri" w:asciiTheme="minorEastAsia" w:hAnsiTheme="minorEastAsia" w:eastAsiaTheme="minorEastAsia"/>
          <w:color w:val="auto"/>
          <w:szCs w:val="24"/>
          <w:highlight w:val="none"/>
        </w:rPr>
        <w:t xml:space="preserve"> </w:t>
      </w:r>
    </w:p>
    <w:p>
      <w:pPr>
        <w:widowControl w:val="0"/>
        <w:spacing w:after="0" w:line="560" w:lineRule="exact"/>
        <w:ind w:left="0" w:firstLine="440" w:firstLineChars="200"/>
        <w:rPr>
          <w:rFonts w:cs="Calibri" w:asciiTheme="minorEastAsia" w:hAnsiTheme="minorEastAsia" w:eastAsiaTheme="minorEastAsia"/>
          <w:color w:val="auto"/>
          <w:sz w:val="22"/>
          <w:szCs w:val="24"/>
          <w:highlight w:val="none"/>
        </w:rPr>
      </w:pPr>
      <w:r>
        <w:rPr>
          <w:rFonts w:hint="eastAsia" w:cs="Calibri" w:asciiTheme="minorEastAsia" w:hAnsiTheme="minorEastAsia" w:eastAsiaTheme="minorEastAsia"/>
          <w:color w:val="auto"/>
          <w:sz w:val="22"/>
          <w:szCs w:val="24"/>
          <w:highlight w:val="none"/>
        </w:rPr>
        <w:t>注</w:t>
      </w:r>
      <w:r>
        <w:rPr>
          <w:rFonts w:cs="Calibri" w:asciiTheme="minorEastAsia" w:hAnsiTheme="minorEastAsia" w:eastAsiaTheme="minorEastAsia"/>
          <w:color w:val="auto"/>
          <w:sz w:val="22"/>
          <w:szCs w:val="24"/>
          <w:highlight w:val="none"/>
        </w:rPr>
        <w:t xml:space="preserve"> 1：一个事件可以产生一系列的后果。 </w:t>
      </w:r>
    </w:p>
    <w:p>
      <w:pPr>
        <w:widowControl w:val="0"/>
        <w:spacing w:after="0" w:line="560" w:lineRule="exact"/>
        <w:ind w:left="0" w:firstLine="440" w:firstLineChars="200"/>
        <w:rPr>
          <w:rFonts w:cs="Calibri" w:asciiTheme="minorEastAsia" w:hAnsiTheme="minorEastAsia" w:eastAsiaTheme="minorEastAsia"/>
          <w:color w:val="auto"/>
          <w:sz w:val="22"/>
          <w:szCs w:val="24"/>
          <w:highlight w:val="none"/>
        </w:rPr>
      </w:pPr>
      <w:r>
        <w:rPr>
          <w:rFonts w:hint="eastAsia" w:cs="Calibri" w:asciiTheme="minorEastAsia" w:hAnsiTheme="minorEastAsia" w:eastAsiaTheme="minorEastAsia"/>
          <w:color w:val="auto"/>
          <w:sz w:val="22"/>
          <w:szCs w:val="24"/>
          <w:highlight w:val="none"/>
        </w:rPr>
        <w:t>注</w:t>
      </w:r>
      <w:r>
        <w:rPr>
          <w:rFonts w:cs="Calibri" w:asciiTheme="minorEastAsia" w:hAnsiTheme="minorEastAsia" w:eastAsiaTheme="minorEastAsia"/>
          <w:color w:val="auto"/>
          <w:sz w:val="22"/>
          <w:szCs w:val="24"/>
          <w:highlight w:val="none"/>
        </w:rPr>
        <w:t xml:space="preserve"> 2：后果可以是确定或不确定的，以及对目标具有积极或消极的影响。</w:t>
      </w:r>
    </w:p>
    <w:p>
      <w:pPr>
        <w:widowControl w:val="0"/>
        <w:spacing w:after="0" w:line="560" w:lineRule="exact"/>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w:t>
      </w:r>
      <w:r>
        <w:rPr>
          <w:rFonts w:cs="Calibri" w:asciiTheme="minorEastAsia" w:hAnsiTheme="minorEastAsia" w:eastAsiaTheme="minorEastAsia"/>
          <w:b/>
          <w:color w:val="auto"/>
          <w:szCs w:val="24"/>
          <w:highlight w:val="none"/>
        </w:rPr>
        <w:t>1.9风险管控</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应对风险的措施。</w:t>
      </w:r>
    </w:p>
    <w:p>
      <w:pPr>
        <w:widowControl w:val="0"/>
        <w:spacing w:after="0" w:line="560" w:lineRule="exact"/>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w:t>
      </w:r>
      <w:r>
        <w:rPr>
          <w:rFonts w:cs="Calibri" w:asciiTheme="minorEastAsia" w:hAnsiTheme="minorEastAsia" w:eastAsiaTheme="minorEastAsia"/>
          <w:b/>
          <w:color w:val="auto"/>
          <w:szCs w:val="24"/>
          <w:highlight w:val="none"/>
        </w:rPr>
        <w:t>1.10风险降低</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减少风险的消极后果，降低其发生概率或二者兼有的行为。</w:t>
      </w:r>
    </w:p>
    <w:p>
      <w:pPr>
        <w:widowControl w:val="0"/>
        <w:spacing w:after="0" w:line="560" w:lineRule="exact"/>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w:t>
      </w:r>
      <w:r>
        <w:rPr>
          <w:rFonts w:cs="Calibri" w:asciiTheme="minorEastAsia" w:hAnsiTheme="minorEastAsia" w:eastAsiaTheme="minorEastAsia"/>
          <w:b/>
          <w:color w:val="auto"/>
          <w:szCs w:val="24"/>
          <w:highlight w:val="none"/>
        </w:rPr>
        <w:t>1.11较大及以上风险</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评估结果为较大、重大的风险。</w:t>
      </w:r>
    </w:p>
    <w:p>
      <w:pPr>
        <w:widowControl w:val="0"/>
        <w:spacing w:after="0" w:line="560" w:lineRule="exact"/>
        <w:ind w:left="0" w:firstLine="482" w:firstLineChars="200"/>
        <w:rPr>
          <w:rFonts w:cs="Calibri" w:asciiTheme="minorEastAsia" w:hAnsiTheme="minorEastAsia" w:eastAsiaTheme="minorEastAsia"/>
          <w:color w:val="auto"/>
          <w:szCs w:val="24"/>
          <w:highlight w:val="none"/>
        </w:rPr>
      </w:pPr>
      <w:bookmarkStart w:id="21" w:name="_Toc2179409"/>
      <w:r>
        <w:rPr>
          <w:rFonts w:hint="eastAsia" w:cs="Calibri" w:asciiTheme="minorEastAsia" w:hAnsiTheme="minorEastAsia" w:eastAsiaTheme="minorEastAsia"/>
          <w:b/>
          <w:color w:val="auto"/>
          <w:szCs w:val="24"/>
          <w:highlight w:val="none"/>
        </w:rPr>
        <w:t>3.1.1</w:t>
      </w:r>
      <w:r>
        <w:rPr>
          <w:rFonts w:cs="Calibri" w:asciiTheme="minorEastAsia" w:hAnsiTheme="minorEastAsia" w:eastAsiaTheme="minorEastAsia"/>
          <w:b/>
          <w:color w:val="auto"/>
          <w:szCs w:val="24"/>
          <w:highlight w:val="none"/>
        </w:rPr>
        <w:t>2</w:t>
      </w:r>
      <w:r>
        <w:rPr>
          <w:rFonts w:hint="eastAsia" w:cs="Calibri" w:asciiTheme="minorEastAsia" w:hAnsiTheme="minorEastAsia" w:eastAsiaTheme="minorEastAsia"/>
          <w:b/>
          <w:color w:val="auto"/>
          <w:szCs w:val="24"/>
          <w:highlight w:val="none"/>
        </w:rPr>
        <w:t>风险信息</w:t>
      </w:r>
      <w:bookmarkEnd w:id="21"/>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是指包括风险名称、类型、存在位置、当前状态以及伴随风险大小、等级、所需管控措施等一系列信息的综合。</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22" w:name="_Toc104735763"/>
      <w:r>
        <w:rPr>
          <w:rFonts w:hint="eastAsia" w:cs="Calibri" w:asciiTheme="minorEastAsia" w:hAnsiTheme="minorEastAsia" w:eastAsiaTheme="minorEastAsia"/>
          <w:b/>
          <w:color w:val="auto"/>
          <w:sz w:val="28"/>
          <w:szCs w:val="24"/>
          <w:highlight w:val="none"/>
        </w:rPr>
        <w:t>3.2风险管理职责</w:t>
      </w:r>
      <w:bookmarkEnd w:id="22"/>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b/>
          <w:color w:val="auto"/>
          <w:szCs w:val="24"/>
          <w:highlight w:val="none"/>
        </w:rPr>
        <w:t>3.</w:t>
      </w:r>
      <w:r>
        <w:rPr>
          <w:rFonts w:cs="宋体" w:asciiTheme="minorEastAsia" w:hAnsiTheme="minorEastAsia" w:eastAsiaTheme="minorEastAsia"/>
          <w:b/>
          <w:color w:val="auto"/>
          <w:szCs w:val="24"/>
          <w:highlight w:val="none"/>
        </w:rPr>
        <w:t>2.</w:t>
      </w:r>
      <w:r>
        <w:rPr>
          <w:rFonts w:hint="eastAsia" w:cs="宋体" w:asciiTheme="minorEastAsia" w:hAnsiTheme="minorEastAsia" w:eastAsiaTheme="minorEastAsia"/>
          <w:b/>
          <w:color w:val="auto"/>
          <w:szCs w:val="24"/>
          <w:highlight w:val="none"/>
        </w:rPr>
        <w:t>1</w:t>
      </w:r>
      <w:r>
        <w:rPr>
          <w:rFonts w:cs="宋体" w:asciiTheme="minorEastAsia" w:hAnsiTheme="minorEastAsia" w:eastAsiaTheme="minorEastAsia"/>
          <w:color w:val="auto"/>
          <w:szCs w:val="24"/>
          <w:highlight w:val="none"/>
        </w:rPr>
        <w:t>公司安委会为风险辨识、评估与分级管控的组织领导机构</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公司主要负责人为风险管理第一责任人</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b/>
          <w:color w:val="auto"/>
          <w:szCs w:val="24"/>
          <w:highlight w:val="none"/>
        </w:rPr>
        <w:t>3.</w:t>
      </w:r>
      <w:r>
        <w:rPr>
          <w:rFonts w:cs="宋体" w:asciiTheme="minorEastAsia" w:hAnsiTheme="minorEastAsia" w:eastAsiaTheme="minorEastAsia"/>
          <w:b/>
          <w:color w:val="auto"/>
          <w:szCs w:val="24"/>
          <w:highlight w:val="none"/>
        </w:rPr>
        <w:t>2.</w:t>
      </w:r>
      <w:r>
        <w:rPr>
          <w:rFonts w:hint="eastAsia" w:cs="宋体" w:asciiTheme="minorEastAsia" w:hAnsiTheme="minorEastAsia" w:eastAsiaTheme="minorEastAsia"/>
          <w:b/>
          <w:color w:val="auto"/>
          <w:szCs w:val="24"/>
          <w:highlight w:val="none"/>
        </w:rPr>
        <w:t>2</w:t>
      </w:r>
      <w:r>
        <w:rPr>
          <w:rFonts w:hint="eastAsia" w:cs="宋体" w:asciiTheme="minorEastAsia" w:hAnsiTheme="minorEastAsia" w:eastAsiaTheme="minorEastAsia"/>
          <w:color w:val="auto"/>
          <w:szCs w:val="24"/>
          <w:highlight w:val="none"/>
        </w:rPr>
        <w:t>安全管理部</w:t>
      </w:r>
      <w:r>
        <w:rPr>
          <w:rFonts w:cs="宋体" w:asciiTheme="minorEastAsia" w:hAnsiTheme="minorEastAsia" w:eastAsiaTheme="minorEastAsia"/>
          <w:color w:val="auto"/>
          <w:szCs w:val="24"/>
          <w:highlight w:val="none"/>
        </w:rPr>
        <w:t>承担</w:t>
      </w:r>
      <w:r>
        <w:rPr>
          <w:rFonts w:hint="eastAsia" w:cs="宋体" w:asciiTheme="minorEastAsia" w:hAnsiTheme="minorEastAsia" w:eastAsiaTheme="minorEastAsia"/>
          <w:color w:val="auto"/>
          <w:szCs w:val="24"/>
          <w:highlight w:val="none"/>
        </w:rPr>
        <w:t>安全</w:t>
      </w:r>
      <w:r>
        <w:rPr>
          <w:rFonts w:cs="宋体" w:asciiTheme="minorEastAsia" w:hAnsiTheme="minorEastAsia" w:eastAsiaTheme="minorEastAsia"/>
          <w:color w:val="auto"/>
          <w:szCs w:val="24"/>
          <w:highlight w:val="none"/>
        </w:rPr>
        <w:t>风险指导监督和总体管理工作，组织编制风险管理与隐患排查治理</w:t>
      </w:r>
      <w:r>
        <w:rPr>
          <w:rFonts w:hint="eastAsia" w:cs="宋体" w:asciiTheme="minorEastAsia" w:hAnsiTheme="minorEastAsia" w:eastAsiaTheme="minorEastAsia"/>
          <w:color w:val="auto"/>
          <w:szCs w:val="24"/>
          <w:highlight w:val="none"/>
          <w:lang w:eastAsia="zh-CN"/>
        </w:rPr>
        <w:t>实施手册</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明确建设要求</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建设标准和相关部室</w:t>
      </w:r>
      <w:r>
        <w:rPr>
          <w:rFonts w:hint="eastAsia" w:cs="宋体" w:asciiTheme="minorEastAsia" w:hAnsiTheme="minorEastAsia" w:eastAsiaTheme="minorEastAsia"/>
          <w:color w:val="auto"/>
          <w:szCs w:val="24"/>
          <w:highlight w:val="none"/>
        </w:rPr>
        <w:t>及站区的职责。</w:t>
      </w:r>
      <w:r>
        <w:rPr>
          <w:rFonts w:cs="宋体" w:asciiTheme="minorEastAsia" w:hAnsiTheme="minorEastAsia" w:eastAsiaTheme="minorEastAsia"/>
          <w:color w:val="auto"/>
          <w:szCs w:val="24"/>
          <w:highlight w:val="none"/>
        </w:rPr>
        <w:t>指导监督各部室、站区开展风险管理工作，负责公司较大及以上风险清单的建立、信息登记和上报工作。</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b/>
          <w:color w:val="auto"/>
          <w:szCs w:val="24"/>
          <w:highlight w:val="none"/>
        </w:rPr>
        <w:t>3.</w:t>
      </w:r>
      <w:r>
        <w:rPr>
          <w:rFonts w:cs="宋体" w:asciiTheme="minorEastAsia" w:hAnsiTheme="minorEastAsia" w:eastAsiaTheme="minorEastAsia"/>
          <w:b/>
          <w:color w:val="auto"/>
          <w:szCs w:val="24"/>
          <w:highlight w:val="none"/>
        </w:rPr>
        <w:t>2.</w:t>
      </w:r>
      <w:r>
        <w:rPr>
          <w:rFonts w:hint="eastAsia" w:cs="宋体" w:asciiTheme="minorEastAsia" w:hAnsiTheme="minorEastAsia" w:eastAsiaTheme="minorEastAsia"/>
          <w:b/>
          <w:color w:val="auto"/>
          <w:szCs w:val="24"/>
          <w:highlight w:val="none"/>
        </w:rPr>
        <w:t>3</w:t>
      </w:r>
      <w:r>
        <w:rPr>
          <w:rFonts w:hint="eastAsia" w:cs="宋体" w:asciiTheme="minorEastAsia" w:hAnsiTheme="minorEastAsia" w:eastAsiaTheme="minorEastAsia"/>
          <w:color w:val="auto"/>
          <w:szCs w:val="24"/>
          <w:highlight w:val="none"/>
        </w:rPr>
        <w:t>公司</w:t>
      </w:r>
      <w:r>
        <w:rPr>
          <w:rFonts w:cs="宋体" w:asciiTheme="minorEastAsia" w:hAnsiTheme="minorEastAsia" w:eastAsiaTheme="minorEastAsia"/>
          <w:color w:val="auto"/>
          <w:szCs w:val="24"/>
          <w:highlight w:val="none"/>
        </w:rPr>
        <w:t>各部室组织开展业务范围内的</w:t>
      </w:r>
      <w:r>
        <w:rPr>
          <w:rFonts w:hint="eastAsia" w:cs="宋体" w:asciiTheme="minorEastAsia" w:hAnsiTheme="minorEastAsia" w:eastAsiaTheme="minorEastAsia"/>
          <w:color w:val="auto"/>
          <w:szCs w:val="24"/>
          <w:highlight w:val="none"/>
        </w:rPr>
        <w:t>安全</w:t>
      </w:r>
      <w:r>
        <w:rPr>
          <w:rFonts w:cs="宋体" w:asciiTheme="minorEastAsia" w:hAnsiTheme="minorEastAsia" w:eastAsiaTheme="minorEastAsia"/>
          <w:color w:val="auto"/>
          <w:szCs w:val="24"/>
          <w:highlight w:val="none"/>
        </w:rPr>
        <w:t>风险管理</w:t>
      </w:r>
      <w:r>
        <w:rPr>
          <w:rFonts w:hint="eastAsia" w:cs="宋体" w:asciiTheme="minorEastAsia" w:hAnsiTheme="minorEastAsia" w:eastAsiaTheme="minorEastAsia"/>
          <w:color w:val="auto"/>
          <w:szCs w:val="24"/>
          <w:highlight w:val="none"/>
        </w:rPr>
        <w:t>工作，建立相关业务风险</w:t>
      </w:r>
      <w:r>
        <w:rPr>
          <w:rFonts w:cs="宋体" w:asciiTheme="minorEastAsia" w:hAnsiTheme="minorEastAsia" w:eastAsiaTheme="minorEastAsia"/>
          <w:color w:val="auto"/>
          <w:szCs w:val="24"/>
          <w:highlight w:val="none"/>
        </w:rPr>
        <w:t>分级管控清单</w:t>
      </w:r>
      <w:r>
        <w:rPr>
          <w:rFonts w:hint="eastAsia" w:cs="宋体" w:asciiTheme="minorEastAsia" w:hAnsiTheme="minorEastAsia" w:eastAsiaTheme="minorEastAsia"/>
          <w:color w:val="auto"/>
          <w:szCs w:val="24"/>
          <w:highlight w:val="none"/>
        </w:rPr>
        <w:t>，明确风险管控责任人。</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各站区组织开展</w:t>
      </w:r>
      <w:r>
        <w:rPr>
          <w:rFonts w:hint="eastAsia" w:cs="宋体" w:asciiTheme="minorEastAsia" w:hAnsiTheme="minorEastAsia" w:eastAsiaTheme="minorEastAsia"/>
          <w:color w:val="auto"/>
          <w:szCs w:val="24"/>
          <w:highlight w:val="none"/>
        </w:rPr>
        <w:t>管辖</w:t>
      </w:r>
      <w:r>
        <w:rPr>
          <w:rFonts w:cs="宋体" w:asciiTheme="minorEastAsia" w:hAnsiTheme="minorEastAsia" w:eastAsiaTheme="minorEastAsia"/>
          <w:color w:val="auto"/>
          <w:szCs w:val="24"/>
          <w:highlight w:val="none"/>
        </w:rPr>
        <w:t>范围内的</w:t>
      </w:r>
      <w:r>
        <w:rPr>
          <w:rFonts w:hint="eastAsia" w:cs="宋体" w:asciiTheme="minorEastAsia" w:hAnsiTheme="minorEastAsia" w:eastAsiaTheme="minorEastAsia"/>
          <w:color w:val="auto"/>
          <w:szCs w:val="24"/>
          <w:highlight w:val="none"/>
        </w:rPr>
        <w:t>安全</w:t>
      </w:r>
      <w:r>
        <w:rPr>
          <w:rFonts w:cs="宋体" w:asciiTheme="minorEastAsia" w:hAnsiTheme="minorEastAsia" w:eastAsiaTheme="minorEastAsia"/>
          <w:color w:val="auto"/>
          <w:szCs w:val="24"/>
          <w:highlight w:val="none"/>
        </w:rPr>
        <w:t>风险管理</w:t>
      </w:r>
      <w:r>
        <w:rPr>
          <w:rFonts w:hint="eastAsia" w:cs="宋体" w:asciiTheme="minorEastAsia" w:hAnsiTheme="minorEastAsia" w:eastAsiaTheme="minorEastAsia"/>
          <w:color w:val="auto"/>
          <w:szCs w:val="24"/>
          <w:highlight w:val="none"/>
        </w:rPr>
        <w:t>工作，建立本站区风险</w:t>
      </w:r>
      <w:r>
        <w:rPr>
          <w:rFonts w:cs="宋体" w:asciiTheme="minorEastAsia" w:hAnsiTheme="minorEastAsia" w:eastAsiaTheme="minorEastAsia"/>
          <w:color w:val="auto"/>
          <w:szCs w:val="24"/>
          <w:highlight w:val="none"/>
        </w:rPr>
        <w:t>分级管控清单</w:t>
      </w:r>
      <w:r>
        <w:rPr>
          <w:rFonts w:hint="eastAsia" w:cs="宋体" w:asciiTheme="minorEastAsia" w:hAnsiTheme="minorEastAsia" w:eastAsiaTheme="minorEastAsia"/>
          <w:color w:val="auto"/>
          <w:szCs w:val="24"/>
          <w:highlight w:val="none"/>
        </w:rPr>
        <w:t>，明确风险管控责任人。</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各部室、站区应按照公司安全风险管理制度及本手册要求，认真落实风险管控措施，及时上报各类风险信息和台账。</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b/>
          <w:color w:val="auto"/>
          <w:szCs w:val="24"/>
          <w:highlight w:val="none"/>
        </w:rPr>
        <w:t>3.</w:t>
      </w:r>
      <w:r>
        <w:rPr>
          <w:rFonts w:cs="宋体" w:asciiTheme="minorEastAsia" w:hAnsiTheme="minorEastAsia" w:eastAsiaTheme="minorEastAsia"/>
          <w:b/>
          <w:color w:val="auto"/>
          <w:szCs w:val="24"/>
          <w:highlight w:val="none"/>
        </w:rPr>
        <w:t>2.</w:t>
      </w:r>
      <w:r>
        <w:rPr>
          <w:rFonts w:hint="eastAsia" w:cs="宋体" w:asciiTheme="minorEastAsia" w:hAnsiTheme="minorEastAsia" w:eastAsiaTheme="minorEastAsia"/>
          <w:b/>
          <w:color w:val="auto"/>
          <w:szCs w:val="24"/>
          <w:highlight w:val="none"/>
        </w:rPr>
        <w:t>4</w:t>
      </w:r>
      <w:r>
        <w:rPr>
          <w:rFonts w:cs="宋体" w:asciiTheme="minorEastAsia" w:hAnsiTheme="minorEastAsia" w:eastAsiaTheme="minorEastAsia"/>
          <w:color w:val="auto"/>
          <w:szCs w:val="24"/>
          <w:highlight w:val="none"/>
        </w:rPr>
        <w:t>公司主要负责人全面负责风险辨识、评估与分级管控工作，保证人、财、物的投入，组织重大风险管控工作</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w:t>
      </w:r>
      <w:r>
        <w:rPr>
          <w:rFonts w:cs="宋体" w:asciiTheme="minorEastAsia" w:hAnsiTheme="minorEastAsia" w:eastAsiaTheme="minorEastAsia"/>
          <w:color w:val="auto"/>
          <w:szCs w:val="24"/>
          <w:highlight w:val="none"/>
        </w:rPr>
        <w:t>公司分管安全</w:t>
      </w:r>
      <w:r>
        <w:rPr>
          <w:rFonts w:hint="eastAsia" w:cs="宋体" w:asciiTheme="minorEastAsia" w:hAnsiTheme="minorEastAsia" w:eastAsiaTheme="minorEastAsia"/>
          <w:color w:val="auto"/>
          <w:szCs w:val="24"/>
          <w:highlight w:val="none"/>
        </w:rPr>
        <w:t>副总经理负责组织建立并监督落实风险分级管控机制，督促公司各部室、单位落实双控管理工作，推动较大及以上风险管控工作。</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安全总监协助分管安全副总经理</w:t>
      </w:r>
      <w:r>
        <w:rPr>
          <w:rFonts w:hint="eastAsia" w:cs="宋体" w:asciiTheme="minorEastAsia" w:hAnsiTheme="minorEastAsia" w:eastAsiaTheme="minorEastAsia"/>
          <w:color w:val="auto"/>
          <w:szCs w:val="24"/>
          <w:highlight w:val="none"/>
        </w:rPr>
        <w:t>推动公司安全风险管理</w:t>
      </w:r>
      <w:r>
        <w:rPr>
          <w:rFonts w:cs="宋体" w:asciiTheme="minorEastAsia" w:hAnsiTheme="minorEastAsia" w:eastAsiaTheme="minorEastAsia"/>
          <w:color w:val="auto"/>
          <w:szCs w:val="24"/>
          <w:highlight w:val="none"/>
        </w:rPr>
        <w:t>工作</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w:t>
      </w:r>
      <w:r>
        <w:rPr>
          <w:rFonts w:cs="宋体" w:asciiTheme="minorEastAsia" w:hAnsiTheme="minorEastAsia" w:eastAsiaTheme="minorEastAsia"/>
          <w:color w:val="auto"/>
          <w:szCs w:val="24"/>
          <w:highlight w:val="none"/>
        </w:rPr>
        <w:t>公司分管业务</w:t>
      </w:r>
      <w:r>
        <w:rPr>
          <w:rFonts w:hint="eastAsia" w:cs="宋体" w:asciiTheme="minorEastAsia" w:hAnsiTheme="minorEastAsia" w:eastAsiaTheme="minorEastAsia"/>
          <w:color w:val="auto"/>
          <w:szCs w:val="24"/>
          <w:highlight w:val="none"/>
        </w:rPr>
        <w:t>副总经理</w:t>
      </w:r>
      <w:r>
        <w:rPr>
          <w:rFonts w:cs="宋体" w:asciiTheme="minorEastAsia" w:hAnsiTheme="minorEastAsia" w:eastAsiaTheme="minorEastAsia"/>
          <w:color w:val="auto"/>
          <w:szCs w:val="24"/>
          <w:highlight w:val="none"/>
        </w:rPr>
        <w:t>在抓好分管业务范围内工作的同时，组织分管业务范围</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单位内</w:t>
      </w:r>
      <w:r>
        <w:rPr>
          <w:rFonts w:hint="eastAsia" w:cs="宋体" w:asciiTheme="minorEastAsia" w:hAnsiTheme="minorEastAsia" w:eastAsiaTheme="minorEastAsia"/>
          <w:color w:val="auto"/>
          <w:szCs w:val="24"/>
          <w:highlight w:val="none"/>
        </w:rPr>
        <w:t>开展</w:t>
      </w:r>
      <w:r>
        <w:rPr>
          <w:rFonts w:cs="宋体" w:asciiTheme="minorEastAsia" w:hAnsiTheme="minorEastAsia" w:eastAsiaTheme="minorEastAsia"/>
          <w:color w:val="auto"/>
          <w:szCs w:val="24"/>
          <w:highlight w:val="none"/>
        </w:rPr>
        <w:t>安全风险辨识</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评估工作，组织落实分管业务较大安全风险管控工作</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协助主要负责人做好重大风险管控工作</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工程总监</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运营总监协助分管业务副总经理</w:t>
      </w:r>
      <w:r>
        <w:rPr>
          <w:rFonts w:hint="eastAsia" w:cs="宋体" w:asciiTheme="minorEastAsia" w:hAnsiTheme="minorEastAsia" w:eastAsiaTheme="minorEastAsia"/>
          <w:color w:val="auto"/>
          <w:szCs w:val="24"/>
          <w:highlight w:val="none"/>
        </w:rPr>
        <w:t>落实公司安全风险管理</w:t>
      </w:r>
      <w:r>
        <w:rPr>
          <w:rFonts w:cs="宋体" w:asciiTheme="minorEastAsia" w:hAnsiTheme="minorEastAsia" w:eastAsiaTheme="minorEastAsia"/>
          <w:color w:val="auto"/>
          <w:szCs w:val="24"/>
          <w:highlight w:val="none"/>
        </w:rPr>
        <w:t>工作</w:t>
      </w:r>
      <w:r>
        <w:rPr>
          <w:rFonts w:hint="eastAsia" w:cs="宋体" w:asciiTheme="minorEastAsia" w:hAnsiTheme="minorEastAsia" w:eastAsiaTheme="minorEastAsia"/>
          <w:color w:val="auto"/>
          <w:szCs w:val="24"/>
          <w:highlight w:val="none"/>
        </w:rPr>
        <w:t>。</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23" w:name="_Toc104735764"/>
      <w:r>
        <w:rPr>
          <w:rFonts w:hint="eastAsia" w:cs="Calibri" w:asciiTheme="minorEastAsia" w:hAnsiTheme="minorEastAsia" w:eastAsiaTheme="minorEastAsia"/>
          <w:b/>
          <w:color w:val="auto"/>
          <w:sz w:val="28"/>
          <w:szCs w:val="24"/>
          <w:highlight w:val="none"/>
        </w:rPr>
        <w:t>3.3风险分类分级</w:t>
      </w:r>
      <w:bookmarkEnd w:id="23"/>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按照</w:t>
      </w:r>
      <w:r>
        <w:rPr>
          <w:rFonts w:cs="Calibri" w:asciiTheme="minorEastAsia" w:hAnsiTheme="minorEastAsia" w:eastAsiaTheme="minorEastAsia"/>
          <w:color w:val="auto"/>
          <w:szCs w:val="24"/>
          <w:highlight w:val="none"/>
        </w:rPr>
        <w:t>“相对独立、环节清晰”的原则，将风险点划分为</w:t>
      </w:r>
      <w:r>
        <w:rPr>
          <w:rFonts w:hint="eastAsia" w:cs="Calibri" w:asciiTheme="minorEastAsia" w:hAnsiTheme="minorEastAsia" w:eastAsiaTheme="minorEastAsia"/>
          <w:color w:val="auto"/>
          <w:szCs w:val="24"/>
          <w:highlight w:val="none"/>
        </w:rPr>
        <w:t>基础</w:t>
      </w:r>
      <w:r>
        <w:rPr>
          <w:rFonts w:cs="Calibri" w:asciiTheme="minorEastAsia" w:hAnsiTheme="minorEastAsia" w:eastAsiaTheme="minorEastAsia"/>
          <w:color w:val="auto"/>
          <w:szCs w:val="24"/>
          <w:highlight w:val="none"/>
        </w:rPr>
        <w:t>设施、作业活动和场所部位及设备设施三类。</w:t>
      </w:r>
    </w:p>
    <w:p>
      <w:pPr>
        <w:widowControl w:val="0"/>
        <w:spacing w:after="0" w:line="480" w:lineRule="exact"/>
        <w:ind w:left="0" w:firstLine="480"/>
        <w:jc w:val="both"/>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3.3.1基础设施类</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按照河北省交通运输厅相关规定，对路段、桥梁、隧道等基础设施进行安全风险辨识评估。</w:t>
      </w:r>
    </w:p>
    <w:p>
      <w:pPr>
        <w:widowControl w:val="0"/>
        <w:spacing w:after="0" w:line="480" w:lineRule="exact"/>
        <w:ind w:left="0" w:firstLine="480"/>
        <w:jc w:val="both"/>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3.3.2作业活动类</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对作业活动类风险点的划分，应当涵盖生产过程中所有常规和非常规的作业活动。</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w:t>
      </w:r>
      <w:r>
        <w:rPr>
          <w:rFonts w:cs="Calibri" w:asciiTheme="minorEastAsia" w:hAnsiTheme="minorEastAsia" w:eastAsiaTheme="minorEastAsia"/>
          <w:color w:val="auto"/>
          <w:szCs w:val="24"/>
          <w:highlight w:val="none"/>
        </w:rPr>
        <w:t>常规作业</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cs="Calibri" w:asciiTheme="minorEastAsia" w:hAnsiTheme="minorEastAsia" w:eastAsiaTheme="minorEastAsia"/>
          <w:color w:val="auto"/>
          <w:szCs w:val="24"/>
          <w:highlight w:val="none"/>
        </w:rPr>
        <w:t>包括道路巡查、养护作业、收费作业、稽查作业、监控作业、除雪作业、通用作业（电气、驾驶、动火、高处、受限空间）等。</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（2）</w:t>
      </w:r>
      <w:r>
        <w:rPr>
          <w:rFonts w:cs="Calibri" w:asciiTheme="minorEastAsia" w:hAnsiTheme="minorEastAsia" w:eastAsiaTheme="minorEastAsia"/>
          <w:color w:val="auto"/>
          <w:szCs w:val="24"/>
          <w:highlight w:val="none"/>
        </w:rPr>
        <w:t>非常规作业</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包括</w:t>
      </w:r>
      <w:r>
        <w:rPr>
          <w:rFonts w:cs="Calibri" w:asciiTheme="minorEastAsia" w:hAnsiTheme="minorEastAsia" w:eastAsiaTheme="minorEastAsia"/>
          <w:color w:val="auto"/>
          <w:szCs w:val="24"/>
          <w:highlight w:val="none"/>
        </w:rPr>
        <w:t>重要时段管控、特殊天气管控、应急处置作业等。</w:t>
      </w:r>
    </w:p>
    <w:p>
      <w:pPr>
        <w:widowControl w:val="0"/>
        <w:spacing w:after="0" w:line="480" w:lineRule="exact"/>
        <w:ind w:left="0" w:firstLine="480"/>
        <w:jc w:val="both"/>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3.3.3场所部位及设备设施类</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对机关驻地、收费站、养护工区、指调中心等区域内，可按照场所部位或设备设施进行划分。</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w:t>
      </w:r>
      <w:r>
        <w:rPr>
          <w:rFonts w:cs="Calibri" w:asciiTheme="minorEastAsia" w:hAnsiTheme="minorEastAsia" w:eastAsiaTheme="minorEastAsia"/>
          <w:color w:val="auto"/>
          <w:szCs w:val="24"/>
          <w:highlight w:val="none"/>
        </w:rPr>
        <w:t>场所部位：包括宿办楼、材料及设备库房、锅炉房、发电机房、变配电室、食堂等重要场所部位进行风险辨识和评估。</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（2）</w:t>
      </w:r>
      <w:r>
        <w:rPr>
          <w:rFonts w:cs="Calibri" w:asciiTheme="minorEastAsia" w:hAnsiTheme="minorEastAsia" w:eastAsiaTheme="minorEastAsia"/>
          <w:color w:val="auto"/>
          <w:szCs w:val="24"/>
          <w:highlight w:val="none"/>
        </w:rPr>
        <w:t>设备设施：包括消防设备设施、用电设备、大型养护机械设备、重要公用及辅助设备等。</w:t>
      </w:r>
    </w:p>
    <w:p>
      <w:pPr>
        <w:widowControl w:val="0"/>
        <w:spacing w:after="0" w:line="480" w:lineRule="exact"/>
        <w:ind w:left="0" w:firstLine="480"/>
        <w:jc w:val="both"/>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3.3.4</w:t>
      </w:r>
      <w:r>
        <w:rPr>
          <w:rFonts w:cs="Calibri" w:asciiTheme="minorEastAsia" w:hAnsiTheme="minorEastAsia" w:eastAsiaTheme="minorEastAsia"/>
          <w:b/>
          <w:color w:val="auto"/>
          <w:szCs w:val="24"/>
          <w:highlight w:val="none"/>
        </w:rPr>
        <w:t>风险等级</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cs="Calibri" w:asciiTheme="minorEastAsia" w:hAnsiTheme="minorEastAsia" w:eastAsiaTheme="minorEastAsia"/>
          <w:color w:val="auto"/>
          <w:szCs w:val="24"/>
          <w:highlight w:val="none"/>
        </w:rPr>
        <w:t>按照可能导致安全生产事故的后果和概率，由高到低依次分为重大、较大、一般和</w:t>
      </w:r>
      <w:r>
        <w:rPr>
          <w:rFonts w:hint="eastAsia" w:cs="Calibri" w:asciiTheme="minorEastAsia" w:hAnsiTheme="minorEastAsia" w:eastAsiaTheme="minorEastAsia"/>
          <w:color w:val="auto"/>
          <w:szCs w:val="24"/>
          <w:highlight w:val="none"/>
        </w:rPr>
        <w:t>低</w:t>
      </w:r>
      <w:r>
        <w:rPr>
          <w:rFonts w:cs="Calibri" w:asciiTheme="minorEastAsia" w:hAnsiTheme="minorEastAsia" w:eastAsiaTheme="minorEastAsia"/>
          <w:color w:val="auto"/>
          <w:szCs w:val="24"/>
          <w:highlight w:val="none"/>
        </w:rPr>
        <w:t>四个等级。</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（1）重大风险是指一定条件下易导致特别重大安全生产事故发生的风险，记录符号为</w:t>
      </w:r>
      <w:r>
        <w:rPr>
          <w:rFonts w:cs="Calibri" w:asciiTheme="minorEastAsia" w:hAnsiTheme="minorEastAsia" w:eastAsiaTheme="minorEastAsia"/>
          <w:color w:val="auto"/>
          <w:szCs w:val="24"/>
          <w:highlight w:val="none"/>
        </w:rPr>
        <w:t>A，用红色标识。</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（2）较大风险是指一定条件下易导致重大安全生产事故发生的风险，记录符号为</w:t>
      </w:r>
      <w:r>
        <w:rPr>
          <w:rFonts w:cs="Calibri" w:asciiTheme="minorEastAsia" w:hAnsiTheme="minorEastAsia" w:eastAsiaTheme="minorEastAsia"/>
          <w:color w:val="auto"/>
          <w:szCs w:val="24"/>
          <w:highlight w:val="none"/>
        </w:rPr>
        <w:t>B，用橙色标识。</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（3）一般风险是指一定条件下易导致较大安全生产事故发生的风险，记录符号为</w:t>
      </w:r>
      <w:r>
        <w:rPr>
          <w:rFonts w:cs="Calibri" w:asciiTheme="minorEastAsia" w:hAnsiTheme="minorEastAsia" w:eastAsiaTheme="minorEastAsia"/>
          <w:color w:val="auto"/>
          <w:szCs w:val="24"/>
          <w:highlight w:val="none"/>
        </w:rPr>
        <w:t>C，用黄色标识。</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（4）低风险是指一定条件下易导致一般安全生产事故发生的风险，记录符号为</w:t>
      </w:r>
      <w:r>
        <w:rPr>
          <w:rFonts w:cs="Calibri" w:asciiTheme="minorEastAsia" w:hAnsiTheme="minorEastAsia" w:eastAsiaTheme="minorEastAsia"/>
          <w:color w:val="auto"/>
          <w:szCs w:val="24"/>
          <w:highlight w:val="none"/>
        </w:rPr>
        <w:t>D，用蓝色标识。</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同时满足两个以上条件的，按最高等级确定风险等级。</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24" w:name="_Toc104735765"/>
      <w:r>
        <w:rPr>
          <w:rFonts w:hint="eastAsia" w:cs="Calibri" w:asciiTheme="minorEastAsia" w:hAnsiTheme="minorEastAsia" w:eastAsiaTheme="minorEastAsia"/>
          <w:b/>
          <w:color w:val="auto"/>
          <w:sz w:val="28"/>
          <w:szCs w:val="24"/>
          <w:highlight w:val="none"/>
        </w:rPr>
        <w:t>3.4风险辨识</w:t>
      </w:r>
      <w:bookmarkEnd w:id="24"/>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（1）风险辨识范围包括中电建冀交高投公司所管辖的全部路段、办公场所及全部作业活动。按照类型划分包括作业类、场所类和设备设施类；按照位置划分包括机关办公区域、收费站、所辖路段等。按照</w:t>
      </w:r>
      <w:r>
        <w:rPr>
          <w:rFonts w:cs="Calibri" w:asciiTheme="minorEastAsia" w:hAnsiTheme="minorEastAsia" w:eastAsiaTheme="minorEastAsia"/>
          <w:color w:val="auto"/>
          <w:szCs w:val="24"/>
          <w:highlight w:val="none"/>
        </w:rPr>
        <w:t>“相对独立、环节清晰”的原则，依据</w:t>
      </w:r>
      <w:r>
        <w:rPr>
          <w:rFonts w:hint="eastAsia" w:cs="Calibri" w:asciiTheme="minorEastAsia" w:hAnsiTheme="minorEastAsia" w:eastAsiaTheme="minorEastAsia"/>
          <w:color w:val="auto"/>
          <w:szCs w:val="24"/>
          <w:highlight w:val="none"/>
        </w:rPr>
        <w:t>中电建冀交高投公司</w:t>
      </w:r>
      <w:r>
        <w:rPr>
          <w:rFonts w:cs="Calibri" w:asciiTheme="minorEastAsia" w:hAnsiTheme="minorEastAsia" w:eastAsiaTheme="minorEastAsia"/>
          <w:color w:val="auto"/>
          <w:szCs w:val="24"/>
          <w:highlight w:val="none"/>
        </w:rPr>
        <w:t>管理</w:t>
      </w:r>
      <w:r>
        <w:rPr>
          <w:rFonts w:hint="eastAsia" w:cs="Calibri" w:asciiTheme="minorEastAsia" w:hAnsiTheme="minorEastAsia" w:eastAsiaTheme="minorEastAsia"/>
          <w:color w:val="auto"/>
          <w:szCs w:val="24"/>
          <w:highlight w:val="none"/>
        </w:rPr>
        <w:t>范围</w:t>
      </w:r>
      <w:r>
        <w:rPr>
          <w:rFonts w:cs="Calibri" w:asciiTheme="minorEastAsia" w:hAnsiTheme="minorEastAsia" w:eastAsiaTheme="minorEastAsia"/>
          <w:color w:val="auto"/>
          <w:szCs w:val="24"/>
          <w:highlight w:val="none"/>
        </w:rPr>
        <w:t>划分风险辨识评估范围如下所示</w:t>
      </w:r>
      <w:r>
        <w:rPr>
          <w:rFonts w:hint="eastAsia" w:cs="Calibri" w:asciiTheme="minorEastAsia" w:hAnsiTheme="minorEastAsia" w:eastAsiaTheme="minorEastAsia"/>
          <w:color w:val="auto"/>
          <w:szCs w:val="24"/>
          <w:highlight w:val="none"/>
        </w:rPr>
        <w:t>：</w:t>
      </w:r>
    </w:p>
    <w:p>
      <w:pPr>
        <w:widowControl w:val="0"/>
        <w:spacing w:after="0" w:line="480" w:lineRule="exact"/>
        <w:ind w:left="0" w:firstLine="480"/>
        <w:jc w:val="center"/>
        <w:rPr>
          <w:rFonts w:cs="Calibri" w:asciiTheme="minorEastAsia" w:hAnsiTheme="minorEastAsia" w:eastAsiaTheme="minorEastAsia"/>
          <w:b/>
          <w:color w:val="auto"/>
          <w:sz w:val="22"/>
          <w:szCs w:val="24"/>
          <w:highlight w:val="none"/>
        </w:rPr>
      </w:pPr>
      <w:r>
        <w:rPr>
          <w:rFonts w:cs="Calibri" w:asciiTheme="minorEastAsia" w:hAnsiTheme="minorEastAsia" w:eastAsiaTheme="minorEastAsia"/>
          <w:b/>
          <w:color w:val="auto"/>
          <w:sz w:val="22"/>
          <w:szCs w:val="24"/>
          <w:highlight w:val="none"/>
        </w:rPr>
        <w:t>表</w:t>
      </w:r>
      <w:r>
        <w:rPr>
          <w:rFonts w:hint="eastAsia" w:cs="Calibri" w:asciiTheme="minorEastAsia" w:hAnsiTheme="minorEastAsia" w:eastAsiaTheme="minorEastAsia"/>
          <w:b/>
          <w:color w:val="auto"/>
          <w:sz w:val="22"/>
          <w:szCs w:val="24"/>
          <w:highlight w:val="none"/>
        </w:rPr>
        <w:t>3-1 风险辨识范围</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6"/>
        <w:gridCol w:w="6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1"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highlight w:val="none"/>
              </w:rPr>
            </w:pPr>
            <w:r>
              <w:rPr>
                <w:rFonts w:hint="eastAsia" w:cs="Calibri" w:asciiTheme="minorEastAsia" w:hAnsiTheme="minorEastAsia" w:eastAsiaTheme="minorEastAsia"/>
                <w:color w:val="auto"/>
                <w:sz w:val="22"/>
                <w:szCs w:val="24"/>
                <w:highlight w:val="none"/>
              </w:rPr>
              <w:t>基础设施</w:t>
            </w:r>
          </w:p>
        </w:tc>
        <w:tc>
          <w:tcPr>
            <w:tcW w:w="3659"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highlight w:val="none"/>
              </w:rPr>
            </w:pPr>
            <w:r>
              <w:rPr>
                <w:rFonts w:hint="eastAsia" w:cs="Calibri" w:asciiTheme="minorEastAsia" w:hAnsiTheme="minorEastAsia" w:eastAsiaTheme="minorEastAsia"/>
                <w:color w:val="auto"/>
                <w:sz w:val="22"/>
                <w:szCs w:val="24"/>
                <w:highlight w:val="none"/>
              </w:rPr>
              <w:t>高速公路桥梁、路段、隧道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1"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highlight w:val="none"/>
              </w:rPr>
            </w:pPr>
            <w:r>
              <w:rPr>
                <w:rFonts w:hint="eastAsia" w:cs="Calibri" w:asciiTheme="minorEastAsia" w:hAnsiTheme="minorEastAsia" w:eastAsiaTheme="minorEastAsia"/>
                <w:color w:val="auto"/>
                <w:sz w:val="22"/>
                <w:szCs w:val="24"/>
                <w:highlight w:val="none"/>
              </w:rPr>
              <w:t>机关办公</w:t>
            </w:r>
          </w:p>
        </w:tc>
        <w:tc>
          <w:tcPr>
            <w:tcW w:w="3659"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highlight w:val="none"/>
              </w:rPr>
            </w:pPr>
            <w:r>
              <w:rPr>
                <w:rFonts w:hint="eastAsia" w:cs="Calibri" w:asciiTheme="minorEastAsia" w:hAnsiTheme="minorEastAsia" w:eastAsiaTheme="minorEastAsia"/>
                <w:color w:val="auto"/>
                <w:sz w:val="22"/>
                <w:szCs w:val="24"/>
                <w:highlight w:val="none"/>
              </w:rPr>
              <w:t>机关办公区域、设备及作业活动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1"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highlight w:val="none"/>
              </w:rPr>
            </w:pPr>
            <w:r>
              <w:rPr>
                <w:rFonts w:hint="eastAsia" w:cs="Calibri" w:asciiTheme="minorEastAsia" w:hAnsiTheme="minorEastAsia" w:eastAsiaTheme="minorEastAsia"/>
                <w:color w:val="auto"/>
                <w:sz w:val="22"/>
                <w:szCs w:val="24"/>
                <w:highlight w:val="none"/>
              </w:rPr>
              <w:t>收费站</w:t>
            </w:r>
          </w:p>
        </w:tc>
        <w:tc>
          <w:tcPr>
            <w:tcW w:w="3659"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highlight w:val="none"/>
              </w:rPr>
            </w:pPr>
            <w:r>
              <w:rPr>
                <w:rFonts w:cs="Calibri" w:asciiTheme="minorEastAsia" w:hAnsiTheme="minorEastAsia" w:eastAsiaTheme="minorEastAsia"/>
                <w:color w:val="auto"/>
                <w:sz w:val="22"/>
                <w:szCs w:val="24"/>
                <w:highlight w:val="none"/>
              </w:rPr>
              <w:t>收费站区域</w:t>
            </w:r>
            <w:r>
              <w:rPr>
                <w:rFonts w:hint="eastAsia" w:cs="Calibri" w:asciiTheme="minorEastAsia" w:hAnsiTheme="minorEastAsia" w:eastAsiaTheme="minorEastAsia"/>
                <w:color w:val="auto"/>
                <w:sz w:val="22"/>
                <w:szCs w:val="24"/>
                <w:highlight w:val="none"/>
              </w:rPr>
              <w:t>、</w:t>
            </w:r>
            <w:r>
              <w:rPr>
                <w:rFonts w:cs="Calibri" w:asciiTheme="minorEastAsia" w:hAnsiTheme="minorEastAsia" w:eastAsiaTheme="minorEastAsia"/>
                <w:color w:val="auto"/>
                <w:sz w:val="22"/>
                <w:szCs w:val="24"/>
                <w:highlight w:val="none"/>
              </w:rPr>
              <w:t>设备及作业活动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1"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highlight w:val="none"/>
              </w:rPr>
            </w:pPr>
            <w:r>
              <w:rPr>
                <w:rFonts w:hint="eastAsia" w:cs="Calibri" w:asciiTheme="minorEastAsia" w:hAnsiTheme="minorEastAsia" w:eastAsiaTheme="minorEastAsia"/>
                <w:color w:val="auto"/>
                <w:sz w:val="22"/>
                <w:szCs w:val="24"/>
                <w:highlight w:val="none"/>
              </w:rPr>
              <w:t>工程管理</w:t>
            </w:r>
          </w:p>
        </w:tc>
        <w:tc>
          <w:tcPr>
            <w:tcW w:w="3659"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highlight w:val="none"/>
              </w:rPr>
            </w:pPr>
            <w:r>
              <w:rPr>
                <w:rFonts w:hint="eastAsia" w:cs="Calibri" w:asciiTheme="minorEastAsia" w:hAnsiTheme="minorEastAsia" w:eastAsiaTheme="minorEastAsia"/>
                <w:color w:val="auto"/>
                <w:sz w:val="22"/>
                <w:szCs w:val="24"/>
                <w:highlight w:val="none"/>
              </w:rPr>
              <w:t>养护工区</w:t>
            </w:r>
            <w:r>
              <w:rPr>
                <w:rFonts w:cs="Calibri" w:asciiTheme="minorEastAsia" w:hAnsiTheme="minorEastAsia" w:eastAsiaTheme="minorEastAsia"/>
                <w:color w:val="auto"/>
                <w:sz w:val="22"/>
                <w:szCs w:val="24"/>
                <w:highlight w:val="none"/>
              </w:rPr>
              <w:t>区域</w:t>
            </w:r>
            <w:r>
              <w:rPr>
                <w:rFonts w:hint="eastAsia" w:cs="Calibri" w:asciiTheme="minorEastAsia" w:hAnsiTheme="minorEastAsia" w:eastAsiaTheme="minorEastAsia"/>
                <w:color w:val="auto"/>
                <w:sz w:val="22"/>
                <w:szCs w:val="24"/>
                <w:highlight w:val="none"/>
              </w:rPr>
              <w:t>、</w:t>
            </w:r>
            <w:r>
              <w:rPr>
                <w:rFonts w:cs="Calibri" w:asciiTheme="minorEastAsia" w:hAnsiTheme="minorEastAsia" w:eastAsiaTheme="minorEastAsia"/>
                <w:color w:val="auto"/>
                <w:sz w:val="22"/>
                <w:szCs w:val="24"/>
                <w:highlight w:val="none"/>
              </w:rPr>
              <w:t>设备及作业活动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1"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highlight w:val="none"/>
              </w:rPr>
            </w:pPr>
            <w:r>
              <w:rPr>
                <w:rFonts w:hint="eastAsia" w:cs="Calibri" w:asciiTheme="minorEastAsia" w:hAnsiTheme="minorEastAsia" w:eastAsiaTheme="minorEastAsia"/>
                <w:color w:val="auto"/>
                <w:sz w:val="22"/>
                <w:szCs w:val="24"/>
                <w:highlight w:val="none"/>
              </w:rPr>
              <w:t>指挥调度</w:t>
            </w:r>
          </w:p>
        </w:tc>
        <w:tc>
          <w:tcPr>
            <w:tcW w:w="3659"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highlight w:val="none"/>
              </w:rPr>
            </w:pPr>
            <w:r>
              <w:rPr>
                <w:rFonts w:hint="eastAsia" w:cs="Calibri" w:asciiTheme="minorEastAsia" w:hAnsiTheme="minorEastAsia" w:eastAsiaTheme="minorEastAsia"/>
                <w:color w:val="auto"/>
                <w:sz w:val="22"/>
                <w:szCs w:val="24"/>
                <w:highlight w:val="none"/>
              </w:rPr>
              <w:t>指调分中心</w:t>
            </w:r>
            <w:r>
              <w:rPr>
                <w:rFonts w:cs="Calibri" w:asciiTheme="minorEastAsia" w:hAnsiTheme="minorEastAsia" w:eastAsiaTheme="minorEastAsia"/>
                <w:color w:val="auto"/>
                <w:sz w:val="22"/>
                <w:szCs w:val="24"/>
                <w:highlight w:val="none"/>
              </w:rPr>
              <w:t>区域</w:t>
            </w:r>
            <w:r>
              <w:rPr>
                <w:rFonts w:hint="eastAsia" w:cs="Calibri" w:asciiTheme="minorEastAsia" w:hAnsiTheme="minorEastAsia" w:eastAsiaTheme="minorEastAsia"/>
                <w:color w:val="auto"/>
                <w:sz w:val="22"/>
                <w:szCs w:val="24"/>
                <w:highlight w:val="none"/>
              </w:rPr>
              <w:t>、</w:t>
            </w:r>
            <w:r>
              <w:rPr>
                <w:rFonts w:cs="Calibri" w:asciiTheme="minorEastAsia" w:hAnsiTheme="minorEastAsia" w:eastAsiaTheme="minorEastAsia"/>
                <w:color w:val="auto"/>
                <w:sz w:val="22"/>
                <w:szCs w:val="24"/>
                <w:highlight w:val="none"/>
              </w:rPr>
              <w:t>设备及作业活动</w:t>
            </w:r>
          </w:p>
        </w:tc>
      </w:tr>
    </w:tbl>
    <w:p>
      <w:pPr>
        <w:widowControl w:val="0"/>
        <w:spacing w:after="0" w:line="480" w:lineRule="exact"/>
        <w:ind w:left="0" w:firstLine="480"/>
        <w:jc w:val="both"/>
        <w:rPr>
          <w:rFonts w:cs="Calibri" w:asciiTheme="minorEastAsia" w:hAnsiTheme="minorEastAsia" w:eastAsiaTheme="minorEastAsia"/>
          <w:color w:val="auto"/>
          <w:szCs w:val="24"/>
          <w:highlight w:val="none"/>
        </w:rPr>
      </w:pP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2）安全管理部负责编制风险辨识手册（总则篇），明确风险辨识的范围、方式和程序，各部室、单位应认真组织职工学习，开展本部室、单位的风险辨识工作，辨识在工作场所和作业过程中存在的风险事件和致险因素。</w:t>
      </w:r>
    </w:p>
    <w:p>
      <w:pPr>
        <w:pStyle w:val="49"/>
        <w:widowControl w:val="0"/>
        <w:numPr>
          <w:ilvl w:val="0"/>
          <w:numId w:val="1"/>
        </w:numPr>
        <w:spacing w:after="0" w:line="480" w:lineRule="exact"/>
        <w:ind w:firstLineChars="0"/>
        <w:jc w:val="both"/>
        <w:rPr>
          <w:rFonts w:cs="Calibri" w:asciiTheme="minorEastAsia" w:hAnsiTheme="minorEastAsia" w:eastAsiaTheme="minorEastAsia"/>
          <w:color w:val="auto"/>
          <w:szCs w:val="24"/>
          <w:highlight w:val="none"/>
        </w:rPr>
      </w:pPr>
      <w:r>
        <w:rPr>
          <w:rFonts w:cs="Calibri" w:asciiTheme="minorEastAsia" w:hAnsiTheme="minorEastAsia" w:eastAsiaTheme="minorEastAsia"/>
          <w:color w:val="auto"/>
          <w:szCs w:val="24"/>
          <w:highlight w:val="none"/>
        </w:rPr>
        <w:t>风险辨识</w:t>
      </w:r>
      <w:r>
        <w:rPr>
          <w:rFonts w:hint="eastAsia" w:cs="Calibri" w:asciiTheme="minorEastAsia" w:hAnsiTheme="minorEastAsia" w:eastAsiaTheme="minorEastAsia"/>
          <w:color w:val="auto"/>
          <w:szCs w:val="24"/>
          <w:highlight w:val="none"/>
        </w:rPr>
        <w:t>的</w:t>
      </w:r>
      <w:r>
        <w:rPr>
          <w:rFonts w:cs="Calibri" w:asciiTheme="minorEastAsia" w:hAnsiTheme="minorEastAsia" w:eastAsiaTheme="minorEastAsia"/>
          <w:color w:val="auto"/>
          <w:szCs w:val="24"/>
          <w:highlight w:val="none"/>
        </w:rPr>
        <w:t>主要依据包括</w:t>
      </w:r>
      <w:r>
        <w:rPr>
          <w:rFonts w:hint="eastAsia" w:cs="Calibri" w:asciiTheme="minorEastAsia" w:hAnsiTheme="minorEastAsia" w:eastAsiaTheme="minorEastAsia"/>
          <w:color w:val="auto"/>
          <w:szCs w:val="24"/>
          <w:highlight w:val="none"/>
        </w:rPr>
        <w:t>：</w:t>
      </w:r>
    </w:p>
    <w:p>
      <w:pPr>
        <w:pStyle w:val="49"/>
        <w:widowControl w:val="0"/>
        <w:numPr>
          <w:ilvl w:val="0"/>
          <w:numId w:val="1"/>
        </w:numPr>
        <w:spacing w:after="0" w:line="480" w:lineRule="exact"/>
        <w:ind w:firstLineChars="0"/>
        <w:jc w:val="both"/>
        <w:rPr>
          <w:rFonts w:cs="Calibri" w:asciiTheme="minorEastAsia" w:hAnsiTheme="minorEastAsia" w:eastAsiaTheme="minorEastAsia"/>
          <w:color w:val="auto"/>
          <w:szCs w:val="24"/>
          <w:highlight w:val="none"/>
        </w:rPr>
      </w:pPr>
      <w:r>
        <w:rPr>
          <w:rFonts w:cs="Calibri" w:asciiTheme="minorEastAsia" w:hAnsiTheme="minorEastAsia" w:eastAsiaTheme="minorEastAsia"/>
          <w:color w:val="auto"/>
          <w:szCs w:val="24"/>
          <w:highlight w:val="none"/>
        </w:rPr>
        <w:t>安全生产相关法律法规、标准规范；</w:t>
      </w:r>
    </w:p>
    <w:p>
      <w:pPr>
        <w:pStyle w:val="49"/>
        <w:widowControl w:val="0"/>
        <w:numPr>
          <w:ilvl w:val="0"/>
          <w:numId w:val="1"/>
        </w:numPr>
        <w:spacing w:after="0" w:line="480" w:lineRule="exact"/>
        <w:ind w:firstLineChars="0"/>
        <w:jc w:val="both"/>
        <w:rPr>
          <w:rFonts w:cs="Calibri" w:asciiTheme="minorEastAsia" w:hAnsiTheme="minorEastAsia" w:eastAsiaTheme="minorEastAsia"/>
          <w:color w:val="auto"/>
          <w:szCs w:val="24"/>
          <w:highlight w:val="none"/>
        </w:rPr>
      </w:pPr>
      <w:r>
        <w:rPr>
          <w:rFonts w:cs="Calibri" w:asciiTheme="minorEastAsia" w:hAnsiTheme="minorEastAsia" w:eastAsiaTheme="minorEastAsia"/>
          <w:color w:val="auto"/>
          <w:szCs w:val="24"/>
          <w:highlight w:val="none"/>
        </w:rPr>
        <w:t>安全生产规章制度和操作规程；</w:t>
      </w:r>
    </w:p>
    <w:p>
      <w:pPr>
        <w:pStyle w:val="49"/>
        <w:widowControl w:val="0"/>
        <w:numPr>
          <w:ilvl w:val="0"/>
          <w:numId w:val="1"/>
        </w:numPr>
        <w:spacing w:after="0" w:line="480" w:lineRule="exact"/>
        <w:ind w:firstLineChars="0"/>
        <w:jc w:val="both"/>
        <w:rPr>
          <w:rFonts w:cs="Calibri" w:asciiTheme="minorEastAsia" w:hAnsiTheme="minorEastAsia" w:eastAsiaTheme="minorEastAsia"/>
          <w:color w:val="auto"/>
          <w:szCs w:val="24"/>
          <w:highlight w:val="none"/>
        </w:rPr>
      </w:pPr>
      <w:r>
        <w:rPr>
          <w:rFonts w:cs="Calibri" w:asciiTheme="minorEastAsia" w:hAnsiTheme="minorEastAsia" w:eastAsiaTheme="minorEastAsia"/>
          <w:color w:val="auto"/>
          <w:szCs w:val="24"/>
          <w:highlight w:val="none"/>
        </w:rPr>
        <w:t>相关事故案例；</w:t>
      </w:r>
    </w:p>
    <w:p>
      <w:pPr>
        <w:pStyle w:val="49"/>
        <w:widowControl w:val="0"/>
        <w:numPr>
          <w:ilvl w:val="0"/>
          <w:numId w:val="1"/>
        </w:numPr>
        <w:spacing w:after="0" w:line="480" w:lineRule="exact"/>
        <w:ind w:firstLineChars="0"/>
        <w:jc w:val="both"/>
        <w:rPr>
          <w:rFonts w:cs="Calibri" w:asciiTheme="minorEastAsia" w:hAnsiTheme="minorEastAsia" w:eastAsiaTheme="minorEastAsia"/>
          <w:color w:val="auto"/>
          <w:szCs w:val="24"/>
          <w:highlight w:val="none"/>
        </w:rPr>
      </w:pPr>
      <w:r>
        <w:rPr>
          <w:rFonts w:cs="Calibri" w:asciiTheme="minorEastAsia" w:hAnsiTheme="minorEastAsia" w:eastAsiaTheme="minorEastAsia"/>
          <w:color w:val="auto"/>
          <w:szCs w:val="24"/>
          <w:highlight w:val="none"/>
        </w:rPr>
        <w:t>管理体系的危险源辨识结果；</w:t>
      </w:r>
    </w:p>
    <w:p>
      <w:pPr>
        <w:pStyle w:val="49"/>
        <w:widowControl w:val="0"/>
        <w:numPr>
          <w:ilvl w:val="0"/>
          <w:numId w:val="1"/>
        </w:numPr>
        <w:spacing w:after="0" w:line="480" w:lineRule="exact"/>
        <w:ind w:firstLineChars="0"/>
        <w:jc w:val="both"/>
        <w:rPr>
          <w:rFonts w:cs="Calibri" w:asciiTheme="minorEastAsia" w:hAnsiTheme="minorEastAsia" w:eastAsiaTheme="minorEastAsia"/>
          <w:color w:val="auto"/>
          <w:szCs w:val="24"/>
          <w:highlight w:val="none"/>
        </w:rPr>
      </w:pPr>
      <w:r>
        <w:rPr>
          <w:rFonts w:cs="Calibri" w:asciiTheme="minorEastAsia" w:hAnsiTheme="minorEastAsia" w:eastAsiaTheme="minorEastAsia"/>
          <w:color w:val="auto"/>
          <w:szCs w:val="24"/>
          <w:highlight w:val="none"/>
        </w:rPr>
        <w:t>同类型其他单位的相关材料。</w:t>
      </w:r>
    </w:p>
    <w:bookmarkEnd w:id="16"/>
    <w:bookmarkEnd w:id="17"/>
    <w:p>
      <w:pPr>
        <w:spacing w:after="0" w:line="240" w:lineRule="auto"/>
        <w:ind w:left="0" w:firstLine="0"/>
        <w:rPr>
          <w:rFonts w:asciiTheme="minorEastAsia" w:hAnsiTheme="minorEastAsia" w:eastAsiaTheme="minorEastAsia"/>
          <w:b/>
          <w:color w:val="auto"/>
          <w:sz w:val="28"/>
          <w:szCs w:val="28"/>
          <w:highlight w:val="none"/>
        </w:rPr>
      </w:pPr>
      <w:r>
        <w:rPr>
          <w:rFonts w:asciiTheme="minorEastAsia" w:hAnsiTheme="minorEastAsia" w:eastAsiaTheme="minorEastAsia"/>
          <w:b/>
          <w:color w:val="auto"/>
          <w:sz w:val="28"/>
          <w:szCs w:val="28"/>
          <w:highlight w:val="none"/>
        </w:rPr>
        <w:br w:type="page"/>
      </w:r>
    </w:p>
    <w:p>
      <w:pPr>
        <w:spacing w:after="0" w:line="360" w:lineRule="auto"/>
        <w:ind w:left="11" w:hanging="11" w:hangingChars="4"/>
        <w:outlineLvl w:val="1"/>
        <w:rPr>
          <w:rFonts w:cs="微软雅黑" w:asciiTheme="minorEastAsia" w:hAnsiTheme="minorEastAsia" w:eastAsiaTheme="minorEastAsia"/>
          <w:b/>
          <w:color w:val="auto"/>
          <w:sz w:val="28"/>
          <w:szCs w:val="28"/>
          <w:highlight w:val="none"/>
        </w:rPr>
      </w:pPr>
      <w:bookmarkStart w:id="25" w:name="_Toc104735766"/>
      <w:r>
        <w:rPr>
          <w:rFonts w:hint="eastAsia" w:asciiTheme="minorEastAsia" w:hAnsiTheme="minorEastAsia" w:eastAsiaTheme="minorEastAsia"/>
          <w:b/>
          <w:color w:val="auto"/>
          <w:sz w:val="28"/>
          <w:szCs w:val="28"/>
          <w:highlight w:val="none"/>
        </w:rPr>
        <w:t>3.5</w:t>
      </w:r>
      <w:bookmarkEnd w:id="25"/>
      <w:r>
        <w:rPr>
          <w:rFonts w:hint="eastAsia" w:asciiTheme="minorEastAsia" w:hAnsiTheme="minorEastAsia" w:eastAsiaTheme="minorEastAsia"/>
          <w:b/>
          <w:color w:val="auto"/>
          <w:sz w:val="28"/>
          <w:szCs w:val="28"/>
          <w:highlight w:val="none"/>
        </w:rPr>
        <w:t>基础设施风险评估</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按照《河北省公路运营安全生产风险辨识</w:t>
      </w:r>
      <w:r>
        <w:rPr>
          <w:rFonts w:cs="宋体" w:asciiTheme="minorEastAsia" w:hAnsiTheme="minorEastAsia" w:eastAsiaTheme="minorEastAsia"/>
          <w:color w:val="auto"/>
          <w:szCs w:val="24"/>
          <w:highlight w:val="none"/>
        </w:rPr>
        <w:t>评估标准及管控措施(试行) 》的规定</w:t>
      </w:r>
      <w:r>
        <w:rPr>
          <w:rFonts w:hint="eastAsia" w:cs="宋体" w:asciiTheme="minorEastAsia" w:hAnsiTheme="minorEastAsia" w:eastAsiaTheme="minorEastAsia"/>
          <w:color w:val="auto"/>
          <w:szCs w:val="24"/>
          <w:highlight w:val="none"/>
        </w:rPr>
        <w:t>，对公司所属高速公路路段、桥梁进行评估，</w:t>
      </w:r>
      <w:r>
        <w:rPr>
          <w:rFonts w:cs="宋体" w:asciiTheme="minorEastAsia" w:hAnsiTheme="minorEastAsia" w:eastAsiaTheme="minorEastAsia"/>
          <w:color w:val="auto"/>
          <w:szCs w:val="24"/>
          <w:highlight w:val="none"/>
        </w:rPr>
        <w:t>评估标准如下所示</w:t>
      </w:r>
      <w:r>
        <w:rPr>
          <w:rFonts w:hint="eastAsia" w:cs="宋体" w:asciiTheme="minorEastAsia" w:hAnsiTheme="minorEastAsia" w:eastAsiaTheme="minorEastAsia"/>
          <w:color w:val="auto"/>
          <w:szCs w:val="24"/>
          <w:highlight w:val="none"/>
        </w:rPr>
        <w:t>。</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（1）桥梁评估标准</w:t>
      </w:r>
    </w:p>
    <w:p>
      <w:pPr>
        <w:widowControl w:val="0"/>
        <w:spacing w:after="0" w:line="480" w:lineRule="exact"/>
        <w:ind w:left="0" w:firstLine="480"/>
        <w:jc w:val="center"/>
        <w:rPr>
          <w:rFonts w:cs="宋体" w:asciiTheme="minorEastAsia" w:hAnsiTheme="minorEastAsia" w:eastAsiaTheme="minorEastAsia"/>
          <w:b/>
          <w:color w:val="auto"/>
          <w:sz w:val="21"/>
          <w:szCs w:val="24"/>
          <w:highlight w:val="none"/>
        </w:rPr>
      </w:pPr>
      <w:r>
        <w:rPr>
          <w:rFonts w:hint="eastAsia" w:cs="宋体" w:asciiTheme="minorEastAsia" w:hAnsiTheme="minorEastAsia" w:eastAsiaTheme="minorEastAsia"/>
          <w:b/>
          <w:color w:val="auto"/>
          <w:sz w:val="21"/>
          <w:szCs w:val="24"/>
          <w:highlight w:val="none"/>
        </w:rPr>
        <w:t>表3</w:t>
      </w:r>
      <w:r>
        <w:rPr>
          <w:rFonts w:cs="宋体" w:asciiTheme="minorEastAsia" w:hAnsiTheme="minorEastAsia" w:eastAsiaTheme="minorEastAsia"/>
          <w:b/>
          <w:color w:val="auto"/>
          <w:sz w:val="21"/>
          <w:szCs w:val="24"/>
          <w:highlight w:val="none"/>
        </w:rPr>
        <w:t>-</w:t>
      </w:r>
      <w:r>
        <w:rPr>
          <w:rFonts w:hint="eastAsia" w:cs="宋体" w:asciiTheme="minorEastAsia" w:hAnsiTheme="minorEastAsia" w:eastAsiaTheme="minorEastAsia"/>
          <w:b/>
          <w:color w:val="auto"/>
          <w:sz w:val="21"/>
          <w:szCs w:val="24"/>
          <w:highlight w:val="none"/>
        </w:rPr>
        <w:t>2桥梁风险源分级评定标准表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026"/>
        <w:gridCol w:w="1761"/>
        <w:gridCol w:w="1040"/>
        <w:gridCol w:w="4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tblHeader/>
          <w:jc w:val="center"/>
        </w:trPr>
        <w:tc>
          <w:tcPr>
            <w:tcW w:w="396"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序号</w:t>
            </w:r>
          </w:p>
        </w:tc>
        <w:tc>
          <w:tcPr>
            <w:tcW w:w="602"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一级指标</w:t>
            </w: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二级指标</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分值</w:t>
            </w:r>
          </w:p>
        </w:tc>
        <w:tc>
          <w:tcPr>
            <w:tcW w:w="2359"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评定说明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396" w:type="pct"/>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w:t>
            </w:r>
          </w:p>
        </w:tc>
        <w:tc>
          <w:tcPr>
            <w:tcW w:w="602" w:type="pct"/>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建设规模（</w:t>
            </w:r>
            <w:r>
              <w:rPr>
                <w:rFonts w:cs="Times New Roman" w:asciiTheme="minorEastAsia" w:hAnsiTheme="minorEastAsia" w:eastAsiaTheme="minorEastAsia"/>
                <w:color w:val="auto"/>
                <w:sz w:val="21"/>
                <w:szCs w:val="21"/>
                <w:highlight w:val="none"/>
              </w:rPr>
              <w:t>A1</w:t>
            </w:r>
            <w:r>
              <w:rPr>
                <w:rFonts w:hint="eastAsia" w:cs="Times New Roman" w:asciiTheme="minorEastAsia" w:hAnsiTheme="minorEastAsia" w:eastAsiaTheme="minorEastAsia"/>
                <w:color w:val="auto"/>
                <w:sz w:val="21"/>
                <w:szCs w:val="21"/>
                <w:highlight w:val="none"/>
              </w:rPr>
              <w:t>）</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20</w:t>
            </w:r>
            <w:r>
              <w:rPr>
                <w:rFonts w:hint="eastAsia" w:cs="Times New Roman" w:asciiTheme="minorEastAsia" w:hAnsiTheme="minorEastAsia" w:eastAsiaTheme="minorEastAsia"/>
                <w:color w:val="auto"/>
                <w:sz w:val="21"/>
                <w:szCs w:val="21"/>
                <w:highlight w:val="none"/>
              </w:rPr>
              <w:t>分</w:t>
            </w: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特大桥（</w:t>
            </w:r>
            <w:r>
              <w:rPr>
                <w:rFonts w:cs="Times New Roman" w:asciiTheme="minorEastAsia" w:hAnsiTheme="minorEastAsia" w:eastAsiaTheme="minorEastAsia"/>
                <w:color w:val="auto"/>
                <w:sz w:val="21"/>
                <w:szCs w:val="21"/>
                <w:highlight w:val="none"/>
              </w:rPr>
              <w:t>B1</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18-20</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一般满足</w:t>
            </w:r>
            <w:r>
              <w:rPr>
                <w:rFonts w:cs="Times New Roman" w:asciiTheme="minorEastAsia" w:hAnsiTheme="minorEastAsia" w:eastAsiaTheme="minorEastAsia"/>
                <w:color w:val="auto"/>
                <w:sz w:val="21"/>
                <w:szCs w:val="21"/>
                <w:highlight w:val="none"/>
              </w:rPr>
              <w:t>Lk&gt;150</w:t>
            </w:r>
            <w:r>
              <w:rPr>
                <w:rFonts w:hint="eastAsia" w:cs="Times New Roman" w:asciiTheme="minorEastAsia" w:hAnsiTheme="minorEastAsia" w:eastAsiaTheme="minorEastAsia"/>
                <w:color w:val="auto"/>
                <w:sz w:val="21"/>
                <w:szCs w:val="21"/>
                <w:highlight w:val="none"/>
              </w:rPr>
              <w:t>米或</w:t>
            </w:r>
            <w:r>
              <w:rPr>
                <w:rFonts w:cs="Times New Roman" w:asciiTheme="minorEastAsia" w:hAnsiTheme="minorEastAsia" w:eastAsiaTheme="minorEastAsia"/>
                <w:color w:val="auto"/>
                <w:sz w:val="21"/>
                <w:szCs w:val="21"/>
                <w:highlight w:val="none"/>
              </w:rPr>
              <w:t>L&gt;1000</w:t>
            </w:r>
            <w:r>
              <w:rPr>
                <w:rFonts w:hint="eastAsia" w:cs="Times New Roman" w:asciiTheme="minorEastAsia" w:hAnsiTheme="minorEastAsia" w:eastAsiaTheme="minorEastAsia"/>
                <w:color w:val="auto"/>
                <w:sz w:val="21"/>
                <w:szCs w:val="21"/>
                <w:highlight w:val="none"/>
              </w:rPr>
              <w:t>米此条件时取值</w:t>
            </w:r>
            <w:r>
              <w:rPr>
                <w:rFonts w:cs="Times New Roman" w:asciiTheme="minorEastAsia" w:hAnsiTheme="minorEastAsia" w:eastAsiaTheme="minorEastAsia"/>
                <w:color w:val="auto"/>
                <w:sz w:val="21"/>
                <w:szCs w:val="21"/>
                <w:highlight w:val="none"/>
              </w:rPr>
              <w:t>18</w:t>
            </w:r>
            <w:r>
              <w:rPr>
                <w:rFonts w:hint="eastAsia" w:cs="Times New Roman" w:asciiTheme="minorEastAsia" w:hAnsiTheme="minorEastAsia" w:eastAsiaTheme="minorEastAsia"/>
                <w:color w:val="auto"/>
                <w:sz w:val="21"/>
                <w:szCs w:val="21"/>
                <w:highlight w:val="none"/>
              </w:rPr>
              <w:t>分，但当单孔跨径</w:t>
            </w:r>
            <w:r>
              <w:rPr>
                <w:rFonts w:cs="Times New Roman" w:asciiTheme="minorEastAsia" w:hAnsiTheme="minorEastAsia" w:eastAsiaTheme="minorEastAsia"/>
                <w:color w:val="auto"/>
                <w:sz w:val="21"/>
                <w:szCs w:val="21"/>
                <w:highlight w:val="none"/>
              </w:rPr>
              <w:t>Lk</w:t>
            </w:r>
            <w:r>
              <w:rPr>
                <w:rFonts w:hint="eastAsia" w:cs="Times New Roman" w:asciiTheme="minorEastAsia" w:hAnsiTheme="minorEastAsia" w:eastAsiaTheme="minorEastAsia"/>
                <w:color w:val="auto"/>
                <w:sz w:val="21"/>
                <w:szCs w:val="21"/>
                <w:highlight w:val="none"/>
              </w:rPr>
              <w:t>（总长</w:t>
            </w:r>
            <w:r>
              <w:rPr>
                <w:rFonts w:cs="Times New Roman" w:asciiTheme="minorEastAsia" w:hAnsiTheme="minorEastAsia" w:eastAsiaTheme="minorEastAsia"/>
                <w:color w:val="auto"/>
                <w:sz w:val="21"/>
                <w:szCs w:val="21"/>
                <w:highlight w:val="none"/>
              </w:rPr>
              <w:t>L</w:t>
            </w:r>
            <w:r>
              <w:rPr>
                <w:rFonts w:hint="eastAsia" w:cs="Times New Roman" w:asciiTheme="minorEastAsia" w:hAnsiTheme="minorEastAsia" w:eastAsiaTheme="minorEastAsia"/>
                <w:color w:val="auto"/>
                <w:sz w:val="21"/>
                <w:szCs w:val="21"/>
                <w:highlight w:val="none"/>
              </w:rPr>
              <w:t>）超过或达到国内外同类桥型最大单孔跨径</w:t>
            </w:r>
            <w:r>
              <w:rPr>
                <w:rFonts w:cs="Times New Roman" w:asciiTheme="minorEastAsia" w:hAnsiTheme="minorEastAsia" w:eastAsiaTheme="minorEastAsia"/>
                <w:color w:val="auto"/>
                <w:sz w:val="21"/>
                <w:szCs w:val="21"/>
                <w:highlight w:val="none"/>
              </w:rPr>
              <w:t>Lk</w:t>
            </w:r>
            <w:r>
              <w:rPr>
                <w:rFonts w:hint="eastAsia" w:cs="Times New Roman" w:asciiTheme="minorEastAsia" w:hAnsiTheme="minorEastAsia" w:eastAsiaTheme="minorEastAsia"/>
                <w:color w:val="auto"/>
                <w:sz w:val="21"/>
                <w:szCs w:val="21"/>
                <w:highlight w:val="none"/>
              </w:rPr>
              <w:t>（总长</w:t>
            </w:r>
            <w:r>
              <w:rPr>
                <w:rFonts w:cs="Times New Roman" w:asciiTheme="minorEastAsia" w:hAnsiTheme="minorEastAsia" w:eastAsiaTheme="minorEastAsia"/>
                <w:color w:val="auto"/>
                <w:sz w:val="21"/>
                <w:szCs w:val="21"/>
                <w:highlight w:val="none"/>
              </w:rPr>
              <w:t>L</w:t>
            </w:r>
            <w:r>
              <w:rPr>
                <w:rFonts w:hint="eastAsia" w:cs="Times New Roman" w:asciiTheme="minorEastAsia" w:hAnsiTheme="minorEastAsia" w:eastAsiaTheme="minorEastAsia"/>
                <w:color w:val="auto"/>
                <w:sz w:val="21"/>
                <w:szCs w:val="21"/>
                <w:highlight w:val="none"/>
              </w:rPr>
              <w:t>）时取值</w:t>
            </w:r>
            <w:r>
              <w:rPr>
                <w:rFonts w:cs="Times New Roman" w:asciiTheme="minorEastAsia" w:hAnsiTheme="minorEastAsia" w:eastAsiaTheme="minorEastAsia"/>
                <w:color w:val="auto"/>
                <w:sz w:val="21"/>
                <w:szCs w:val="21"/>
                <w:highlight w:val="none"/>
              </w:rPr>
              <w:t>20</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大桥（</w:t>
            </w:r>
            <w:r>
              <w:rPr>
                <w:rFonts w:cs="Times New Roman" w:asciiTheme="minorEastAsia" w:hAnsiTheme="minorEastAsia" w:eastAsiaTheme="minorEastAsia"/>
                <w:color w:val="auto"/>
                <w:sz w:val="21"/>
                <w:szCs w:val="21"/>
                <w:highlight w:val="none"/>
              </w:rPr>
              <w:t>C1</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15</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100</w:t>
            </w:r>
            <w:r>
              <w:rPr>
                <w:rFonts w:hint="eastAsia" w:cs="Times New Roman" w:asciiTheme="minorEastAsia" w:hAnsiTheme="minorEastAsia" w:eastAsiaTheme="minorEastAsia"/>
                <w:color w:val="auto"/>
                <w:sz w:val="21"/>
                <w:szCs w:val="21"/>
                <w:highlight w:val="none"/>
              </w:rPr>
              <w:t>米≦</w:t>
            </w:r>
            <w:r>
              <w:rPr>
                <w:rFonts w:cs="Times New Roman" w:asciiTheme="minorEastAsia" w:hAnsiTheme="minorEastAsia" w:eastAsiaTheme="minorEastAsia"/>
                <w:color w:val="auto"/>
                <w:sz w:val="21"/>
                <w:szCs w:val="21"/>
                <w:highlight w:val="none"/>
              </w:rPr>
              <w:t>L</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1000</w:t>
            </w:r>
            <w:r>
              <w:rPr>
                <w:rFonts w:hint="eastAsia" w:cs="Times New Roman" w:asciiTheme="minorEastAsia" w:hAnsiTheme="minorEastAsia" w:eastAsiaTheme="minorEastAsia"/>
                <w:color w:val="auto"/>
                <w:sz w:val="21"/>
                <w:szCs w:val="21"/>
                <w:highlight w:val="none"/>
              </w:rPr>
              <w:t>米</w:t>
            </w:r>
            <w:r>
              <w:rPr>
                <w:rFonts w:cs="Times New Roman" w:asciiTheme="minorEastAsia" w:hAnsiTheme="minorEastAsia" w:eastAsiaTheme="minorEastAsia"/>
                <w:color w:val="auto"/>
                <w:sz w:val="21"/>
                <w:szCs w:val="21"/>
                <w:highlight w:val="none"/>
              </w:rPr>
              <w:t xml:space="preserve"> </w:t>
            </w:r>
            <w:r>
              <w:rPr>
                <w:rFonts w:hint="eastAsia" w:cs="Times New Roman" w:asciiTheme="minorEastAsia" w:hAnsiTheme="minorEastAsia" w:eastAsiaTheme="minorEastAsia"/>
                <w:color w:val="auto"/>
                <w:sz w:val="21"/>
                <w:szCs w:val="21"/>
                <w:highlight w:val="none"/>
              </w:rPr>
              <w:t>或</w:t>
            </w:r>
            <w:r>
              <w:rPr>
                <w:rFonts w:cs="Times New Roman" w:asciiTheme="minorEastAsia" w:hAnsiTheme="minorEastAsia" w:eastAsiaTheme="minorEastAsia"/>
                <w:color w:val="auto"/>
                <w:sz w:val="21"/>
                <w:szCs w:val="21"/>
                <w:highlight w:val="none"/>
              </w:rPr>
              <w:t xml:space="preserve"> 40</w:t>
            </w:r>
            <w:r>
              <w:rPr>
                <w:rFonts w:hint="eastAsia" w:cs="Times New Roman" w:asciiTheme="minorEastAsia" w:hAnsiTheme="minorEastAsia" w:eastAsiaTheme="minorEastAsia"/>
                <w:color w:val="auto"/>
                <w:sz w:val="21"/>
                <w:szCs w:val="21"/>
                <w:highlight w:val="none"/>
              </w:rPr>
              <w:t>米≦</w:t>
            </w:r>
            <w:r>
              <w:rPr>
                <w:rFonts w:cs="Times New Roman" w:asciiTheme="minorEastAsia" w:hAnsiTheme="minorEastAsia" w:eastAsiaTheme="minorEastAsia"/>
                <w:color w:val="auto"/>
                <w:sz w:val="21"/>
                <w:szCs w:val="21"/>
                <w:highlight w:val="none"/>
              </w:rPr>
              <w:t>Lk</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150</w:t>
            </w:r>
            <w:r>
              <w:rPr>
                <w:rFonts w:hint="eastAsia" w:cs="Times New Roman" w:asciiTheme="minorEastAsia" w:hAnsiTheme="minorEastAsia" w:eastAsiaTheme="minorEastAsia"/>
                <w:color w:val="auto"/>
                <w:sz w:val="21"/>
                <w:szCs w:val="21"/>
                <w:highlight w:val="none"/>
              </w:rPr>
              <w:t>米，符合此条件的取值</w:t>
            </w:r>
            <w:r>
              <w:rPr>
                <w:rFonts w:cs="Times New Roman" w:asciiTheme="minorEastAsia" w:hAnsiTheme="minorEastAsia" w:eastAsiaTheme="minorEastAsia"/>
                <w:color w:val="auto"/>
                <w:sz w:val="21"/>
                <w:szCs w:val="21"/>
                <w:highlight w:val="none"/>
              </w:rPr>
              <w:t>15</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中桥（</w:t>
            </w:r>
            <w:r>
              <w:rPr>
                <w:rFonts w:cs="Times New Roman" w:asciiTheme="minorEastAsia" w:hAnsiTheme="minorEastAsia" w:eastAsiaTheme="minorEastAsia"/>
                <w:color w:val="auto"/>
                <w:sz w:val="21"/>
                <w:szCs w:val="21"/>
                <w:highlight w:val="none"/>
              </w:rPr>
              <w:t>D1</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10</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30</w:t>
            </w:r>
            <w:r>
              <w:rPr>
                <w:rFonts w:hint="eastAsia" w:cs="Times New Roman" w:asciiTheme="minorEastAsia" w:hAnsiTheme="minorEastAsia" w:eastAsiaTheme="minorEastAsia"/>
                <w:color w:val="auto"/>
                <w:sz w:val="21"/>
                <w:szCs w:val="21"/>
                <w:highlight w:val="none"/>
              </w:rPr>
              <w:t>米＜</w:t>
            </w:r>
            <w:r>
              <w:rPr>
                <w:rFonts w:cs="Times New Roman" w:asciiTheme="minorEastAsia" w:hAnsiTheme="minorEastAsia" w:eastAsiaTheme="minorEastAsia"/>
                <w:color w:val="auto"/>
                <w:sz w:val="21"/>
                <w:szCs w:val="21"/>
                <w:highlight w:val="none"/>
              </w:rPr>
              <w:t>L</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100</w:t>
            </w:r>
            <w:r>
              <w:rPr>
                <w:rFonts w:hint="eastAsia" w:cs="Times New Roman" w:asciiTheme="minorEastAsia" w:hAnsiTheme="minorEastAsia" w:eastAsiaTheme="minorEastAsia"/>
                <w:color w:val="auto"/>
                <w:sz w:val="21"/>
                <w:szCs w:val="21"/>
                <w:highlight w:val="none"/>
              </w:rPr>
              <w:t>米或</w:t>
            </w:r>
            <w:r>
              <w:rPr>
                <w:rFonts w:cs="Times New Roman" w:asciiTheme="minorEastAsia" w:hAnsiTheme="minorEastAsia" w:eastAsiaTheme="minorEastAsia"/>
                <w:color w:val="auto"/>
                <w:sz w:val="21"/>
                <w:szCs w:val="21"/>
                <w:highlight w:val="none"/>
              </w:rPr>
              <w:t>20</w:t>
            </w:r>
            <w:r>
              <w:rPr>
                <w:rFonts w:hint="eastAsia" w:cs="Times New Roman" w:asciiTheme="minorEastAsia" w:hAnsiTheme="minorEastAsia" w:eastAsiaTheme="minorEastAsia"/>
                <w:color w:val="auto"/>
                <w:sz w:val="21"/>
                <w:szCs w:val="21"/>
                <w:highlight w:val="none"/>
              </w:rPr>
              <w:t>米≦</w:t>
            </w:r>
            <w:r>
              <w:rPr>
                <w:rFonts w:cs="Times New Roman" w:asciiTheme="minorEastAsia" w:hAnsiTheme="minorEastAsia" w:eastAsiaTheme="minorEastAsia"/>
                <w:color w:val="auto"/>
                <w:sz w:val="21"/>
                <w:szCs w:val="21"/>
                <w:highlight w:val="none"/>
              </w:rPr>
              <w:t>Lk</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40</w:t>
            </w:r>
            <w:r>
              <w:rPr>
                <w:rFonts w:hint="eastAsia" w:cs="Times New Roman" w:asciiTheme="minorEastAsia" w:hAnsiTheme="minorEastAsia" w:eastAsiaTheme="minorEastAsia"/>
                <w:color w:val="auto"/>
                <w:sz w:val="21"/>
                <w:szCs w:val="21"/>
                <w:highlight w:val="none"/>
              </w:rPr>
              <w:t>米，符合此条件的取值</w:t>
            </w:r>
            <w:r>
              <w:rPr>
                <w:rFonts w:cs="Times New Roman" w:asciiTheme="minorEastAsia" w:hAnsiTheme="minorEastAsia" w:eastAsiaTheme="minorEastAsia"/>
                <w:color w:val="auto"/>
                <w:sz w:val="21"/>
                <w:szCs w:val="21"/>
                <w:highlight w:val="none"/>
              </w:rPr>
              <w:t>10</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小桥（</w:t>
            </w:r>
            <w:r>
              <w:rPr>
                <w:rFonts w:cs="Times New Roman" w:asciiTheme="minorEastAsia" w:hAnsiTheme="minorEastAsia" w:eastAsiaTheme="minorEastAsia"/>
                <w:color w:val="auto"/>
                <w:sz w:val="21"/>
                <w:szCs w:val="21"/>
                <w:highlight w:val="none"/>
              </w:rPr>
              <w:t>E1</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6-8</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米≦</w:t>
            </w:r>
            <w:r>
              <w:rPr>
                <w:rFonts w:cs="Times New Roman" w:asciiTheme="minorEastAsia" w:hAnsiTheme="minorEastAsia" w:eastAsiaTheme="minorEastAsia"/>
                <w:color w:val="auto"/>
                <w:sz w:val="21"/>
                <w:szCs w:val="21"/>
                <w:highlight w:val="none"/>
              </w:rPr>
              <w:t>L</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30</w:t>
            </w:r>
            <w:r>
              <w:rPr>
                <w:rFonts w:hint="eastAsia" w:cs="Times New Roman" w:asciiTheme="minorEastAsia" w:hAnsiTheme="minorEastAsia" w:eastAsiaTheme="minorEastAsia"/>
                <w:color w:val="auto"/>
                <w:sz w:val="21"/>
                <w:szCs w:val="21"/>
                <w:highlight w:val="none"/>
              </w:rPr>
              <w:t>米或</w:t>
            </w:r>
            <w:r>
              <w:rPr>
                <w:rFonts w:cs="Times New Roman" w:asciiTheme="minorEastAsia" w:hAnsiTheme="minorEastAsia" w:eastAsiaTheme="minorEastAsia"/>
                <w:color w:val="auto"/>
                <w:sz w:val="21"/>
                <w:szCs w:val="21"/>
                <w:highlight w:val="none"/>
              </w:rPr>
              <w:t>5</w:t>
            </w:r>
            <w:r>
              <w:rPr>
                <w:rFonts w:hint="eastAsia" w:cs="Times New Roman" w:asciiTheme="minorEastAsia" w:hAnsiTheme="minorEastAsia" w:eastAsiaTheme="minorEastAsia"/>
                <w:color w:val="auto"/>
                <w:sz w:val="21"/>
                <w:szCs w:val="21"/>
                <w:highlight w:val="none"/>
              </w:rPr>
              <w:t>米≦</w:t>
            </w:r>
            <w:r>
              <w:rPr>
                <w:rFonts w:cs="Times New Roman" w:asciiTheme="minorEastAsia" w:hAnsiTheme="minorEastAsia" w:eastAsiaTheme="minorEastAsia"/>
                <w:color w:val="auto"/>
                <w:sz w:val="21"/>
                <w:szCs w:val="21"/>
                <w:highlight w:val="none"/>
              </w:rPr>
              <w:t>Lk</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20</w:t>
            </w:r>
            <w:r>
              <w:rPr>
                <w:rFonts w:hint="eastAsia" w:cs="Times New Roman" w:asciiTheme="minorEastAsia" w:hAnsiTheme="minorEastAsia" w:eastAsiaTheme="minorEastAsia"/>
                <w:color w:val="auto"/>
                <w:sz w:val="21"/>
                <w:szCs w:val="21"/>
                <w:highlight w:val="none"/>
              </w:rPr>
              <w:t>米，桥梁为单孔且</w:t>
            </w:r>
            <w:r>
              <w:rPr>
                <w:rFonts w:cs="Times New Roman" w:asciiTheme="minorEastAsia" w:hAnsiTheme="minorEastAsia" w:eastAsiaTheme="minorEastAsia"/>
                <w:color w:val="auto"/>
                <w:sz w:val="21"/>
                <w:szCs w:val="21"/>
                <w:highlight w:val="none"/>
              </w:rPr>
              <w:t>L</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20</w:t>
            </w:r>
            <w:r>
              <w:rPr>
                <w:rFonts w:hint="eastAsia" w:cs="Times New Roman" w:asciiTheme="minorEastAsia" w:hAnsiTheme="minorEastAsia" w:eastAsiaTheme="minorEastAsia"/>
                <w:color w:val="auto"/>
                <w:sz w:val="21"/>
                <w:szCs w:val="21"/>
                <w:highlight w:val="none"/>
              </w:rPr>
              <w:t>时，取值</w:t>
            </w:r>
            <w:r>
              <w:rPr>
                <w:rFonts w:cs="Times New Roman" w:asciiTheme="minorEastAsia" w:hAnsiTheme="minorEastAsia" w:eastAsiaTheme="minorEastAsia"/>
                <w:color w:val="auto"/>
                <w:sz w:val="21"/>
                <w:szCs w:val="21"/>
                <w:highlight w:val="none"/>
              </w:rPr>
              <w:t>6</w:t>
            </w:r>
            <w:r>
              <w:rPr>
                <w:rFonts w:hint="eastAsia" w:cs="Times New Roman" w:asciiTheme="minorEastAsia" w:hAnsiTheme="minorEastAsia" w:eastAsiaTheme="minorEastAsia"/>
                <w:color w:val="auto"/>
                <w:sz w:val="21"/>
                <w:szCs w:val="21"/>
                <w:highlight w:val="none"/>
              </w:rPr>
              <w:t>分，其他情况取值</w:t>
            </w: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96" w:type="pct"/>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2</w:t>
            </w:r>
          </w:p>
        </w:tc>
        <w:tc>
          <w:tcPr>
            <w:tcW w:w="602" w:type="pct"/>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桥位特征（</w:t>
            </w:r>
            <w:r>
              <w:rPr>
                <w:rFonts w:cs="Times New Roman" w:asciiTheme="minorEastAsia" w:hAnsiTheme="minorEastAsia" w:eastAsiaTheme="minorEastAsia"/>
                <w:color w:val="auto"/>
                <w:sz w:val="21"/>
                <w:szCs w:val="21"/>
                <w:highlight w:val="none"/>
              </w:rPr>
              <w:t>A2</w:t>
            </w:r>
            <w:r>
              <w:rPr>
                <w:rFonts w:hint="eastAsia" w:cs="Times New Roman" w:asciiTheme="minorEastAsia" w:hAnsiTheme="minorEastAsia" w:eastAsiaTheme="minorEastAsia"/>
                <w:color w:val="auto"/>
                <w:sz w:val="21"/>
                <w:szCs w:val="21"/>
                <w:highlight w:val="none"/>
              </w:rPr>
              <w:t>）</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w:t>
            </w: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跨越江河、海湾桥梁，水流流向与桥梁垂线夹角（</w:t>
            </w:r>
            <w:r>
              <w:rPr>
                <w:rFonts w:cs="Times New Roman" w:asciiTheme="minorEastAsia" w:hAnsiTheme="minorEastAsia" w:eastAsiaTheme="minorEastAsia"/>
                <w:color w:val="auto"/>
                <w:sz w:val="21"/>
                <w:szCs w:val="21"/>
                <w:highlight w:val="none"/>
              </w:rPr>
              <w:t>B2</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0-8</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跨越江河、海湾桥梁，水流流向与桥梁垂线夹角大于</w:t>
            </w:r>
            <w:r>
              <w:rPr>
                <w:rFonts w:cs="Times New Roman" w:asciiTheme="minorEastAsia" w:hAnsiTheme="minorEastAsia" w:eastAsiaTheme="minorEastAsia"/>
                <w:color w:val="auto"/>
                <w:sz w:val="21"/>
                <w:szCs w:val="21"/>
                <w:highlight w:val="none"/>
              </w:rPr>
              <w:t>5</w:t>
            </w:r>
            <w:r>
              <w:rPr>
                <w:rFonts w:hint="eastAsia" w:cs="Times New Roman" w:asciiTheme="minorEastAsia" w:hAnsiTheme="minorEastAsia" w:eastAsiaTheme="minorEastAsia"/>
                <w:color w:val="auto"/>
                <w:sz w:val="21"/>
                <w:szCs w:val="21"/>
                <w:highlight w:val="none"/>
              </w:rPr>
              <w:t>°，取值</w:t>
            </w: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分；</w:t>
            </w:r>
          </w:p>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夹角在</w:t>
            </w:r>
            <w:r>
              <w:rPr>
                <w:rFonts w:cs="Times New Roman" w:asciiTheme="minorEastAsia" w:hAnsiTheme="minorEastAsia" w:eastAsiaTheme="minorEastAsia"/>
                <w:color w:val="auto"/>
                <w:sz w:val="21"/>
                <w:szCs w:val="21"/>
                <w:highlight w:val="none"/>
              </w:rPr>
              <w:t>3</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—5</w:t>
            </w:r>
            <w:r>
              <w:rPr>
                <w:rFonts w:hint="eastAsia" w:cs="Times New Roman" w:asciiTheme="minorEastAsia" w:hAnsiTheme="minorEastAsia" w:eastAsiaTheme="minorEastAsia"/>
                <w:color w:val="auto"/>
                <w:sz w:val="21"/>
                <w:szCs w:val="21"/>
                <w:highlight w:val="none"/>
              </w:rPr>
              <w:t>°取值</w:t>
            </w:r>
            <w:r>
              <w:rPr>
                <w:rFonts w:cs="Times New Roman" w:asciiTheme="minorEastAsia" w:hAnsiTheme="minorEastAsia" w:eastAsiaTheme="minorEastAsia"/>
                <w:color w:val="auto"/>
                <w:sz w:val="21"/>
                <w:szCs w:val="21"/>
                <w:highlight w:val="none"/>
              </w:rPr>
              <w:t>5</w:t>
            </w:r>
            <w:r>
              <w:rPr>
                <w:rFonts w:hint="eastAsia" w:cs="Times New Roman" w:asciiTheme="minorEastAsia" w:hAnsiTheme="minorEastAsia" w:eastAsiaTheme="minorEastAsia"/>
                <w:color w:val="auto"/>
                <w:sz w:val="21"/>
                <w:szCs w:val="21"/>
                <w:highlight w:val="none"/>
              </w:rPr>
              <w:t>分；</w:t>
            </w:r>
          </w:p>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跨越江河、海湾桥梁，超过设计的通航等级。（</w:t>
            </w:r>
            <w:r>
              <w:rPr>
                <w:rFonts w:cs="Times New Roman" w:asciiTheme="minorEastAsia" w:hAnsiTheme="minorEastAsia" w:eastAsiaTheme="minorEastAsia"/>
                <w:color w:val="auto"/>
                <w:sz w:val="21"/>
                <w:szCs w:val="21"/>
                <w:highlight w:val="none"/>
              </w:rPr>
              <w:t>C2</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实际通航等级超过桥梁设计的通航的等级，取值</w:t>
            </w: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桥梁运营中超过其设计的承载能力。（</w:t>
            </w:r>
            <w:r>
              <w:rPr>
                <w:rFonts w:cs="Times New Roman" w:asciiTheme="minorEastAsia" w:hAnsiTheme="minorEastAsia" w:eastAsiaTheme="minorEastAsia"/>
                <w:color w:val="auto"/>
                <w:sz w:val="21"/>
                <w:szCs w:val="21"/>
                <w:highlight w:val="none"/>
              </w:rPr>
              <w:t>D2</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桥梁实际运营过程中，如超过桥梁设计的承载能力，取值</w:t>
            </w: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桥头引道的线形（</w:t>
            </w:r>
            <w:r>
              <w:rPr>
                <w:rFonts w:cs="Times New Roman" w:asciiTheme="minorEastAsia" w:hAnsiTheme="minorEastAsia" w:eastAsiaTheme="minorEastAsia"/>
                <w:color w:val="auto"/>
                <w:sz w:val="21"/>
                <w:szCs w:val="21"/>
                <w:highlight w:val="none"/>
              </w:rPr>
              <w:t>E2</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6-8</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市镇混合交通繁忙处，桥头引道纵坡接近或大于</w:t>
            </w:r>
            <w:r>
              <w:rPr>
                <w:rFonts w:cs="Times New Roman" w:asciiTheme="minorEastAsia" w:hAnsiTheme="minorEastAsia" w:eastAsiaTheme="minorEastAsia"/>
                <w:color w:val="auto"/>
                <w:sz w:val="21"/>
                <w:szCs w:val="21"/>
                <w:highlight w:val="none"/>
              </w:rPr>
              <w:t>3%</w:t>
            </w:r>
            <w:r>
              <w:rPr>
                <w:rFonts w:hint="eastAsia" w:cs="Times New Roman" w:asciiTheme="minorEastAsia" w:hAnsiTheme="minorEastAsia" w:eastAsiaTheme="minorEastAsia"/>
                <w:color w:val="auto"/>
                <w:sz w:val="21"/>
                <w:szCs w:val="21"/>
                <w:highlight w:val="none"/>
              </w:rPr>
              <w:t>，取值</w:t>
            </w: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分；</w:t>
            </w:r>
          </w:p>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其他地段桥头引道纵坡接近或大于</w:t>
            </w:r>
            <w:r>
              <w:rPr>
                <w:rFonts w:cs="Times New Roman" w:asciiTheme="minorEastAsia" w:hAnsiTheme="minorEastAsia" w:eastAsiaTheme="minorEastAsia"/>
                <w:color w:val="auto"/>
                <w:sz w:val="21"/>
                <w:szCs w:val="21"/>
                <w:highlight w:val="none"/>
              </w:rPr>
              <w:t>5%</w:t>
            </w:r>
            <w:r>
              <w:rPr>
                <w:rFonts w:hint="eastAsia" w:cs="Times New Roman" w:asciiTheme="minorEastAsia" w:hAnsiTheme="minorEastAsia" w:eastAsiaTheme="minorEastAsia"/>
                <w:color w:val="auto"/>
                <w:sz w:val="21"/>
                <w:szCs w:val="21"/>
                <w:highlight w:val="none"/>
              </w:rPr>
              <w:t>，取值</w:t>
            </w:r>
            <w:r>
              <w:rPr>
                <w:rFonts w:cs="Times New Roman" w:asciiTheme="minorEastAsia" w:hAnsiTheme="minorEastAsia" w:eastAsiaTheme="minorEastAsia"/>
                <w:color w:val="auto"/>
                <w:sz w:val="21"/>
                <w:szCs w:val="21"/>
                <w:highlight w:val="none"/>
              </w:rPr>
              <w:t>6</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跨越山谷桥梁（</w:t>
            </w:r>
            <w:r>
              <w:rPr>
                <w:rFonts w:cs="Times New Roman" w:asciiTheme="minorEastAsia" w:hAnsiTheme="minorEastAsia" w:eastAsiaTheme="minorEastAsia"/>
                <w:color w:val="auto"/>
                <w:sz w:val="21"/>
                <w:szCs w:val="21"/>
                <w:highlight w:val="none"/>
              </w:rPr>
              <w:t>F2</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6</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存在此种状况即取值</w:t>
            </w:r>
            <w:r>
              <w:rPr>
                <w:rFonts w:cs="Times New Roman" w:asciiTheme="minorEastAsia" w:hAnsiTheme="minorEastAsia" w:eastAsiaTheme="minorEastAsia"/>
                <w:color w:val="auto"/>
                <w:sz w:val="21"/>
                <w:szCs w:val="21"/>
                <w:highlight w:val="none"/>
              </w:rPr>
              <w:t>6</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桥隧相连（</w:t>
            </w:r>
            <w:r>
              <w:rPr>
                <w:rFonts w:cs="Times New Roman" w:asciiTheme="minorEastAsia" w:hAnsiTheme="minorEastAsia" w:eastAsiaTheme="minorEastAsia"/>
                <w:color w:val="auto"/>
                <w:sz w:val="21"/>
                <w:szCs w:val="21"/>
                <w:highlight w:val="none"/>
              </w:rPr>
              <w:t>G2</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6</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存在此种状况即取值</w:t>
            </w:r>
            <w:r>
              <w:rPr>
                <w:rFonts w:cs="Times New Roman" w:asciiTheme="minorEastAsia" w:hAnsiTheme="minorEastAsia" w:eastAsiaTheme="minorEastAsia"/>
                <w:color w:val="auto"/>
                <w:sz w:val="21"/>
                <w:szCs w:val="21"/>
                <w:highlight w:val="none"/>
              </w:rPr>
              <w:t>6</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3</w:t>
            </w:r>
          </w:p>
        </w:tc>
        <w:tc>
          <w:tcPr>
            <w:tcW w:w="602" w:type="pct"/>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桥梁技术状况等级</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A3</w:t>
            </w:r>
            <w:r>
              <w:rPr>
                <w:rFonts w:hint="eastAsia" w:cs="Times New Roman" w:asciiTheme="minorEastAsia" w:hAnsiTheme="minorEastAsia" w:eastAsiaTheme="minorEastAsia"/>
                <w:color w:val="auto"/>
                <w:sz w:val="21"/>
                <w:szCs w:val="21"/>
                <w:highlight w:val="none"/>
              </w:rPr>
              <w:t>）</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20</w:t>
            </w:r>
            <w:r>
              <w:rPr>
                <w:rFonts w:hint="eastAsia" w:cs="Times New Roman" w:asciiTheme="minorEastAsia" w:hAnsiTheme="minorEastAsia" w:eastAsiaTheme="minorEastAsia"/>
                <w:color w:val="auto"/>
                <w:sz w:val="21"/>
                <w:szCs w:val="21"/>
                <w:highlight w:val="none"/>
              </w:rPr>
              <w:t>分</w:t>
            </w: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四、五类桥梁（</w:t>
            </w:r>
            <w:r>
              <w:rPr>
                <w:rFonts w:cs="Times New Roman" w:asciiTheme="minorEastAsia" w:hAnsiTheme="minorEastAsia" w:eastAsiaTheme="minorEastAsia"/>
                <w:color w:val="auto"/>
                <w:sz w:val="21"/>
                <w:szCs w:val="21"/>
                <w:highlight w:val="none"/>
              </w:rPr>
              <w:t>B3</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20</w:t>
            </w:r>
            <w:r>
              <w:rPr>
                <w:rFonts w:hint="eastAsia" w:cs="Times New Roman" w:asciiTheme="minorEastAsia" w:hAnsiTheme="minorEastAsia" w:eastAsiaTheme="minorEastAsia"/>
                <w:color w:val="auto"/>
                <w:sz w:val="21"/>
                <w:szCs w:val="21"/>
                <w:highlight w:val="none"/>
              </w:rPr>
              <w:t>分</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依据《公路桥梁技术状况评定标准》（</w:t>
            </w:r>
            <w:r>
              <w:rPr>
                <w:rFonts w:cs="Times New Roman" w:asciiTheme="minorEastAsia" w:hAnsiTheme="minorEastAsia" w:eastAsiaTheme="minorEastAsia"/>
                <w:color w:val="auto"/>
                <w:sz w:val="21"/>
                <w:szCs w:val="21"/>
                <w:highlight w:val="none"/>
              </w:rPr>
              <w:t>JTG/T H21—2011</w:t>
            </w:r>
            <w:r>
              <w:rPr>
                <w:rFonts w:hint="eastAsia" w:cs="Times New Roman" w:asciiTheme="minorEastAsia" w:hAnsiTheme="minorEastAsia" w:eastAsiaTheme="minorEastAsia"/>
                <w:color w:val="auto"/>
                <w:sz w:val="21"/>
                <w:szCs w:val="21"/>
                <w:highlight w:val="none"/>
              </w:rPr>
              <w:t>）判定为四、五类桥的，取值</w:t>
            </w:r>
            <w:r>
              <w:rPr>
                <w:rFonts w:cs="Times New Roman" w:asciiTheme="minorEastAsia" w:hAnsiTheme="minorEastAsia" w:eastAsiaTheme="minorEastAsia"/>
                <w:color w:val="auto"/>
                <w:sz w:val="21"/>
                <w:szCs w:val="21"/>
                <w:highlight w:val="none"/>
              </w:rPr>
              <w:t>20</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三类桥梁（</w:t>
            </w:r>
            <w:r>
              <w:rPr>
                <w:rFonts w:cs="Times New Roman" w:asciiTheme="minorEastAsia" w:hAnsiTheme="minorEastAsia" w:eastAsiaTheme="minorEastAsia"/>
                <w:color w:val="auto"/>
                <w:sz w:val="21"/>
                <w:szCs w:val="21"/>
                <w:highlight w:val="none"/>
              </w:rPr>
              <w:t>C3</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依据《公路桥梁技术状况评定标准》（</w:t>
            </w:r>
            <w:r>
              <w:rPr>
                <w:rFonts w:cs="Times New Roman" w:asciiTheme="minorEastAsia" w:hAnsiTheme="minorEastAsia" w:eastAsiaTheme="minorEastAsia"/>
                <w:color w:val="auto"/>
                <w:sz w:val="21"/>
                <w:szCs w:val="21"/>
                <w:highlight w:val="none"/>
              </w:rPr>
              <w:t>JTG/T H21—2011</w:t>
            </w:r>
            <w:r>
              <w:rPr>
                <w:rFonts w:hint="eastAsia" w:cs="Times New Roman" w:asciiTheme="minorEastAsia" w:hAnsiTheme="minorEastAsia" w:eastAsiaTheme="minorEastAsia"/>
                <w:color w:val="auto"/>
                <w:sz w:val="21"/>
                <w:szCs w:val="21"/>
                <w:highlight w:val="none"/>
              </w:rPr>
              <w:t>）判定为三类桥的，取值</w:t>
            </w: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二类桥梁（</w:t>
            </w:r>
            <w:r>
              <w:rPr>
                <w:rFonts w:cs="Times New Roman" w:asciiTheme="minorEastAsia" w:hAnsiTheme="minorEastAsia" w:eastAsiaTheme="minorEastAsia"/>
                <w:color w:val="auto"/>
                <w:sz w:val="21"/>
                <w:szCs w:val="21"/>
                <w:highlight w:val="none"/>
              </w:rPr>
              <w:t>D3</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6</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依据《公路桥梁技术状况评定标准》（</w:t>
            </w:r>
            <w:r>
              <w:rPr>
                <w:rFonts w:cs="Times New Roman" w:asciiTheme="minorEastAsia" w:hAnsiTheme="minorEastAsia" w:eastAsiaTheme="minorEastAsia"/>
                <w:color w:val="auto"/>
                <w:sz w:val="21"/>
                <w:szCs w:val="21"/>
                <w:highlight w:val="none"/>
              </w:rPr>
              <w:t>JTG/T H21—2011</w:t>
            </w:r>
            <w:r>
              <w:rPr>
                <w:rFonts w:hint="eastAsia" w:cs="Times New Roman" w:asciiTheme="minorEastAsia" w:hAnsiTheme="minorEastAsia" w:eastAsiaTheme="minorEastAsia"/>
                <w:color w:val="auto"/>
                <w:sz w:val="21"/>
                <w:szCs w:val="21"/>
                <w:highlight w:val="none"/>
              </w:rPr>
              <w:t>）判定为二类桥的，取值</w:t>
            </w:r>
            <w:r>
              <w:rPr>
                <w:rFonts w:cs="Times New Roman" w:asciiTheme="minorEastAsia" w:hAnsiTheme="minorEastAsia" w:eastAsiaTheme="minorEastAsia"/>
                <w:color w:val="auto"/>
                <w:sz w:val="21"/>
                <w:szCs w:val="21"/>
                <w:highlight w:val="none"/>
              </w:rPr>
              <w:t>6</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一类桥梁（</w:t>
            </w:r>
            <w:r>
              <w:rPr>
                <w:rFonts w:cs="Times New Roman" w:asciiTheme="minorEastAsia" w:hAnsiTheme="minorEastAsia" w:eastAsiaTheme="minorEastAsia"/>
                <w:color w:val="auto"/>
                <w:sz w:val="21"/>
                <w:szCs w:val="21"/>
                <w:highlight w:val="none"/>
              </w:rPr>
              <w:t>E3</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4</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依据《公路桥梁技术状况评定标准》（</w:t>
            </w:r>
            <w:r>
              <w:rPr>
                <w:rFonts w:cs="Times New Roman" w:asciiTheme="minorEastAsia" w:hAnsiTheme="minorEastAsia" w:eastAsiaTheme="minorEastAsia"/>
                <w:color w:val="auto"/>
                <w:sz w:val="21"/>
                <w:szCs w:val="21"/>
                <w:highlight w:val="none"/>
              </w:rPr>
              <w:t>JTG/T H21—2011</w:t>
            </w:r>
            <w:r>
              <w:rPr>
                <w:rFonts w:hint="eastAsia" w:cs="Times New Roman" w:asciiTheme="minorEastAsia" w:hAnsiTheme="minorEastAsia" w:eastAsiaTheme="minorEastAsia"/>
                <w:color w:val="auto"/>
                <w:sz w:val="21"/>
                <w:szCs w:val="21"/>
                <w:highlight w:val="none"/>
              </w:rPr>
              <w:t>）判定为一类桥的，取值</w:t>
            </w:r>
            <w:r>
              <w:rPr>
                <w:rFonts w:cs="Times New Roman" w:asciiTheme="minorEastAsia" w:hAnsiTheme="minorEastAsia" w:eastAsiaTheme="minorEastAsia"/>
                <w:color w:val="auto"/>
                <w:sz w:val="21"/>
                <w:szCs w:val="21"/>
                <w:highlight w:val="none"/>
              </w:rPr>
              <w:t>4</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4</w:t>
            </w:r>
          </w:p>
        </w:tc>
        <w:tc>
          <w:tcPr>
            <w:tcW w:w="602" w:type="pct"/>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地质条件（</w:t>
            </w:r>
            <w:r>
              <w:rPr>
                <w:rFonts w:cs="Times New Roman" w:asciiTheme="minorEastAsia" w:hAnsiTheme="minorEastAsia" w:eastAsiaTheme="minorEastAsia"/>
                <w:color w:val="auto"/>
                <w:sz w:val="21"/>
                <w:szCs w:val="21"/>
                <w:highlight w:val="none"/>
              </w:rPr>
              <w:t>A4</w:t>
            </w:r>
            <w:r>
              <w:rPr>
                <w:rFonts w:hint="eastAsia" w:cs="Times New Roman" w:asciiTheme="minorEastAsia" w:hAnsiTheme="minorEastAsia" w:eastAsiaTheme="minorEastAsia"/>
                <w:color w:val="auto"/>
                <w:sz w:val="21"/>
                <w:szCs w:val="21"/>
                <w:highlight w:val="none"/>
              </w:rPr>
              <w:t>）</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16</w:t>
            </w:r>
            <w:r>
              <w:rPr>
                <w:rFonts w:hint="eastAsia" w:cs="Times New Roman" w:asciiTheme="minorEastAsia" w:hAnsiTheme="minorEastAsia" w:eastAsiaTheme="minorEastAsia"/>
                <w:color w:val="auto"/>
                <w:sz w:val="21"/>
                <w:szCs w:val="21"/>
                <w:highlight w:val="none"/>
              </w:rPr>
              <w:t>分</w:t>
            </w: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地震活动频繁区（</w:t>
            </w:r>
            <w:r>
              <w:rPr>
                <w:rFonts w:cs="Times New Roman" w:asciiTheme="minorEastAsia" w:hAnsiTheme="minorEastAsia" w:eastAsiaTheme="minorEastAsia"/>
                <w:color w:val="auto"/>
                <w:sz w:val="21"/>
                <w:szCs w:val="21"/>
                <w:highlight w:val="none"/>
              </w:rPr>
              <w:t>B4</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6</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我国五个地区共</w:t>
            </w:r>
            <w:r>
              <w:rPr>
                <w:rFonts w:cs="Times New Roman" w:asciiTheme="minorEastAsia" w:hAnsiTheme="minorEastAsia" w:eastAsiaTheme="minorEastAsia"/>
                <w:color w:val="auto"/>
                <w:sz w:val="21"/>
                <w:szCs w:val="21"/>
                <w:highlight w:val="none"/>
              </w:rPr>
              <w:t>23</w:t>
            </w:r>
            <w:r>
              <w:rPr>
                <w:rFonts w:hint="eastAsia" w:cs="Times New Roman" w:asciiTheme="minorEastAsia" w:hAnsiTheme="minorEastAsia" w:eastAsiaTheme="minorEastAsia"/>
                <w:color w:val="auto"/>
                <w:sz w:val="21"/>
                <w:szCs w:val="21"/>
                <w:highlight w:val="none"/>
              </w:rPr>
              <w:t>条地震带，处在地震带上取值</w:t>
            </w:r>
            <w:r>
              <w:rPr>
                <w:rFonts w:cs="Times New Roman" w:asciiTheme="minorEastAsia" w:hAnsiTheme="minorEastAsia" w:eastAsiaTheme="minorEastAsia"/>
                <w:color w:val="auto"/>
                <w:sz w:val="21"/>
                <w:szCs w:val="21"/>
                <w:highlight w:val="none"/>
              </w:rPr>
              <w:t>6</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滑坡、泥石流、塌方等频发路段（</w:t>
            </w:r>
            <w:r>
              <w:rPr>
                <w:rFonts w:cs="Times New Roman" w:asciiTheme="minorEastAsia" w:hAnsiTheme="minorEastAsia" w:eastAsiaTheme="minorEastAsia"/>
                <w:color w:val="auto"/>
                <w:sz w:val="21"/>
                <w:szCs w:val="21"/>
                <w:highlight w:val="none"/>
              </w:rPr>
              <w:t>C4</w:t>
            </w:r>
            <w:r>
              <w:rPr>
                <w:rFonts w:hint="eastAsia" w:cs="Times New Roman" w:asciiTheme="minorEastAsia" w:hAnsiTheme="minorEastAsia" w:eastAsiaTheme="minorEastAsia"/>
                <w:color w:val="auto"/>
                <w:sz w:val="21"/>
                <w:szCs w:val="21"/>
                <w:highlight w:val="none"/>
              </w:rPr>
              <w:t>）</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0-16</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滑坡、泥石流、塌方等地质灾害年均发生次数≥</w:t>
            </w:r>
            <w:r>
              <w:rPr>
                <w:rFonts w:cs="Times New Roman" w:asciiTheme="minorEastAsia" w:hAnsiTheme="minorEastAsia" w:eastAsiaTheme="minorEastAsia"/>
                <w:color w:val="auto"/>
                <w:sz w:val="21"/>
                <w:szCs w:val="21"/>
                <w:highlight w:val="none"/>
              </w:rPr>
              <w:t>5</w:t>
            </w:r>
            <w:r>
              <w:rPr>
                <w:rFonts w:hint="eastAsia" w:cs="Times New Roman" w:asciiTheme="minorEastAsia" w:hAnsiTheme="minorEastAsia" w:eastAsiaTheme="minorEastAsia"/>
                <w:color w:val="auto"/>
                <w:sz w:val="21"/>
                <w:szCs w:val="21"/>
                <w:highlight w:val="none"/>
              </w:rPr>
              <w:t>次得</w:t>
            </w:r>
            <w:r>
              <w:rPr>
                <w:rFonts w:cs="Times New Roman" w:asciiTheme="minorEastAsia" w:hAnsiTheme="minorEastAsia" w:eastAsiaTheme="minorEastAsia"/>
                <w:color w:val="auto"/>
                <w:sz w:val="21"/>
                <w:szCs w:val="21"/>
                <w:highlight w:val="none"/>
              </w:rPr>
              <w:t>16</w:t>
            </w:r>
            <w:r>
              <w:rPr>
                <w:rFonts w:hint="eastAsia" w:cs="Times New Roman" w:asciiTheme="minorEastAsia" w:hAnsiTheme="minorEastAsia" w:eastAsiaTheme="minorEastAsia"/>
                <w:color w:val="auto"/>
                <w:sz w:val="21"/>
                <w:szCs w:val="21"/>
                <w:highlight w:val="none"/>
              </w:rPr>
              <w:t>分，≥</w:t>
            </w:r>
            <w:r>
              <w:rPr>
                <w:rFonts w:cs="Times New Roman" w:asciiTheme="minorEastAsia" w:hAnsiTheme="minorEastAsia" w:eastAsiaTheme="minorEastAsia"/>
                <w:color w:val="auto"/>
                <w:sz w:val="21"/>
                <w:szCs w:val="21"/>
                <w:highlight w:val="none"/>
              </w:rPr>
              <w:t>3</w:t>
            </w:r>
            <w:r>
              <w:rPr>
                <w:rFonts w:hint="eastAsia" w:cs="Times New Roman" w:asciiTheme="minorEastAsia" w:hAnsiTheme="minorEastAsia" w:eastAsiaTheme="minorEastAsia"/>
                <w:color w:val="auto"/>
                <w:sz w:val="21"/>
                <w:szCs w:val="21"/>
                <w:highlight w:val="none"/>
              </w:rPr>
              <w:t>次得</w:t>
            </w: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5</w:t>
            </w:r>
          </w:p>
        </w:tc>
        <w:tc>
          <w:tcPr>
            <w:tcW w:w="602"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气象条件（</w:t>
            </w:r>
            <w:r>
              <w:rPr>
                <w:rFonts w:cs="Times New Roman" w:asciiTheme="minorEastAsia" w:hAnsiTheme="minorEastAsia" w:eastAsiaTheme="minorEastAsia"/>
                <w:color w:val="auto"/>
                <w:sz w:val="21"/>
                <w:szCs w:val="21"/>
                <w:highlight w:val="none"/>
              </w:rPr>
              <w:t>A5</w:t>
            </w:r>
            <w:r>
              <w:rPr>
                <w:rFonts w:hint="eastAsia" w:cs="Times New Roman" w:asciiTheme="minorEastAsia" w:hAnsiTheme="minorEastAsia" w:eastAsiaTheme="minorEastAsia"/>
                <w:color w:val="auto"/>
                <w:sz w:val="21"/>
                <w:szCs w:val="21"/>
                <w:highlight w:val="none"/>
              </w:rPr>
              <w:t>）</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w:t>
            </w:r>
          </w:p>
        </w:tc>
        <w:tc>
          <w:tcPr>
            <w:tcW w:w="1033"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气象恶劣程度</w:t>
            </w:r>
            <w:r>
              <w:rPr>
                <w:rFonts w:cs="Times New Roman" w:asciiTheme="minorEastAsia" w:hAnsiTheme="minorEastAsia" w:eastAsiaTheme="minorEastAsia"/>
                <w:color w:val="auto"/>
                <w:sz w:val="21"/>
                <w:szCs w:val="21"/>
                <w:highlight w:val="none"/>
              </w:rPr>
              <w:t>(B5)</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8-12</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满足以下条件之一者得</w:t>
            </w: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w:t>
            </w:r>
          </w:p>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年能见度小于</w:t>
            </w:r>
            <w:r>
              <w:rPr>
                <w:rFonts w:cs="Times New Roman" w:asciiTheme="minorEastAsia" w:hAnsiTheme="minorEastAsia" w:eastAsiaTheme="minorEastAsia"/>
                <w:color w:val="auto"/>
                <w:sz w:val="21"/>
                <w:szCs w:val="21"/>
                <w:highlight w:val="none"/>
              </w:rPr>
              <w:t>200m</w:t>
            </w:r>
            <w:r>
              <w:rPr>
                <w:rFonts w:hint="eastAsia" w:cs="Times New Roman" w:asciiTheme="minorEastAsia" w:hAnsiTheme="minorEastAsia" w:eastAsiaTheme="minorEastAsia"/>
                <w:color w:val="auto"/>
                <w:sz w:val="21"/>
                <w:szCs w:val="21"/>
                <w:highlight w:val="none"/>
              </w:rPr>
              <w:t>的雾天数≥</w:t>
            </w: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天；年平均出现</w:t>
            </w:r>
            <w:r>
              <w:rPr>
                <w:rFonts w:cs="Times New Roman" w:asciiTheme="minorEastAsia" w:hAnsiTheme="minorEastAsia" w:eastAsiaTheme="minorEastAsia"/>
                <w:color w:val="auto"/>
                <w:sz w:val="21"/>
                <w:szCs w:val="21"/>
                <w:highlight w:val="none"/>
              </w:rPr>
              <w:t xml:space="preserve">8 </w:t>
            </w:r>
            <w:r>
              <w:rPr>
                <w:rFonts w:hint="eastAsia" w:cs="Times New Roman" w:asciiTheme="minorEastAsia" w:hAnsiTheme="minorEastAsia" w:eastAsiaTheme="minorEastAsia"/>
                <w:color w:val="auto"/>
                <w:sz w:val="21"/>
                <w:szCs w:val="21"/>
                <w:highlight w:val="none"/>
              </w:rPr>
              <w:t>级以上大风≥</w:t>
            </w:r>
            <w:r>
              <w:rPr>
                <w:rFonts w:cs="Times New Roman" w:asciiTheme="minorEastAsia" w:hAnsiTheme="minorEastAsia" w:eastAsiaTheme="minorEastAsia"/>
                <w:color w:val="auto"/>
                <w:sz w:val="21"/>
                <w:szCs w:val="21"/>
                <w:highlight w:val="none"/>
              </w:rPr>
              <w:t>20</w:t>
            </w:r>
            <w:r>
              <w:rPr>
                <w:rFonts w:hint="eastAsia" w:cs="Times New Roman" w:asciiTheme="minorEastAsia" w:hAnsiTheme="minorEastAsia" w:eastAsiaTheme="minorEastAsia"/>
                <w:color w:val="auto"/>
                <w:sz w:val="21"/>
                <w:szCs w:val="21"/>
                <w:highlight w:val="none"/>
              </w:rPr>
              <w:t>天；年平均出现严重路面结冰≥</w:t>
            </w:r>
            <w:r>
              <w:rPr>
                <w:rFonts w:cs="Times New Roman" w:asciiTheme="minorEastAsia" w:hAnsiTheme="minorEastAsia" w:eastAsiaTheme="minorEastAsia"/>
                <w:color w:val="auto"/>
                <w:sz w:val="21"/>
                <w:szCs w:val="21"/>
                <w:highlight w:val="none"/>
              </w:rPr>
              <w:t>7</w:t>
            </w:r>
            <w:r>
              <w:rPr>
                <w:rFonts w:hint="eastAsia" w:cs="Times New Roman" w:asciiTheme="minorEastAsia" w:hAnsiTheme="minorEastAsia" w:eastAsiaTheme="minorEastAsia"/>
                <w:color w:val="auto"/>
                <w:sz w:val="21"/>
                <w:szCs w:val="21"/>
                <w:highlight w:val="none"/>
              </w:rPr>
              <w:t>天；</w:t>
            </w:r>
          </w:p>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满足以下条件之一者得</w:t>
            </w: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分：</w:t>
            </w:r>
          </w:p>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年能见度小于</w:t>
            </w:r>
            <w:r>
              <w:rPr>
                <w:rFonts w:cs="Times New Roman" w:asciiTheme="minorEastAsia" w:hAnsiTheme="minorEastAsia" w:eastAsiaTheme="minorEastAsia"/>
                <w:color w:val="auto"/>
                <w:sz w:val="21"/>
                <w:szCs w:val="21"/>
                <w:highlight w:val="none"/>
              </w:rPr>
              <w:t>500M</w:t>
            </w:r>
            <w:r>
              <w:rPr>
                <w:rFonts w:hint="eastAsia" w:cs="Times New Roman" w:asciiTheme="minorEastAsia" w:hAnsiTheme="minorEastAsia" w:eastAsiaTheme="minorEastAsia"/>
                <w:color w:val="auto"/>
                <w:sz w:val="21"/>
                <w:szCs w:val="21"/>
                <w:highlight w:val="none"/>
              </w:rPr>
              <w:t>的雾天数≥</w:t>
            </w:r>
            <w:r>
              <w:rPr>
                <w:rFonts w:cs="Times New Roman" w:asciiTheme="minorEastAsia" w:hAnsiTheme="minorEastAsia" w:eastAsiaTheme="minorEastAsia"/>
                <w:color w:val="auto"/>
                <w:sz w:val="21"/>
                <w:szCs w:val="21"/>
                <w:highlight w:val="none"/>
              </w:rPr>
              <w:t>5</w:t>
            </w:r>
            <w:r>
              <w:rPr>
                <w:rFonts w:hint="eastAsia" w:cs="Times New Roman" w:asciiTheme="minorEastAsia" w:hAnsiTheme="minorEastAsia" w:eastAsiaTheme="minorEastAsia"/>
                <w:color w:val="auto"/>
                <w:sz w:val="21"/>
                <w:szCs w:val="21"/>
                <w:highlight w:val="none"/>
              </w:rPr>
              <w:t>天；年平均出现</w:t>
            </w:r>
            <w:r>
              <w:rPr>
                <w:rFonts w:cs="Times New Roman" w:asciiTheme="minorEastAsia" w:hAnsiTheme="minorEastAsia" w:eastAsiaTheme="minorEastAsia"/>
                <w:color w:val="auto"/>
                <w:sz w:val="21"/>
                <w:szCs w:val="21"/>
                <w:highlight w:val="none"/>
              </w:rPr>
              <w:t>6</w:t>
            </w:r>
            <w:r>
              <w:rPr>
                <w:rFonts w:hint="eastAsia" w:cs="Times New Roman" w:asciiTheme="minorEastAsia" w:hAnsiTheme="minorEastAsia" w:eastAsiaTheme="minorEastAsia"/>
                <w:color w:val="auto"/>
                <w:sz w:val="21"/>
                <w:szCs w:val="21"/>
                <w:highlight w:val="none"/>
              </w:rPr>
              <w:t>级以上大风≥</w:t>
            </w:r>
            <w:r>
              <w:rPr>
                <w:rFonts w:cs="Times New Roman" w:asciiTheme="minorEastAsia" w:hAnsiTheme="minorEastAsia" w:eastAsiaTheme="minorEastAsia"/>
                <w:color w:val="auto"/>
                <w:sz w:val="21"/>
                <w:szCs w:val="21"/>
                <w:highlight w:val="none"/>
              </w:rPr>
              <w:t>15</w:t>
            </w:r>
            <w:r>
              <w:rPr>
                <w:rFonts w:hint="eastAsia" w:cs="Times New Roman" w:asciiTheme="minorEastAsia" w:hAnsiTheme="minorEastAsia" w:eastAsiaTheme="minorEastAsia"/>
                <w:color w:val="auto"/>
                <w:sz w:val="21"/>
                <w:szCs w:val="21"/>
                <w:highlight w:val="none"/>
              </w:rPr>
              <w:t>天；年平均出现较为严重路面结冰≥</w:t>
            </w:r>
            <w:r>
              <w:rPr>
                <w:rFonts w:cs="Times New Roman" w:asciiTheme="minorEastAsia" w:hAnsiTheme="minorEastAsia" w:eastAsiaTheme="minorEastAsia"/>
                <w:color w:val="auto"/>
                <w:sz w:val="21"/>
                <w:szCs w:val="21"/>
                <w:highlight w:val="none"/>
              </w:rPr>
              <w:t>5</w:t>
            </w:r>
            <w:r>
              <w:rPr>
                <w:rFonts w:hint="eastAsia" w:cs="Times New Roman" w:asciiTheme="minorEastAsia" w:hAnsiTheme="minorEastAsia" w:eastAsiaTheme="minorEastAsia"/>
                <w:color w:val="auto"/>
                <w:sz w:val="21"/>
                <w:szCs w:val="21"/>
                <w:highlight w:val="none"/>
              </w:rPr>
              <w:t>天，年平均降雪天数≥</w:t>
            </w:r>
            <w:r>
              <w:rPr>
                <w:rFonts w:cs="Times New Roman" w:asciiTheme="minorEastAsia" w:hAnsiTheme="minorEastAsia" w:eastAsiaTheme="minorEastAsia"/>
                <w:color w:val="auto"/>
                <w:sz w:val="21"/>
                <w:szCs w:val="21"/>
                <w:highlight w:val="none"/>
              </w:rPr>
              <w:t>15</w:t>
            </w:r>
            <w:r>
              <w:rPr>
                <w:rFonts w:hint="eastAsia" w:cs="Times New Roman" w:asciiTheme="minorEastAsia" w:hAnsiTheme="minorEastAsia" w:eastAsiaTheme="minorEastAsia"/>
                <w:color w:val="auto"/>
                <w:sz w:val="21"/>
                <w:szCs w:val="21"/>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6</w:t>
            </w:r>
          </w:p>
        </w:tc>
        <w:tc>
          <w:tcPr>
            <w:tcW w:w="602" w:type="pct"/>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交通流特征（</w:t>
            </w:r>
            <w:r>
              <w:rPr>
                <w:rFonts w:cs="Times New Roman" w:asciiTheme="minorEastAsia" w:hAnsiTheme="minorEastAsia" w:eastAsiaTheme="minorEastAsia"/>
                <w:color w:val="auto"/>
                <w:sz w:val="21"/>
                <w:szCs w:val="21"/>
                <w:highlight w:val="none"/>
              </w:rPr>
              <w:t>A6</w:t>
            </w:r>
            <w:r>
              <w:rPr>
                <w:rFonts w:hint="eastAsia" w:cs="Times New Roman" w:asciiTheme="minorEastAsia" w:hAnsiTheme="minorEastAsia" w:eastAsiaTheme="minorEastAsia"/>
                <w:color w:val="auto"/>
                <w:sz w:val="21"/>
                <w:szCs w:val="21"/>
                <w:highlight w:val="none"/>
              </w:rPr>
              <w:t>）</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20</w:t>
            </w:r>
            <w:r>
              <w:rPr>
                <w:rFonts w:hint="eastAsia" w:cs="Times New Roman" w:asciiTheme="minorEastAsia" w:hAnsiTheme="minorEastAsia" w:eastAsiaTheme="minorEastAsia"/>
                <w:color w:val="auto"/>
                <w:sz w:val="21"/>
                <w:szCs w:val="21"/>
                <w:highlight w:val="none"/>
              </w:rPr>
              <w:t>分</w:t>
            </w:r>
          </w:p>
        </w:tc>
        <w:tc>
          <w:tcPr>
            <w:tcW w:w="1033" w:type="pct"/>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重型车日交通量</w:t>
            </w:r>
            <w:r>
              <w:rPr>
                <w:rFonts w:cs="Times New Roman" w:asciiTheme="minorEastAsia" w:hAnsiTheme="minorEastAsia" w:eastAsiaTheme="minorEastAsia"/>
                <w:color w:val="auto"/>
                <w:sz w:val="21"/>
                <w:szCs w:val="21"/>
                <w:highlight w:val="none"/>
              </w:rPr>
              <w:t>(B6)</w:t>
            </w: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18-20</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重型车辆数量占日交通量的</w:t>
            </w:r>
            <w:r>
              <w:rPr>
                <w:rFonts w:cs="Times New Roman" w:asciiTheme="minorEastAsia" w:hAnsiTheme="minorEastAsia" w:eastAsiaTheme="minorEastAsia"/>
                <w:color w:val="auto"/>
                <w:sz w:val="21"/>
                <w:szCs w:val="21"/>
                <w:highlight w:val="none"/>
              </w:rPr>
              <w:t>50%</w:t>
            </w:r>
            <w:r>
              <w:rPr>
                <w:rFonts w:hint="eastAsia" w:cs="Times New Roman" w:asciiTheme="minorEastAsia" w:hAnsiTheme="minorEastAsia" w:eastAsiaTheme="minorEastAsia"/>
                <w:color w:val="auto"/>
                <w:sz w:val="21"/>
                <w:szCs w:val="21"/>
                <w:highlight w:val="none"/>
              </w:rPr>
              <w:t>以上取值</w:t>
            </w:r>
            <w:r>
              <w:rPr>
                <w:rFonts w:cs="Times New Roman" w:asciiTheme="minorEastAsia" w:hAnsiTheme="minorEastAsia" w:eastAsiaTheme="minorEastAsia"/>
                <w:color w:val="auto"/>
                <w:sz w:val="21"/>
                <w:szCs w:val="21"/>
                <w:highlight w:val="none"/>
              </w:rPr>
              <w:t>18</w:t>
            </w:r>
            <w:r>
              <w:rPr>
                <w:rFonts w:hint="eastAsia" w:cs="Times New Roman" w:asciiTheme="minorEastAsia" w:hAnsiTheme="minorEastAsia" w:eastAsiaTheme="minorEastAsia"/>
                <w:color w:val="auto"/>
                <w:sz w:val="21"/>
                <w:szCs w:val="21"/>
                <w:highlight w:val="none"/>
              </w:rPr>
              <w:t>分，每递增</w:t>
            </w:r>
            <w:r>
              <w:rPr>
                <w:rFonts w:cs="Times New Roman" w:asciiTheme="minorEastAsia" w:hAnsiTheme="minorEastAsia" w:eastAsiaTheme="minorEastAsia"/>
                <w:color w:val="auto"/>
                <w:sz w:val="21"/>
                <w:szCs w:val="21"/>
                <w:highlight w:val="none"/>
              </w:rPr>
              <w:t>10%</w:t>
            </w:r>
            <w:r>
              <w:rPr>
                <w:rFonts w:hint="eastAsia" w:cs="Times New Roman" w:asciiTheme="minorEastAsia" w:hAnsiTheme="minorEastAsia" w:eastAsiaTheme="minorEastAsia"/>
                <w:color w:val="auto"/>
                <w:sz w:val="21"/>
                <w:szCs w:val="21"/>
                <w:highlight w:val="none"/>
              </w:rPr>
              <w:t>，分值增加</w:t>
            </w:r>
            <w:r>
              <w:rPr>
                <w:rFonts w:cs="Times New Roman" w:asciiTheme="minorEastAsia" w:hAnsiTheme="minorEastAsia" w:eastAsiaTheme="minorEastAsia"/>
                <w:color w:val="auto"/>
                <w:sz w:val="21"/>
                <w:szCs w:val="21"/>
                <w:highlight w:val="none"/>
              </w:rPr>
              <w:t>1</w:t>
            </w:r>
            <w:r>
              <w:rPr>
                <w:rFonts w:hint="eastAsia" w:cs="Times New Roman" w:asciiTheme="minorEastAsia" w:hAnsiTheme="minorEastAsia" w:eastAsiaTheme="minorEastAsia"/>
                <w:color w:val="auto"/>
                <w:sz w:val="21"/>
                <w:szCs w:val="21"/>
                <w:highlight w:val="none"/>
              </w:rPr>
              <w:t>分，最高分值为</w:t>
            </w:r>
            <w:r>
              <w:rPr>
                <w:rFonts w:cs="Times New Roman" w:asciiTheme="minorEastAsia" w:hAnsiTheme="minorEastAsia" w:eastAsiaTheme="minorEastAsia"/>
                <w:color w:val="auto"/>
                <w:sz w:val="21"/>
                <w:szCs w:val="21"/>
                <w:highlight w:val="none"/>
              </w:rPr>
              <w:t>20</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14-16</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重型车辆数量占日交通量的</w:t>
            </w:r>
            <w:r>
              <w:rPr>
                <w:rFonts w:cs="Times New Roman" w:asciiTheme="minorEastAsia" w:hAnsiTheme="minorEastAsia" w:eastAsiaTheme="minorEastAsia"/>
                <w:color w:val="auto"/>
                <w:sz w:val="21"/>
                <w:szCs w:val="21"/>
                <w:highlight w:val="none"/>
              </w:rPr>
              <w:t>[40%</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50%]</w:t>
            </w:r>
            <w:r>
              <w:rPr>
                <w:rFonts w:hint="eastAsia" w:cs="Times New Roman" w:asciiTheme="minorEastAsia" w:hAnsiTheme="minorEastAsia" w:eastAsiaTheme="minorEastAsia"/>
                <w:color w:val="auto"/>
                <w:sz w:val="21"/>
                <w:szCs w:val="21"/>
                <w:highlight w:val="none"/>
              </w:rPr>
              <w:t>，取值</w:t>
            </w:r>
            <w:r>
              <w:rPr>
                <w:rFonts w:cs="Times New Roman" w:asciiTheme="minorEastAsia" w:hAnsiTheme="minorEastAsia" w:eastAsiaTheme="minorEastAsia"/>
                <w:color w:val="auto"/>
                <w:sz w:val="21"/>
                <w:szCs w:val="21"/>
                <w:highlight w:val="none"/>
              </w:rPr>
              <w:t>[14</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16]</w:t>
            </w:r>
            <w:r>
              <w:rPr>
                <w:rFonts w:hint="eastAsia" w:cs="Times New Roman" w:asciiTheme="minorEastAsia" w:hAnsiTheme="minorEastAsia"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02"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033" w:type="pct"/>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610" w:type="pc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8-14</w:t>
            </w:r>
            <w:r>
              <w:rPr>
                <w:rFonts w:hint="eastAsia" w:cs="Times New Roman" w:asciiTheme="minorEastAsia" w:hAnsiTheme="minorEastAsia" w:eastAsiaTheme="minorEastAsia"/>
                <w:color w:val="auto"/>
                <w:sz w:val="21"/>
                <w:szCs w:val="21"/>
                <w:highlight w:val="none"/>
              </w:rPr>
              <w:t>分</w:t>
            </w:r>
          </w:p>
        </w:tc>
        <w:tc>
          <w:tcPr>
            <w:tcW w:w="2359" w:type="pct"/>
            <w:vAlign w:val="center"/>
          </w:tcPr>
          <w:p>
            <w:pPr>
              <w:widowControl w:val="0"/>
              <w:spacing w:after="0" w:line="44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重型车辆数量占日交通量的</w:t>
            </w:r>
            <w:r>
              <w:rPr>
                <w:rFonts w:cs="Times New Roman" w:asciiTheme="minorEastAsia" w:hAnsiTheme="minorEastAsia" w:eastAsiaTheme="minorEastAsia"/>
                <w:color w:val="auto"/>
                <w:sz w:val="21"/>
                <w:szCs w:val="21"/>
                <w:highlight w:val="none"/>
              </w:rPr>
              <w:t>[20%</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30%</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40%]</w:t>
            </w:r>
            <w:r>
              <w:rPr>
                <w:rFonts w:hint="eastAsia" w:cs="Times New Roman" w:asciiTheme="minorEastAsia" w:hAnsiTheme="minorEastAsia" w:eastAsiaTheme="minorEastAsia"/>
                <w:color w:val="auto"/>
                <w:sz w:val="21"/>
                <w:szCs w:val="21"/>
                <w:highlight w:val="none"/>
              </w:rPr>
              <w:t>，取值</w:t>
            </w: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10</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14]</w:t>
            </w:r>
            <w:r>
              <w:rPr>
                <w:rFonts w:hint="eastAsia" w:cs="Times New Roman" w:asciiTheme="minorEastAsia" w:hAnsiTheme="minorEastAsia" w:eastAsiaTheme="minorEastAsia"/>
                <w:color w:val="auto"/>
                <w:sz w:val="21"/>
                <w:szCs w:val="21"/>
                <w:highlight w:val="none"/>
              </w:rPr>
              <w:t>。</w:t>
            </w:r>
          </w:p>
        </w:tc>
      </w:tr>
    </w:tbl>
    <w:p>
      <w:pPr>
        <w:widowControl w:val="0"/>
        <w:spacing w:before="46" w:after="0" w:line="440" w:lineRule="exact"/>
        <w:ind w:left="138" w:right="237" w:firstLine="480"/>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注：</w:t>
      </w:r>
      <w:r>
        <w:rPr>
          <w:rFonts w:cs="Times New Roman" w:asciiTheme="minorEastAsia" w:hAnsiTheme="minorEastAsia" w:eastAsiaTheme="minorEastAsia"/>
          <w:color w:val="auto"/>
          <w:sz w:val="21"/>
          <w:szCs w:val="21"/>
          <w:highlight w:val="none"/>
        </w:rPr>
        <w:t>1.</w:t>
      </w:r>
      <w:r>
        <w:rPr>
          <w:rFonts w:hint="eastAsia" w:cs="Times New Roman" w:asciiTheme="minorEastAsia" w:hAnsiTheme="minorEastAsia" w:eastAsiaTheme="minorEastAsia"/>
          <w:color w:val="auto"/>
          <w:sz w:val="21"/>
          <w:szCs w:val="21"/>
          <w:highlight w:val="none"/>
        </w:rPr>
        <w:t>重型车辆：车长大于等于</w:t>
      </w:r>
      <w:r>
        <w:rPr>
          <w:rFonts w:cs="Times New Roman" w:asciiTheme="minorEastAsia" w:hAnsiTheme="minorEastAsia" w:eastAsiaTheme="minorEastAsia"/>
          <w:color w:val="auto"/>
          <w:sz w:val="21"/>
          <w:szCs w:val="21"/>
          <w:highlight w:val="none"/>
        </w:rPr>
        <w:t>6m</w:t>
      </w:r>
      <w:r>
        <w:rPr>
          <w:rFonts w:hint="eastAsia" w:cs="Times New Roman" w:asciiTheme="minorEastAsia" w:hAnsiTheme="minorEastAsia" w:eastAsiaTheme="minorEastAsia"/>
          <w:color w:val="auto"/>
          <w:sz w:val="21"/>
          <w:szCs w:val="21"/>
          <w:highlight w:val="none"/>
        </w:rPr>
        <w:t>，总质量大于等于</w:t>
      </w:r>
      <w:r>
        <w:rPr>
          <w:rFonts w:cs="Times New Roman" w:asciiTheme="minorEastAsia" w:hAnsiTheme="minorEastAsia" w:eastAsiaTheme="minorEastAsia"/>
          <w:color w:val="auto"/>
          <w:sz w:val="21"/>
          <w:szCs w:val="21"/>
          <w:highlight w:val="none"/>
        </w:rPr>
        <w:t>12000kg</w:t>
      </w:r>
      <w:r>
        <w:rPr>
          <w:rFonts w:hint="eastAsia" w:cs="Times New Roman" w:asciiTheme="minorEastAsia" w:hAnsiTheme="minorEastAsia" w:eastAsiaTheme="minorEastAsia"/>
          <w:color w:val="auto"/>
          <w:sz w:val="21"/>
          <w:szCs w:val="21"/>
          <w:highlight w:val="none"/>
        </w:rPr>
        <w:t>载货汽车为重型载货汽车。</w:t>
      </w:r>
    </w:p>
    <w:p>
      <w:pPr>
        <w:widowControl w:val="0"/>
        <w:spacing w:before="46" w:after="0" w:line="440" w:lineRule="exact"/>
        <w:ind w:left="138" w:right="237" w:firstLine="840" w:firstLineChars="400"/>
        <w:jc w:val="both"/>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2.</w:t>
      </w:r>
      <w:r>
        <w:rPr>
          <w:rFonts w:hint="eastAsia" w:cs="Times New Roman" w:asciiTheme="minorEastAsia" w:hAnsiTheme="minorEastAsia" w:eastAsiaTheme="minorEastAsia"/>
          <w:color w:val="auto"/>
          <w:sz w:val="21"/>
          <w:szCs w:val="21"/>
          <w:highlight w:val="none"/>
        </w:rPr>
        <w:t>若二级指标得分值之和，大于一级指标分值，则取一级指标分值上限。</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桥梁进行逐个评估，计算评估每个桥梁的分数R，根据R值确定该桥梁的风险等级。</w:t>
      </w:r>
    </w:p>
    <w:p>
      <w:pPr>
        <w:widowControl w:val="0"/>
        <w:spacing w:after="0" w:line="480" w:lineRule="exact"/>
        <w:ind w:left="0" w:firstLine="480"/>
        <w:jc w:val="center"/>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R=A1+A2+A3+A4+A5+A6</w:t>
      </w:r>
    </w:p>
    <w:p>
      <w:pPr>
        <w:widowControl w:val="0"/>
        <w:spacing w:after="0" w:line="480" w:lineRule="exact"/>
        <w:ind w:left="0" w:firstLine="480"/>
        <w:jc w:val="center"/>
        <w:rPr>
          <w:rFonts w:cs="宋体" w:asciiTheme="minorEastAsia" w:hAnsiTheme="minorEastAsia" w:eastAsiaTheme="minorEastAsia"/>
          <w:b/>
          <w:color w:val="auto"/>
          <w:sz w:val="21"/>
          <w:szCs w:val="24"/>
          <w:highlight w:val="none"/>
        </w:rPr>
      </w:pPr>
      <w:r>
        <w:rPr>
          <w:rFonts w:hint="eastAsia" w:cs="宋体" w:asciiTheme="minorEastAsia" w:hAnsiTheme="minorEastAsia" w:eastAsiaTheme="minorEastAsia"/>
          <w:b/>
          <w:color w:val="auto"/>
          <w:sz w:val="21"/>
          <w:szCs w:val="24"/>
          <w:highlight w:val="none"/>
        </w:rPr>
        <w:t>表3-3桥梁风险源分级评定标准表</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1" w:type="dxa"/>
            <w:vAlign w:val="center"/>
          </w:tcPr>
          <w:p>
            <w:pPr>
              <w:widowControl w:val="0"/>
              <w:spacing w:before="46" w:after="0" w:line="440" w:lineRule="exact"/>
              <w:ind w:left="138" w:right="237"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风险等级</w:t>
            </w:r>
          </w:p>
        </w:tc>
        <w:tc>
          <w:tcPr>
            <w:tcW w:w="4261" w:type="dxa"/>
            <w:vAlign w:val="center"/>
          </w:tcPr>
          <w:p>
            <w:pPr>
              <w:widowControl w:val="0"/>
              <w:spacing w:before="46" w:after="0" w:line="440" w:lineRule="exact"/>
              <w:ind w:left="138" w:right="237"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计算分值</w:t>
            </w:r>
            <w:r>
              <w:rPr>
                <w:rFonts w:cs="Times New Roman" w:asciiTheme="minorEastAsia" w:hAnsiTheme="minorEastAsia" w:eastAsiaTheme="minorEastAsia"/>
                <w:color w:val="auto"/>
                <w:sz w:val="21"/>
                <w:szCs w:val="21"/>
                <w:highlight w:val="none"/>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1" w:type="dxa"/>
            <w:vAlign w:val="center"/>
          </w:tcPr>
          <w:p>
            <w:pPr>
              <w:widowControl w:val="0"/>
              <w:spacing w:before="46" w:after="0" w:line="440" w:lineRule="exact"/>
              <w:ind w:left="138" w:right="237"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重大风险源（</w:t>
            </w:r>
            <w:r>
              <w:rPr>
                <w:rFonts w:cs="Times New Roman" w:asciiTheme="minorEastAsia" w:hAnsiTheme="minorEastAsia" w:eastAsiaTheme="minorEastAsia"/>
                <w:color w:val="auto"/>
                <w:sz w:val="21"/>
                <w:szCs w:val="21"/>
                <w:highlight w:val="none"/>
              </w:rPr>
              <w:t>A</w:t>
            </w:r>
            <w:r>
              <w:rPr>
                <w:rFonts w:hint="eastAsia" w:cs="Times New Roman" w:asciiTheme="minorEastAsia" w:hAnsiTheme="minorEastAsia" w:eastAsiaTheme="minorEastAsia"/>
                <w:color w:val="auto"/>
                <w:sz w:val="21"/>
                <w:szCs w:val="21"/>
                <w:highlight w:val="none"/>
              </w:rPr>
              <w:t>级）</w:t>
            </w:r>
          </w:p>
        </w:tc>
        <w:tc>
          <w:tcPr>
            <w:tcW w:w="4261" w:type="dxa"/>
            <w:vAlign w:val="center"/>
          </w:tcPr>
          <w:p>
            <w:pPr>
              <w:widowControl w:val="0"/>
              <w:spacing w:before="46" w:after="0" w:line="440" w:lineRule="exact"/>
              <w:ind w:left="138" w:right="237"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符合★项条件或综合得分大于</w:t>
            </w:r>
            <w:r>
              <w:rPr>
                <w:rFonts w:cs="Times New Roman" w:asciiTheme="minorEastAsia" w:hAnsiTheme="minorEastAsia" w:eastAsiaTheme="minorEastAsia"/>
                <w:color w:val="auto"/>
                <w:sz w:val="21"/>
                <w:szCs w:val="21"/>
                <w:highlight w:val="none"/>
              </w:rPr>
              <w:t>65</w:t>
            </w:r>
            <w:r>
              <w:rPr>
                <w:rFonts w:hint="eastAsia" w:cs="Times New Roman" w:asciiTheme="minorEastAsia" w:hAnsiTheme="minorEastAsia" w:eastAsiaTheme="minorEastAsia"/>
                <w:color w:val="auto"/>
                <w:sz w:val="21"/>
                <w:szCs w:val="21"/>
                <w:highlight w:val="none"/>
              </w:rPr>
              <w:t>分者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1" w:type="dxa"/>
            <w:vAlign w:val="center"/>
          </w:tcPr>
          <w:p>
            <w:pPr>
              <w:widowControl w:val="0"/>
              <w:spacing w:before="46" w:after="0" w:line="440" w:lineRule="exact"/>
              <w:ind w:left="138" w:right="237"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较大风险（</w:t>
            </w:r>
            <w:r>
              <w:rPr>
                <w:rFonts w:cs="Times New Roman" w:asciiTheme="minorEastAsia" w:hAnsiTheme="minorEastAsia" w:eastAsiaTheme="minorEastAsia"/>
                <w:color w:val="auto"/>
                <w:sz w:val="21"/>
                <w:szCs w:val="21"/>
                <w:highlight w:val="none"/>
              </w:rPr>
              <w:t>B</w:t>
            </w:r>
            <w:r>
              <w:rPr>
                <w:rFonts w:hint="eastAsia" w:cs="Times New Roman" w:asciiTheme="minorEastAsia" w:hAnsiTheme="minorEastAsia" w:eastAsiaTheme="minorEastAsia"/>
                <w:color w:val="auto"/>
                <w:sz w:val="21"/>
                <w:szCs w:val="21"/>
                <w:highlight w:val="none"/>
              </w:rPr>
              <w:t>级）</w:t>
            </w:r>
          </w:p>
        </w:tc>
        <w:tc>
          <w:tcPr>
            <w:tcW w:w="4261" w:type="dxa"/>
            <w:vAlign w:val="center"/>
          </w:tcPr>
          <w:p>
            <w:pPr>
              <w:widowControl w:val="0"/>
              <w:spacing w:before="46" w:after="0" w:line="440" w:lineRule="exact"/>
              <w:ind w:left="138" w:right="237"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综合得分</w:t>
            </w:r>
            <w:r>
              <w:rPr>
                <w:rFonts w:cs="Times New Roman" w:asciiTheme="minorEastAsia" w:hAnsiTheme="minorEastAsia" w:eastAsiaTheme="minorEastAsia"/>
                <w:color w:val="auto"/>
                <w:sz w:val="21"/>
                <w:szCs w:val="21"/>
                <w:highlight w:val="none"/>
              </w:rPr>
              <w:t>55——64</w:t>
            </w:r>
            <w:r>
              <w:rPr>
                <w:rFonts w:hint="eastAsia" w:cs="Times New Roman" w:asciiTheme="minorEastAsia" w:hAnsiTheme="minorEastAsia" w:eastAsiaTheme="minorEastAsia"/>
                <w:color w:val="auto"/>
                <w:sz w:val="21"/>
                <w:szCs w:val="21"/>
                <w:highlight w:val="none"/>
              </w:rPr>
              <w:t>分者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1" w:type="dxa"/>
            <w:vAlign w:val="center"/>
          </w:tcPr>
          <w:p>
            <w:pPr>
              <w:widowControl w:val="0"/>
              <w:spacing w:before="46" w:after="0" w:line="440" w:lineRule="exact"/>
              <w:ind w:left="138" w:right="237"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一般风险（</w:t>
            </w:r>
            <w:r>
              <w:rPr>
                <w:rFonts w:cs="Times New Roman" w:asciiTheme="minorEastAsia" w:hAnsiTheme="minorEastAsia" w:eastAsiaTheme="minorEastAsia"/>
                <w:color w:val="auto"/>
                <w:sz w:val="21"/>
                <w:szCs w:val="21"/>
                <w:highlight w:val="none"/>
              </w:rPr>
              <w:t>C</w:t>
            </w:r>
            <w:r>
              <w:rPr>
                <w:rFonts w:hint="eastAsia" w:cs="Times New Roman" w:asciiTheme="minorEastAsia" w:hAnsiTheme="minorEastAsia" w:eastAsiaTheme="minorEastAsia"/>
                <w:color w:val="auto"/>
                <w:sz w:val="21"/>
                <w:szCs w:val="21"/>
                <w:highlight w:val="none"/>
              </w:rPr>
              <w:t>级）</w:t>
            </w:r>
          </w:p>
        </w:tc>
        <w:tc>
          <w:tcPr>
            <w:tcW w:w="4261" w:type="dxa"/>
            <w:vAlign w:val="center"/>
          </w:tcPr>
          <w:p>
            <w:pPr>
              <w:widowControl w:val="0"/>
              <w:spacing w:before="46" w:after="0" w:line="440" w:lineRule="exact"/>
              <w:ind w:left="138" w:right="237"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综合得分</w:t>
            </w:r>
            <w:r>
              <w:rPr>
                <w:rFonts w:cs="Times New Roman" w:asciiTheme="minorEastAsia" w:hAnsiTheme="minorEastAsia" w:eastAsiaTheme="minorEastAsia"/>
                <w:color w:val="auto"/>
                <w:sz w:val="21"/>
                <w:szCs w:val="21"/>
                <w:highlight w:val="none"/>
              </w:rPr>
              <w:t>45——54</w:t>
            </w:r>
            <w:r>
              <w:rPr>
                <w:rFonts w:hint="eastAsia" w:cs="Times New Roman" w:asciiTheme="minorEastAsia" w:hAnsiTheme="minorEastAsia" w:eastAsiaTheme="minorEastAsia"/>
                <w:color w:val="auto"/>
                <w:sz w:val="21"/>
                <w:szCs w:val="21"/>
                <w:highlight w:val="none"/>
              </w:rPr>
              <w:t>分者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1" w:type="dxa"/>
            <w:vAlign w:val="center"/>
          </w:tcPr>
          <w:p>
            <w:pPr>
              <w:widowControl w:val="0"/>
              <w:spacing w:before="46" w:after="0" w:line="440" w:lineRule="exact"/>
              <w:ind w:left="138" w:right="237"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较小风险（</w:t>
            </w:r>
            <w:r>
              <w:rPr>
                <w:rFonts w:cs="Times New Roman" w:asciiTheme="minorEastAsia" w:hAnsiTheme="minorEastAsia" w:eastAsiaTheme="minorEastAsia"/>
                <w:color w:val="auto"/>
                <w:sz w:val="21"/>
                <w:szCs w:val="21"/>
                <w:highlight w:val="none"/>
              </w:rPr>
              <w:t>D</w:t>
            </w:r>
            <w:r>
              <w:rPr>
                <w:rFonts w:hint="eastAsia" w:cs="Times New Roman" w:asciiTheme="minorEastAsia" w:hAnsiTheme="minorEastAsia" w:eastAsiaTheme="minorEastAsia"/>
                <w:color w:val="auto"/>
                <w:sz w:val="21"/>
                <w:szCs w:val="21"/>
                <w:highlight w:val="none"/>
              </w:rPr>
              <w:t>级）</w:t>
            </w:r>
          </w:p>
        </w:tc>
        <w:tc>
          <w:tcPr>
            <w:tcW w:w="4261" w:type="dxa"/>
            <w:vAlign w:val="center"/>
          </w:tcPr>
          <w:p>
            <w:pPr>
              <w:widowControl w:val="0"/>
              <w:spacing w:before="46" w:after="0" w:line="440" w:lineRule="exact"/>
              <w:ind w:left="138" w:right="237"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综合得分</w:t>
            </w:r>
            <w:r>
              <w:rPr>
                <w:rFonts w:cs="Times New Roman" w:asciiTheme="minorEastAsia" w:hAnsiTheme="minorEastAsia" w:eastAsiaTheme="minorEastAsia"/>
                <w:color w:val="auto"/>
                <w:sz w:val="21"/>
                <w:szCs w:val="21"/>
                <w:highlight w:val="none"/>
              </w:rPr>
              <w:t>35——44</w:t>
            </w:r>
            <w:r>
              <w:rPr>
                <w:rFonts w:hint="eastAsia" w:cs="Times New Roman" w:asciiTheme="minorEastAsia" w:hAnsiTheme="minorEastAsia" w:eastAsiaTheme="minorEastAsia"/>
                <w:color w:val="auto"/>
                <w:sz w:val="21"/>
                <w:szCs w:val="21"/>
                <w:highlight w:val="none"/>
              </w:rPr>
              <w:t>分者</w:t>
            </w:r>
          </w:p>
        </w:tc>
      </w:tr>
    </w:tbl>
    <w:p>
      <w:pPr>
        <w:widowControl w:val="0"/>
        <w:spacing w:after="0" w:line="560" w:lineRule="exact"/>
        <w:ind w:left="0" w:firstLine="480" w:firstLineChars="200"/>
        <w:rPr>
          <w:rFonts w:cs="Calibri" w:asciiTheme="minorEastAsia" w:hAnsiTheme="minorEastAsia" w:eastAsiaTheme="minorEastAsia"/>
          <w:color w:val="auto"/>
          <w:szCs w:val="24"/>
          <w:highlight w:val="none"/>
        </w:rPr>
      </w:pPr>
    </w:p>
    <w:p>
      <w:pPr>
        <w:spacing w:after="0" w:line="240" w:lineRule="auto"/>
        <w:ind w:left="0" w:firstLine="0"/>
        <w:rPr>
          <w:rFonts w:cs="Calibri" w:asciiTheme="minorEastAsia" w:hAnsiTheme="minorEastAsia" w:eastAsiaTheme="minorEastAsia"/>
          <w:color w:val="auto"/>
          <w:szCs w:val="24"/>
          <w:highlight w:val="none"/>
        </w:rPr>
      </w:pPr>
      <w:r>
        <w:rPr>
          <w:rFonts w:cs="Calibri" w:asciiTheme="minorEastAsia" w:hAnsiTheme="minorEastAsia" w:eastAsiaTheme="minorEastAsia"/>
          <w:color w:val="auto"/>
          <w:szCs w:val="24"/>
          <w:highlight w:val="none"/>
        </w:rPr>
        <w:br w:type="page"/>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（2）路段评估标准</w:t>
      </w:r>
    </w:p>
    <w:p>
      <w:pPr>
        <w:widowControl w:val="0"/>
        <w:spacing w:after="0" w:line="480" w:lineRule="exact"/>
        <w:ind w:left="0" w:firstLine="480"/>
        <w:jc w:val="center"/>
        <w:rPr>
          <w:rFonts w:cs="宋体" w:asciiTheme="minorEastAsia" w:hAnsiTheme="minorEastAsia" w:eastAsiaTheme="minorEastAsia"/>
          <w:b/>
          <w:color w:val="auto"/>
          <w:sz w:val="21"/>
          <w:szCs w:val="24"/>
          <w:highlight w:val="none"/>
        </w:rPr>
      </w:pPr>
      <w:r>
        <w:rPr>
          <w:rFonts w:hint="eastAsia" w:cs="宋体" w:asciiTheme="minorEastAsia" w:hAnsiTheme="minorEastAsia" w:eastAsiaTheme="minorEastAsia"/>
          <w:b/>
          <w:color w:val="auto"/>
          <w:sz w:val="21"/>
          <w:szCs w:val="24"/>
          <w:highlight w:val="none"/>
        </w:rPr>
        <w:t>表3</w:t>
      </w:r>
      <w:r>
        <w:rPr>
          <w:rFonts w:cs="宋体" w:asciiTheme="minorEastAsia" w:hAnsiTheme="minorEastAsia" w:eastAsiaTheme="minorEastAsia"/>
          <w:b/>
          <w:color w:val="auto"/>
          <w:sz w:val="21"/>
          <w:szCs w:val="24"/>
          <w:highlight w:val="none"/>
        </w:rPr>
        <w:t>-</w:t>
      </w:r>
      <w:r>
        <w:rPr>
          <w:rFonts w:hint="eastAsia" w:cs="宋体" w:asciiTheme="minorEastAsia" w:hAnsiTheme="minorEastAsia" w:eastAsiaTheme="minorEastAsia"/>
          <w:b/>
          <w:color w:val="auto"/>
          <w:sz w:val="21"/>
          <w:szCs w:val="24"/>
          <w:highlight w:val="none"/>
        </w:rPr>
        <w:t>4路段风险源等级评定表</w:t>
      </w:r>
    </w:p>
    <w:tbl>
      <w:tblPr>
        <w:tblStyle w:val="27"/>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286"/>
        <w:gridCol w:w="2284"/>
        <w:gridCol w:w="1395"/>
        <w:gridCol w:w="3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23"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序号</w:t>
            </w:r>
          </w:p>
        </w:tc>
        <w:tc>
          <w:tcPr>
            <w:tcW w:w="1286"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一级指标</w:t>
            </w: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二级指标名称</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分值</w:t>
            </w:r>
          </w:p>
        </w:tc>
        <w:tc>
          <w:tcPr>
            <w:tcW w:w="3461"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评估说明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w:t>
            </w:r>
          </w:p>
        </w:tc>
        <w:tc>
          <w:tcPr>
            <w:tcW w:w="1286"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线型特征（</w:t>
            </w:r>
            <w:r>
              <w:rPr>
                <w:rFonts w:cs="Times New Roman" w:asciiTheme="minorEastAsia" w:hAnsiTheme="minorEastAsia" w:eastAsiaTheme="minorEastAsia"/>
                <w:color w:val="auto"/>
                <w:sz w:val="21"/>
                <w:szCs w:val="21"/>
                <w:highlight w:val="none"/>
              </w:rPr>
              <w:t>A1*</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25</w:t>
            </w:r>
            <w:r>
              <w:rPr>
                <w:rFonts w:hint="eastAsia" w:cs="Times New Roman" w:asciiTheme="minorEastAsia" w:hAnsiTheme="minorEastAsia" w:eastAsiaTheme="minorEastAsia"/>
                <w:color w:val="auto"/>
                <w:sz w:val="21"/>
                <w:szCs w:val="21"/>
                <w:highlight w:val="none"/>
              </w:rPr>
              <w:t>分</w:t>
            </w: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陡坡路段（</w:t>
            </w:r>
            <w:r>
              <w:rPr>
                <w:rFonts w:cs="Times New Roman" w:asciiTheme="minorEastAsia" w:hAnsiTheme="minorEastAsia" w:eastAsiaTheme="minorEastAsia"/>
                <w:color w:val="auto"/>
                <w:sz w:val="21"/>
                <w:szCs w:val="21"/>
                <w:highlight w:val="none"/>
              </w:rPr>
              <w:t>B1</w:t>
            </w:r>
            <w:r>
              <w:rPr>
                <w:rFonts w:hint="eastAsia" w:cs="Times New Roman" w:asciiTheme="minorEastAsia" w:hAnsiTheme="minorEastAsia" w:eastAsiaTheme="minorEastAsia"/>
                <w:color w:val="auto"/>
                <w:sz w:val="21"/>
                <w:szCs w:val="21"/>
                <w:highlight w:val="none"/>
              </w:rPr>
              <w:t>）</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15-20</w:t>
            </w:r>
            <w:r>
              <w:rPr>
                <w:rFonts w:hint="eastAsia" w:cs="Times New Roman" w:asciiTheme="minorEastAsia" w:hAnsiTheme="minorEastAsia" w:eastAsiaTheme="minorEastAsia"/>
                <w:color w:val="auto"/>
                <w:sz w:val="21"/>
                <w:szCs w:val="21"/>
                <w:highlight w:val="none"/>
              </w:rPr>
              <w:t>分</w:t>
            </w:r>
          </w:p>
        </w:tc>
        <w:tc>
          <w:tcPr>
            <w:tcW w:w="3461"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参考《国家和省级督办公路危险路段标准》中的相关定义。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286"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连续下坡路段（</w:t>
            </w:r>
            <w:r>
              <w:rPr>
                <w:rFonts w:cs="Times New Roman" w:asciiTheme="minorEastAsia" w:hAnsiTheme="minorEastAsia" w:eastAsiaTheme="minorEastAsia"/>
                <w:color w:val="auto"/>
                <w:sz w:val="21"/>
                <w:szCs w:val="21"/>
                <w:highlight w:val="none"/>
              </w:rPr>
              <w:t>B2</w:t>
            </w:r>
            <w:r>
              <w:rPr>
                <w:rFonts w:hint="eastAsia" w:cs="Times New Roman" w:asciiTheme="minorEastAsia" w:hAnsiTheme="minorEastAsia" w:eastAsiaTheme="minorEastAsia"/>
                <w:color w:val="auto"/>
                <w:sz w:val="21"/>
                <w:szCs w:val="21"/>
                <w:highlight w:val="none"/>
              </w:rPr>
              <w:t>）</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10-15</w:t>
            </w:r>
            <w:r>
              <w:rPr>
                <w:rFonts w:hint="eastAsia" w:cs="Times New Roman" w:asciiTheme="minorEastAsia" w:hAnsiTheme="minorEastAsia" w:eastAsiaTheme="minorEastAsia"/>
                <w:color w:val="auto"/>
                <w:sz w:val="21"/>
                <w:szCs w:val="21"/>
                <w:highlight w:val="none"/>
              </w:rPr>
              <w:t>分</w:t>
            </w:r>
          </w:p>
        </w:tc>
        <w:tc>
          <w:tcPr>
            <w:tcW w:w="3461"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286"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急转弯路段（</w:t>
            </w:r>
            <w:r>
              <w:rPr>
                <w:rFonts w:cs="Times New Roman" w:asciiTheme="minorEastAsia" w:hAnsiTheme="minorEastAsia" w:eastAsiaTheme="minorEastAsia"/>
                <w:color w:val="auto"/>
                <w:sz w:val="21"/>
                <w:szCs w:val="21"/>
                <w:highlight w:val="none"/>
              </w:rPr>
              <w:t>C1</w:t>
            </w:r>
            <w:r>
              <w:rPr>
                <w:rFonts w:hint="eastAsia" w:cs="Times New Roman" w:asciiTheme="minorEastAsia" w:hAnsiTheme="minorEastAsia" w:eastAsiaTheme="minorEastAsia"/>
                <w:color w:val="auto"/>
                <w:sz w:val="21"/>
                <w:szCs w:val="21"/>
                <w:highlight w:val="none"/>
              </w:rPr>
              <w:t>）</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12-16</w:t>
            </w:r>
            <w:r>
              <w:rPr>
                <w:rFonts w:hint="eastAsia" w:cs="Times New Roman" w:asciiTheme="minorEastAsia" w:hAnsiTheme="minorEastAsia" w:eastAsiaTheme="minorEastAsia"/>
                <w:color w:val="auto"/>
                <w:sz w:val="21"/>
                <w:szCs w:val="21"/>
                <w:highlight w:val="none"/>
              </w:rPr>
              <w:t>分</w:t>
            </w:r>
          </w:p>
        </w:tc>
        <w:tc>
          <w:tcPr>
            <w:tcW w:w="3461"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2</w:t>
            </w:r>
          </w:p>
        </w:tc>
        <w:tc>
          <w:tcPr>
            <w:tcW w:w="1286"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线位特征（</w:t>
            </w:r>
            <w:r>
              <w:rPr>
                <w:rFonts w:cs="Times New Roman" w:asciiTheme="minorEastAsia" w:hAnsiTheme="minorEastAsia" w:eastAsiaTheme="minorEastAsia"/>
                <w:color w:val="auto"/>
                <w:sz w:val="21"/>
                <w:szCs w:val="21"/>
                <w:highlight w:val="none"/>
              </w:rPr>
              <w:t>A2</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16</w:t>
            </w:r>
            <w:r>
              <w:rPr>
                <w:rFonts w:hint="eastAsia" w:cs="Times New Roman" w:asciiTheme="minorEastAsia" w:hAnsiTheme="minorEastAsia" w:eastAsiaTheme="minorEastAsia"/>
                <w:color w:val="auto"/>
                <w:sz w:val="21"/>
                <w:szCs w:val="21"/>
                <w:highlight w:val="none"/>
              </w:rPr>
              <w:t>分</w:t>
            </w: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学校、体育场馆等人口密集路段（</w:t>
            </w:r>
            <w:r>
              <w:rPr>
                <w:rFonts w:cs="Times New Roman" w:asciiTheme="minorEastAsia" w:hAnsiTheme="minorEastAsia" w:eastAsiaTheme="minorEastAsia"/>
                <w:color w:val="auto"/>
                <w:sz w:val="21"/>
                <w:szCs w:val="21"/>
                <w:highlight w:val="none"/>
              </w:rPr>
              <w:t>B2</w:t>
            </w:r>
            <w:r>
              <w:rPr>
                <w:rFonts w:hint="eastAsia" w:cs="Times New Roman" w:asciiTheme="minorEastAsia" w:hAnsiTheme="minorEastAsia" w:eastAsiaTheme="minorEastAsia"/>
                <w:color w:val="auto"/>
                <w:sz w:val="21"/>
                <w:szCs w:val="21"/>
                <w:highlight w:val="none"/>
              </w:rPr>
              <w:t>）</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8-10</w:t>
            </w:r>
            <w:r>
              <w:rPr>
                <w:rFonts w:hint="eastAsia" w:cs="Times New Roman" w:asciiTheme="minorEastAsia" w:hAnsiTheme="minorEastAsia" w:eastAsiaTheme="minorEastAsia"/>
                <w:color w:val="auto"/>
                <w:sz w:val="21"/>
                <w:szCs w:val="21"/>
                <w:highlight w:val="none"/>
              </w:rPr>
              <w:t>分</w:t>
            </w:r>
          </w:p>
        </w:tc>
        <w:tc>
          <w:tcPr>
            <w:tcW w:w="3461"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286"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临崖临水高落差路段（</w:t>
            </w:r>
            <w:r>
              <w:rPr>
                <w:rFonts w:cs="Times New Roman" w:asciiTheme="minorEastAsia" w:hAnsiTheme="minorEastAsia" w:eastAsiaTheme="minorEastAsia"/>
                <w:color w:val="auto"/>
                <w:sz w:val="21"/>
                <w:szCs w:val="21"/>
                <w:highlight w:val="none"/>
              </w:rPr>
              <w:t>C2</w:t>
            </w:r>
            <w:r>
              <w:rPr>
                <w:rFonts w:hint="eastAsia" w:cs="Times New Roman" w:asciiTheme="minorEastAsia" w:hAnsiTheme="minorEastAsia" w:eastAsiaTheme="minorEastAsia"/>
                <w:color w:val="auto"/>
                <w:sz w:val="21"/>
                <w:szCs w:val="21"/>
                <w:highlight w:val="none"/>
              </w:rPr>
              <w:t>）</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12-16</w:t>
            </w:r>
            <w:r>
              <w:rPr>
                <w:rFonts w:hint="eastAsia" w:cs="Times New Roman" w:asciiTheme="minorEastAsia" w:hAnsiTheme="minorEastAsia" w:eastAsiaTheme="minorEastAsia"/>
                <w:color w:val="auto"/>
                <w:sz w:val="21"/>
                <w:szCs w:val="21"/>
                <w:highlight w:val="none"/>
              </w:rPr>
              <w:t>分</w:t>
            </w:r>
          </w:p>
        </w:tc>
        <w:tc>
          <w:tcPr>
            <w:tcW w:w="3461"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满足条件之一者得</w:t>
            </w:r>
            <w:r>
              <w:rPr>
                <w:rFonts w:cs="Times New Roman" w:asciiTheme="minorEastAsia" w:hAnsiTheme="minorEastAsia" w:eastAsiaTheme="minorEastAsia"/>
                <w:color w:val="auto"/>
                <w:sz w:val="21"/>
                <w:szCs w:val="21"/>
                <w:highlight w:val="none"/>
              </w:rPr>
              <w:t>16</w:t>
            </w:r>
            <w:r>
              <w:rPr>
                <w:rFonts w:hint="eastAsia" w:cs="Times New Roman" w:asciiTheme="minorEastAsia" w:hAnsiTheme="minorEastAsia" w:eastAsiaTheme="minorEastAsia"/>
                <w:color w:val="auto"/>
                <w:sz w:val="21"/>
                <w:szCs w:val="21"/>
                <w:highlight w:val="none"/>
              </w:rPr>
              <w:t>分：双侧临水、一面临山一面临崖、落差</w:t>
            </w: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米以上；满足条件之一者得</w:t>
            </w: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分：单侧临崖临水、落差</w:t>
            </w:r>
            <w:r>
              <w:rPr>
                <w:rFonts w:cs="Times New Roman" w:asciiTheme="minorEastAsia" w:hAnsiTheme="minorEastAsia" w:eastAsiaTheme="minorEastAsia"/>
                <w:color w:val="auto"/>
                <w:sz w:val="21"/>
                <w:szCs w:val="21"/>
                <w:highlight w:val="none"/>
              </w:rPr>
              <w:t>3-7</w:t>
            </w:r>
            <w:r>
              <w:rPr>
                <w:rFonts w:hint="eastAsia" w:cs="Times New Roman" w:asciiTheme="minorEastAsia" w:hAnsiTheme="minorEastAsia" w:eastAsiaTheme="minorEastAsia"/>
                <w:color w:val="auto"/>
                <w:sz w:val="21"/>
                <w:szCs w:val="21"/>
                <w:highlight w:val="none"/>
              </w:rPr>
              <w:t>米（含）；否则不得分。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3</w:t>
            </w:r>
          </w:p>
        </w:tc>
        <w:tc>
          <w:tcPr>
            <w:tcW w:w="1286"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节点特征（</w:t>
            </w:r>
            <w:r>
              <w:rPr>
                <w:rFonts w:cs="Times New Roman" w:asciiTheme="minorEastAsia" w:hAnsiTheme="minorEastAsia" w:eastAsiaTheme="minorEastAsia"/>
                <w:color w:val="auto"/>
                <w:sz w:val="21"/>
                <w:szCs w:val="21"/>
                <w:highlight w:val="none"/>
              </w:rPr>
              <w:t>A3</w:t>
            </w:r>
            <w:r>
              <w:rPr>
                <w:rFonts w:hint="eastAsia" w:cs="Times New Roman" w:asciiTheme="minorEastAsia" w:hAnsiTheme="minorEastAsia" w:eastAsiaTheme="minorEastAsia"/>
                <w:color w:val="auto"/>
                <w:sz w:val="21"/>
                <w:szCs w:val="21"/>
                <w:highlight w:val="none"/>
              </w:rPr>
              <w:t>）</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10</w:t>
            </w:r>
            <w:r>
              <w:rPr>
                <w:rFonts w:hint="eastAsia" w:cs="Times New Roman" w:asciiTheme="minorEastAsia" w:hAnsiTheme="minorEastAsia" w:eastAsiaTheme="minorEastAsia"/>
                <w:color w:val="auto"/>
                <w:sz w:val="21"/>
                <w:szCs w:val="21"/>
                <w:highlight w:val="none"/>
              </w:rPr>
              <w:t>分</w:t>
            </w: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与公路交叉口（</w:t>
            </w:r>
            <w:r>
              <w:rPr>
                <w:rFonts w:cs="Times New Roman" w:asciiTheme="minorEastAsia" w:hAnsiTheme="minorEastAsia" w:eastAsiaTheme="minorEastAsia"/>
                <w:color w:val="auto"/>
                <w:sz w:val="21"/>
                <w:szCs w:val="21"/>
                <w:highlight w:val="none"/>
              </w:rPr>
              <w:t>B3</w:t>
            </w:r>
            <w:r>
              <w:rPr>
                <w:rFonts w:hint="eastAsia" w:cs="Times New Roman" w:asciiTheme="minorEastAsia" w:hAnsiTheme="minorEastAsia" w:eastAsiaTheme="minorEastAsia"/>
                <w:color w:val="auto"/>
                <w:sz w:val="21"/>
                <w:szCs w:val="21"/>
                <w:highlight w:val="none"/>
              </w:rPr>
              <w:t>）</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分</w:t>
            </w:r>
          </w:p>
        </w:tc>
        <w:tc>
          <w:tcPr>
            <w:tcW w:w="3461"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平面交叉口包括：十字路口、</w:t>
            </w:r>
            <w:r>
              <w:rPr>
                <w:rFonts w:cs="Times New Roman" w:asciiTheme="minorEastAsia" w:hAnsiTheme="minorEastAsia" w:eastAsiaTheme="minorEastAsia"/>
                <w:color w:val="auto"/>
                <w:sz w:val="21"/>
                <w:szCs w:val="21"/>
                <w:highlight w:val="none"/>
              </w:rPr>
              <w:t>T</w:t>
            </w:r>
            <w:r>
              <w:rPr>
                <w:rFonts w:hint="eastAsia" w:cs="Times New Roman" w:asciiTheme="minorEastAsia" w:hAnsiTheme="minorEastAsia" w:eastAsiaTheme="minorEastAsia"/>
                <w:color w:val="auto"/>
                <w:sz w:val="21"/>
                <w:szCs w:val="21"/>
                <w:highlight w:val="none"/>
              </w:rPr>
              <w:t>形路口、</w:t>
            </w:r>
            <w:r>
              <w:rPr>
                <w:rFonts w:cs="Times New Roman" w:asciiTheme="minorEastAsia" w:hAnsiTheme="minorEastAsia" w:eastAsiaTheme="minorEastAsia"/>
                <w:color w:val="auto"/>
                <w:sz w:val="21"/>
                <w:szCs w:val="21"/>
                <w:highlight w:val="none"/>
              </w:rPr>
              <w:t>Y</w:t>
            </w:r>
            <w:r>
              <w:rPr>
                <w:rFonts w:hint="eastAsia" w:cs="Times New Roman" w:asciiTheme="minorEastAsia" w:hAnsiTheme="minorEastAsia" w:eastAsiaTheme="minorEastAsia"/>
                <w:color w:val="auto"/>
                <w:sz w:val="21"/>
                <w:szCs w:val="21"/>
                <w:highlight w:val="none"/>
              </w:rPr>
              <w:t>形路口、环岛等，均给</w:t>
            </w: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286"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与铁路交叉口</w:t>
            </w:r>
            <w:r>
              <w:rPr>
                <w:rFonts w:cs="Times New Roman" w:asciiTheme="minorEastAsia" w:hAnsiTheme="minorEastAsia" w:eastAsiaTheme="minorEastAsia"/>
                <w:color w:val="auto"/>
                <w:sz w:val="21"/>
                <w:szCs w:val="21"/>
                <w:highlight w:val="none"/>
              </w:rPr>
              <w:t>(C3)</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10</w:t>
            </w:r>
            <w:r>
              <w:rPr>
                <w:rFonts w:hint="eastAsia" w:cs="Times New Roman" w:asciiTheme="minorEastAsia" w:hAnsiTheme="minorEastAsia" w:eastAsiaTheme="minorEastAsia"/>
                <w:color w:val="auto"/>
                <w:sz w:val="21"/>
                <w:szCs w:val="21"/>
                <w:highlight w:val="none"/>
              </w:rPr>
              <w:t>分</w:t>
            </w:r>
          </w:p>
        </w:tc>
        <w:tc>
          <w:tcPr>
            <w:tcW w:w="3461"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平面交叉。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286"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高速公路出入口</w:t>
            </w:r>
            <w:r>
              <w:rPr>
                <w:rFonts w:cs="Times New Roman" w:asciiTheme="minorEastAsia" w:hAnsiTheme="minorEastAsia" w:eastAsiaTheme="minorEastAsia"/>
                <w:color w:val="auto"/>
                <w:sz w:val="21"/>
                <w:szCs w:val="21"/>
                <w:highlight w:val="none"/>
              </w:rPr>
              <w:t>(D3)</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6</w:t>
            </w:r>
            <w:r>
              <w:rPr>
                <w:rFonts w:hint="eastAsia" w:cs="Times New Roman" w:asciiTheme="minorEastAsia" w:hAnsiTheme="minorEastAsia" w:eastAsiaTheme="minorEastAsia"/>
                <w:color w:val="auto"/>
                <w:sz w:val="21"/>
                <w:szCs w:val="21"/>
                <w:highlight w:val="none"/>
              </w:rPr>
              <w:t>分</w:t>
            </w:r>
          </w:p>
        </w:tc>
        <w:tc>
          <w:tcPr>
            <w:tcW w:w="3461"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4</w:t>
            </w:r>
          </w:p>
        </w:tc>
        <w:tc>
          <w:tcPr>
            <w:tcW w:w="1286"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气象条件（</w:t>
            </w:r>
            <w:r>
              <w:rPr>
                <w:rFonts w:cs="Times New Roman" w:asciiTheme="minorEastAsia" w:hAnsiTheme="minorEastAsia" w:eastAsiaTheme="minorEastAsia"/>
                <w:color w:val="auto"/>
                <w:sz w:val="21"/>
                <w:szCs w:val="21"/>
                <w:highlight w:val="none"/>
              </w:rPr>
              <w:t>A4</w:t>
            </w:r>
            <w:r>
              <w:rPr>
                <w:rFonts w:hint="eastAsia" w:cs="Times New Roman" w:asciiTheme="minorEastAsia" w:hAnsiTheme="minorEastAsia" w:eastAsiaTheme="minorEastAsia"/>
                <w:color w:val="auto"/>
                <w:sz w:val="21"/>
                <w:szCs w:val="21"/>
                <w:highlight w:val="none"/>
              </w:rPr>
              <w:t>）</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w:t>
            </w: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气象恶劣程度</w:t>
            </w:r>
            <w:r>
              <w:rPr>
                <w:rFonts w:cs="Times New Roman" w:asciiTheme="minorEastAsia" w:hAnsiTheme="minorEastAsia" w:eastAsiaTheme="minorEastAsia"/>
                <w:color w:val="auto"/>
                <w:sz w:val="21"/>
                <w:szCs w:val="21"/>
                <w:highlight w:val="none"/>
              </w:rPr>
              <w:t>(B4)</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8-12</w:t>
            </w:r>
            <w:r>
              <w:rPr>
                <w:rFonts w:hint="eastAsia" w:cs="Times New Roman" w:asciiTheme="minorEastAsia" w:hAnsiTheme="minorEastAsia" w:eastAsiaTheme="minorEastAsia"/>
                <w:color w:val="auto"/>
                <w:sz w:val="21"/>
                <w:szCs w:val="21"/>
                <w:highlight w:val="none"/>
              </w:rPr>
              <w:t>分</w:t>
            </w:r>
          </w:p>
        </w:tc>
        <w:tc>
          <w:tcPr>
            <w:tcW w:w="3461"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满足以下条件之一者得</w:t>
            </w: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分：年能见度小于</w:t>
            </w:r>
            <w:r>
              <w:rPr>
                <w:rFonts w:cs="Times New Roman" w:asciiTheme="minorEastAsia" w:hAnsiTheme="minorEastAsia" w:eastAsiaTheme="minorEastAsia"/>
                <w:color w:val="auto"/>
                <w:sz w:val="21"/>
                <w:szCs w:val="21"/>
                <w:highlight w:val="none"/>
              </w:rPr>
              <w:t>200m</w:t>
            </w:r>
            <w:r>
              <w:rPr>
                <w:rFonts w:hint="eastAsia" w:cs="Times New Roman" w:asciiTheme="minorEastAsia" w:hAnsiTheme="minorEastAsia" w:eastAsiaTheme="minorEastAsia"/>
                <w:color w:val="auto"/>
                <w:sz w:val="21"/>
                <w:szCs w:val="21"/>
                <w:highlight w:val="none"/>
              </w:rPr>
              <w:t>的雾天数≥</w:t>
            </w: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天；年平均出现</w:t>
            </w:r>
            <w:r>
              <w:rPr>
                <w:rFonts w:cs="Times New Roman" w:asciiTheme="minorEastAsia" w:hAnsiTheme="minorEastAsia" w:eastAsiaTheme="minorEastAsia"/>
                <w:color w:val="auto"/>
                <w:sz w:val="21"/>
                <w:szCs w:val="21"/>
                <w:highlight w:val="none"/>
              </w:rPr>
              <w:t xml:space="preserve">8 </w:t>
            </w:r>
            <w:r>
              <w:rPr>
                <w:rFonts w:hint="eastAsia" w:cs="Times New Roman" w:asciiTheme="minorEastAsia" w:hAnsiTheme="minorEastAsia" w:eastAsiaTheme="minorEastAsia"/>
                <w:color w:val="auto"/>
                <w:sz w:val="21"/>
                <w:szCs w:val="21"/>
                <w:highlight w:val="none"/>
              </w:rPr>
              <w:t>级以上大风≥</w:t>
            </w:r>
            <w:r>
              <w:rPr>
                <w:rFonts w:cs="Times New Roman" w:asciiTheme="minorEastAsia" w:hAnsiTheme="minorEastAsia" w:eastAsiaTheme="minorEastAsia"/>
                <w:color w:val="auto"/>
                <w:sz w:val="21"/>
                <w:szCs w:val="21"/>
                <w:highlight w:val="none"/>
              </w:rPr>
              <w:t>20</w:t>
            </w:r>
            <w:r>
              <w:rPr>
                <w:rFonts w:hint="eastAsia" w:cs="Times New Roman" w:asciiTheme="minorEastAsia" w:hAnsiTheme="minorEastAsia" w:eastAsiaTheme="minorEastAsia"/>
                <w:color w:val="auto"/>
                <w:sz w:val="21"/>
                <w:szCs w:val="21"/>
                <w:highlight w:val="none"/>
              </w:rPr>
              <w:t>天；年平均出现严重路面结冰≥</w:t>
            </w:r>
            <w:r>
              <w:rPr>
                <w:rFonts w:cs="Times New Roman" w:asciiTheme="minorEastAsia" w:hAnsiTheme="minorEastAsia" w:eastAsiaTheme="minorEastAsia"/>
                <w:color w:val="auto"/>
                <w:sz w:val="21"/>
                <w:szCs w:val="21"/>
                <w:highlight w:val="none"/>
              </w:rPr>
              <w:t>7</w:t>
            </w:r>
            <w:r>
              <w:rPr>
                <w:rFonts w:hint="eastAsia" w:cs="Times New Roman" w:asciiTheme="minorEastAsia" w:hAnsiTheme="minorEastAsia" w:eastAsiaTheme="minorEastAsia"/>
                <w:color w:val="auto"/>
                <w:sz w:val="21"/>
                <w:szCs w:val="21"/>
                <w:highlight w:val="none"/>
              </w:rPr>
              <w:t>天；满足以下条件之一者得</w:t>
            </w: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分：年能见度小于</w:t>
            </w:r>
            <w:r>
              <w:rPr>
                <w:rFonts w:cs="Times New Roman" w:asciiTheme="minorEastAsia" w:hAnsiTheme="minorEastAsia" w:eastAsiaTheme="minorEastAsia"/>
                <w:color w:val="auto"/>
                <w:sz w:val="21"/>
                <w:szCs w:val="21"/>
                <w:highlight w:val="none"/>
              </w:rPr>
              <w:t>500M</w:t>
            </w:r>
            <w:r>
              <w:rPr>
                <w:rFonts w:hint="eastAsia" w:cs="Times New Roman" w:asciiTheme="minorEastAsia" w:hAnsiTheme="minorEastAsia" w:eastAsiaTheme="minorEastAsia"/>
                <w:color w:val="auto"/>
                <w:sz w:val="21"/>
                <w:szCs w:val="21"/>
                <w:highlight w:val="none"/>
              </w:rPr>
              <w:t>的雾天数≥</w:t>
            </w:r>
            <w:r>
              <w:rPr>
                <w:rFonts w:cs="Times New Roman" w:asciiTheme="minorEastAsia" w:hAnsiTheme="minorEastAsia" w:eastAsiaTheme="minorEastAsia"/>
                <w:color w:val="auto"/>
                <w:sz w:val="21"/>
                <w:szCs w:val="21"/>
                <w:highlight w:val="none"/>
              </w:rPr>
              <w:t>5</w:t>
            </w:r>
            <w:r>
              <w:rPr>
                <w:rFonts w:hint="eastAsia" w:cs="Times New Roman" w:asciiTheme="minorEastAsia" w:hAnsiTheme="minorEastAsia" w:eastAsiaTheme="minorEastAsia"/>
                <w:color w:val="auto"/>
                <w:sz w:val="21"/>
                <w:szCs w:val="21"/>
                <w:highlight w:val="none"/>
              </w:rPr>
              <w:t>天；年平均出现</w:t>
            </w:r>
            <w:r>
              <w:rPr>
                <w:rFonts w:cs="Times New Roman" w:asciiTheme="minorEastAsia" w:hAnsiTheme="minorEastAsia" w:eastAsiaTheme="minorEastAsia"/>
                <w:color w:val="auto"/>
                <w:sz w:val="21"/>
                <w:szCs w:val="21"/>
                <w:highlight w:val="none"/>
              </w:rPr>
              <w:t>6</w:t>
            </w:r>
            <w:r>
              <w:rPr>
                <w:rFonts w:hint="eastAsia" w:cs="Times New Roman" w:asciiTheme="minorEastAsia" w:hAnsiTheme="minorEastAsia" w:eastAsiaTheme="minorEastAsia"/>
                <w:color w:val="auto"/>
                <w:sz w:val="21"/>
                <w:szCs w:val="21"/>
                <w:highlight w:val="none"/>
              </w:rPr>
              <w:t>级以上大风≥</w:t>
            </w:r>
            <w:r>
              <w:rPr>
                <w:rFonts w:cs="Times New Roman" w:asciiTheme="minorEastAsia" w:hAnsiTheme="minorEastAsia" w:eastAsiaTheme="minorEastAsia"/>
                <w:color w:val="auto"/>
                <w:sz w:val="21"/>
                <w:szCs w:val="21"/>
                <w:highlight w:val="none"/>
              </w:rPr>
              <w:t>15</w:t>
            </w:r>
            <w:r>
              <w:rPr>
                <w:rFonts w:hint="eastAsia" w:cs="Times New Roman" w:asciiTheme="minorEastAsia" w:hAnsiTheme="minorEastAsia" w:eastAsiaTheme="minorEastAsia"/>
                <w:color w:val="auto"/>
                <w:sz w:val="21"/>
                <w:szCs w:val="21"/>
                <w:highlight w:val="none"/>
              </w:rPr>
              <w:t>天；年平均出现较为严重路面结冰≥</w:t>
            </w:r>
            <w:r>
              <w:rPr>
                <w:rFonts w:cs="Times New Roman" w:asciiTheme="minorEastAsia" w:hAnsiTheme="minorEastAsia" w:eastAsiaTheme="minorEastAsia"/>
                <w:color w:val="auto"/>
                <w:sz w:val="21"/>
                <w:szCs w:val="21"/>
                <w:highlight w:val="none"/>
              </w:rPr>
              <w:t>5</w:t>
            </w:r>
            <w:r>
              <w:rPr>
                <w:rFonts w:hint="eastAsia" w:cs="Times New Roman" w:asciiTheme="minorEastAsia" w:hAnsiTheme="minorEastAsia" w:eastAsiaTheme="minorEastAsia"/>
                <w:color w:val="auto"/>
                <w:sz w:val="21"/>
                <w:szCs w:val="21"/>
                <w:highlight w:val="none"/>
              </w:rPr>
              <w:t>天；否则不得分。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5</w:t>
            </w:r>
          </w:p>
        </w:tc>
        <w:tc>
          <w:tcPr>
            <w:tcW w:w="1286"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地质条件（</w:t>
            </w:r>
            <w:r>
              <w:rPr>
                <w:rFonts w:cs="Times New Roman" w:asciiTheme="minorEastAsia" w:hAnsiTheme="minorEastAsia" w:eastAsiaTheme="minorEastAsia"/>
                <w:color w:val="auto"/>
                <w:sz w:val="21"/>
                <w:szCs w:val="21"/>
                <w:highlight w:val="none"/>
              </w:rPr>
              <w:t>A5</w:t>
            </w:r>
            <w:r>
              <w:rPr>
                <w:rFonts w:hint="eastAsia" w:cs="Times New Roman" w:asciiTheme="minorEastAsia" w:hAnsiTheme="minorEastAsia" w:eastAsiaTheme="minorEastAsia"/>
                <w:color w:val="auto"/>
                <w:sz w:val="21"/>
                <w:szCs w:val="21"/>
                <w:highlight w:val="none"/>
              </w:rPr>
              <w:t>）</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w:t>
            </w: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地震活动频繁区</w:t>
            </w:r>
            <w:r>
              <w:rPr>
                <w:rFonts w:cs="Times New Roman" w:asciiTheme="minorEastAsia" w:hAnsiTheme="minorEastAsia" w:eastAsiaTheme="minorEastAsia"/>
                <w:color w:val="auto"/>
                <w:sz w:val="21"/>
                <w:szCs w:val="21"/>
                <w:highlight w:val="none"/>
              </w:rPr>
              <w:t>(B5)</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分</w:t>
            </w:r>
          </w:p>
        </w:tc>
        <w:tc>
          <w:tcPr>
            <w:tcW w:w="3461"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我国五个地区共</w:t>
            </w:r>
            <w:r>
              <w:rPr>
                <w:rFonts w:cs="Times New Roman" w:asciiTheme="minorEastAsia" w:hAnsiTheme="minorEastAsia" w:eastAsiaTheme="minorEastAsia"/>
                <w:color w:val="auto"/>
                <w:sz w:val="21"/>
                <w:szCs w:val="21"/>
                <w:highlight w:val="none"/>
              </w:rPr>
              <w:t>23</w:t>
            </w:r>
            <w:r>
              <w:rPr>
                <w:rFonts w:hint="eastAsia" w:cs="Times New Roman" w:asciiTheme="minorEastAsia" w:hAnsiTheme="minorEastAsia" w:eastAsiaTheme="minorEastAsia"/>
                <w:color w:val="auto"/>
                <w:sz w:val="21"/>
                <w:szCs w:val="21"/>
                <w:highlight w:val="none"/>
              </w:rPr>
              <w:t>条地震带。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286"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滑坡、泥石流、塌方等频发路段</w:t>
            </w:r>
            <w:r>
              <w:rPr>
                <w:rFonts w:cs="Times New Roman" w:asciiTheme="minorEastAsia" w:hAnsiTheme="minorEastAsia" w:eastAsiaTheme="minorEastAsia"/>
                <w:color w:val="auto"/>
                <w:sz w:val="21"/>
                <w:szCs w:val="21"/>
                <w:highlight w:val="none"/>
              </w:rPr>
              <w:t>(C5)</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8-12</w:t>
            </w:r>
            <w:r>
              <w:rPr>
                <w:rFonts w:hint="eastAsia" w:cs="Times New Roman" w:asciiTheme="minorEastAsia" w:hAnsiTheme="minorEastAsia" w:eastAsiaTheme="minorEastAsia"/>
                <w:color w:val="auto"/>
                <w:sz w:val="21"/>
                <w:szCs w:val="21"/>
                <w:highlight w:val="none"/>
              </w:rPr>
              <w:t>分</w:t>
            </w:r>
          </w:p>
        </w:tc>
        <w:tc>
          <w:tcPr>
            <w:tcW w:w="3461"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滑坡、泥石流、塌方等地质灾害年均发生次数≥</w:t>
            </w:r>
            <w:r>
              <w:rPr>
                <w:rFonts w:cs="Times New Roman" w:asciiTheme="minorEastAsia" w:hAnsiTheme="minorEastAsia" w:eastAsiaTheme="minorEastAsia"/>
                <w:color w:val="auto"/>
                <w:sz w:val="21"/>
                <w:szCs w:val="21"/>
                <w:highlight w:val="none"/>
              </w:rPr>
              <w:t>5</w:t>
            </w:r>
            <w:r>
              <w:rPr>
                <w:rFonts w:hint="eastAsia" w:cs="Times New Roman" w:asciiTheme="minorEastAsia" w:hAnsiTheme="minorEastAsia" w:eastAsiaTheme="minorEastAsia"/>
                <w:color w:val="auto"/>
                <w:sz w:val="21"/>
                <w:szCs w:val="21"/>
                <w:highlight w:val="none"/>
              </w:rPr>
              <w:t>次得</w:t>
            </w:r>
            <w:r>
              <w:rPr>
                <w:rFonts w:cs="Times New Roman" w:asciiTheme="minorEastAsia" w:hAnsiTheme="minorEastAsia" w:eastAsiaTheme="minorEastAsia"/>
                <w:color w:val="auto"/>
                <w:sz w:val="21"/>
                <w:szCs w:val="21"/>
                <w:highlight w:val="none"/>
              </w:rPr>
              <w:t>12</w:t>
            </w:r>
            <w:r>
              <w:rPr>
                <w:rFonts w:hint="eastAsia" w:cs="Times New Roman" w:asciiTheme="minorEastAsia" w:hAnsiTheme="minorEastAsia" w:eastAsiaTheme="minorEastAsia"/>
                <w:color w:val="auto"/>
                <w:sz w:val="21"/>
                <w:szCs w:val="21"/>
                <w:highlight w:val="none"/>
              </w:rPr>
              <w:t>分，≥</w:t>
            </w:r>
            <w:r>
              <w:rPr>
                <w:rFonts w:cs="Times New Roman" w:asciiTheme="minorEastAsia" w:hAnsiTheme="minorEastAsia" w:eastAsiaTheme="minorEastAsia"/>
                <w:color w:val="auto"/>
                <w:sz w:val="21"/>
                <w:szCs w:val="21"/>
                <w:highlight w:val="none"/>
              </w:rPr>
              <w:t>3</w:t>
            </w:r>
            <w:r>
              <w:rPr>
                <w:rFonts w:hint="eastAsia" w:cs="Times New Roman" w:asciiTheme="minorEastAsia" w:hAnsiTheme="minorEastAsia" w:eastAsiaTheme="minorEastAsia"/>
                <w:color w:val="auto"/>
                <w:sz w:val="21"/>
                <w:szCs w:val="21"/>
                <w:highlight w:val="none"/>
              </w:rPr>
              <w:t>次得</w:t>
            </w: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6</w:t>
            </w:r>
          </w:p>
        </w:tc>
        <w:tc>
          <w:tcPr>
            <w:tcW w:w="1286"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区位特征（</w:t>
            </w:r>
            <w:r>
              <w:rPr>
                <w:rFonts w:cs="Times New Roman" w:asciiTheme="minorEastAsia" w:hAnsiTheme="minorEastAsia" w:eastAsiaTheme="minorEastAsia"/>
                <w:color w:val="auto"/>
                <w:sz w:val="21"/>
                <w:szCs w:val="21"/>
                <w:highlight w:val="none"/>
              </w:rPr>
              <w:t>A6</w:t>
            </w:r>
            <w:r>
              <w:rPr>
                <w:rFonts w:hint="eastAsia" w:cs="Times New Roman" w:asciiTheme="minorEastAsia" w:hAnsiTheme="minorEastAsia" w:eastAsiaTheme="minorEastAsia"/>
                <w:color w:val="auto"/>
                <w:sz w:val="21"/>
                <w:szCs w:val="21"/>
                <w:highlight w:val="none"/>
              </w:rPr>
              <w:t>）</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10</w:t>
            </w:r>
            <w:r>
              <w:rPr>
                <w:rFonts w:hint="eastAsia" w:cs="Times New Roman" w:asciiTheme="minorEastAsia" w:hAnsiTheme="minorEastAsia" w:eastAsiaTheme="minorEastAsia"/>
                <w:color w:val="auto"/>
                <w:sz w:val="21"/>
                <w:szCs w:val="21"/>
                <w:highlight w:val="none"/>
              </w:rPr>
              <w:t>分</w:t>
            </w: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省际边界路段</w:t>
            </w:r>
            <w:r>
              <w:rPr>
                <w:rFonts w:cs="Times New Roman" w:asciiTheme="minorEastAsia" w:hAnsiTheme="minorEastAsia" w:eastAsiaTheme="minorEastAsia"/>
                <w:color w:val="auto"/>
                <w:sz w:val="21"/>
                <w:szCs w:val="21"/>
                <w:highlight w:val="none"/>
              </w:rPr>
              <w:t>(B6)</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8</w:t>
            </w:r>
            <w:r>
              <w:rPr>
                <w:rFonts w:hint="eastAsia" w:cs="Times New Roman" w:asciiTheme="minorEastAsia" w:hAnsiTheme="minorEastAsia" w:eastAsiaTheme="minorEastAsia"/>
                <w:color w:val="auto"/>
                <w:sz w:val="21"/>
                <w:szCs w:val="21"/>
                <w:highlight w:val="none"/>
              </w:rPr>
              <w:t>分</w:t>
            </w:r>
          </w:p>
        </w:tc>
        <w:tc>
          <w:tcPr>
            <w:tcW w:w="3461"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1286" w:type="dxa"/>
            <w:vMerge w:val="continue"/>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城市出入口</w:t>
            </w:r>
            <w:r>
              <w:rPr>
                <w:rFonts w:cs="Times New Roman" w:asciiTheme="minorEastAsia" w:hAnsiTheme="minorEastAsia" w:eastAsiaTheme="minorEastAsia"/>
                <w:color w:val="auto"/>
                <w:sz w:val="21"/>
                <w:szCs w:val="21"/>
                <w:highlight w:val="none"/>
              </w:rPr>
              <w:t>(C6)</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4-6</w:t>
            </w:r>
            <w:r>
              <w:rPr>
                <w:rFonts w:hint="eastAsia" w:cs="Times New Roman" w:asciiTheme="minorEastAsia" w:hAnsiTheme="minorEastAsia" w:eastAsiaTheme="minorEastAsia"/>
                <w:color w:val="auto"/>
                <w:sz w:val="21"/>
                <w:szCs w:val="21"/>
                <w:highlight w:val="none"/>
              </w:rPr>
              <w:t>分</w:t>
            </w:r>
          </w:p>
        </w:tc>
        <w:tc>
          <w:tcPr>
            <w:tcW w:w="3461"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根据城市出入口年平均交通拥挤度酌情给分。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7</w:t>
            </w:r>
          </w:p>
        </w:tc>
        <w:tc>
          <w:tcPr>
            <w:tcW w:w="1286"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交通运行特征（</w:t>
            </w:r>
            <w:r>
              <w:rPr>
                <w:rFonts w:cs="Times New Roman" w:asciiTheme="minorEastAsia" w:hAnsiTheme="minorEastAsia" w:eastAsiaTheme="minorEastAsia"/>
                <w:color w:val="auto"/>
                <w:sz w:val="21"/>
                <w:szCs w:val="21"/>
                <w:highlight w:val="none"/>
              </w:rPr>
              <w:t>A7</w:t>
            </w:r>
            <w:r>
              <w:rPr>
                <w:rFonts w:hint="eastAsia" w:cs="Times New Roman" w:asciiTheme="minorEastAsia" w:hAnsiTheme="minorEastAsia" w:eastAsiaTheme="minorEastAsia"/>
                <w:color w:val="auto"/>
                <w:sz w:val="21"/>
                <w:szCs w:val="21"/>
                <w:highlight w:val="none"/>
              </w:rPr>
              <w:t>）</w:t>
            </w:r>
          </w:p>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15</w:t>
            </w:r>
            <w:r>
              <w:rPr>
                <w:rFonts w:hint="eastAsia" w:cs="Times New Roman" w:asciiTheme="minorEastAsia" w:hAnsiTheme="minorEastAsia" w:eastAsiaTheme="minorEastAsia"/>
                <w:color w:val="auto"/>
                <w:sz w:val="21"/>
                <w:szCs w:val="21"/>
                <w:highlight w:val="none"/>
              </w:rPr>
              <w:t>分</w:t>
            </w: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高速公路</w:t>
            </w:r>
            <w:r>
              <w:rPr>
                <w:rFonts w:cs="Times New Roman" w:asciiTheme="minorEastAsia" w:hAnsiTheme="minorEastAsia" w:eastAsiaTheme="minorEastAsia"/>
                <w:color w:val="auto"/>
                <w:sz w:val="21"/>
                <w:szCs w:val="21"/>
                <w:highlight w:val="none"/>
              </w:rPr>
              <w:t>(B7)</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12-15</w:t>
            </w:r>
            <w:r>
              <w:rPr>
                <w:rFonts w:hint="eastAsia" w:cs="Times New Roman" w:asciiTheme="minorEastAsia" w:hAnsiTheme="minorEastAsia" w:eastAsiaTheme="minorEastAsia"/>
                <w:color w:val="auto"/>
                <w:sz w:val="21"/>
                <w:szCs w:val="21"/>
                <w:highlight w:val="none"/>
              </w:rPr>
              <w:t>分</w:t>
            </w:r>
          </w:p>
        </w:tc>
        <w:tc>
          <w:tcPr>
            <w:tcW w:w="3461" w:type="dxa"/>
            <w:vMerge w:val="restart"/>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根据不同等级道路的服务水平酌情打分。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continue"/>
            <w:vAlign w:val="center"/>
          </w:tcPr>
          <w:p>
            <w:pPr>
              <w:widowControl w:val="0"/>
              <w:spacing w:after="0" w:line="440" w:lineRule="exact"/>
              <w:ind w:left="0" w:firstLine="0"/>
              <w:jc w:val="both"/>
              <w:rPr>
                <w:rFonts w:cs="Times New Roman" w:asciiTheme="minorEastAsia" w:hAnsiTheme="minorEastAsia" w:eastAsiaTheme="minorEastAsia"/>
                <w:color w:val="auto"/>
                <w:sz w:val="21"/>
                <w:szCs w:val="21"/>
                <w:highlight w:val="none"/>
              </w:rPr>
            </w:pPr>
          </w:p>
        </w:tc>
        <w:tc>
          <w:tcPr>
            <w:tcW w:w="1286" w:type="dxa"/>
            <w:vMerge w:val="continue"/>
            <w:vAlign w:val="center"/>
          </w:tcPr>
          <w:p>
            <w:pPr>
              <w:widowControl w:val="0"/>
              <w:spacing w:after="0" w:line="440" w:lineRule="exact"/>
              <w:ind w:left="0" w:firstLine="0"/>
              <w:jc w:val="both"/>
              <w:rPr>
                <w:rFonts w:cs="Times New Roman" w:asciiTheme="minorEastAsia" w:hAnsiTheme="minorEastAsia" w:eastAsiaTheme="minorEastAsia"/>
                <w:color w:val="auto"/>
                <w:sz w:val="21"/>
                <w:szCs w:val="21"/>
                <w:highlight w:val="none"/>
              </w:rPr>
            </w:pP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一级公路</w:t>
            </w:r>
            <w:r>
              <w:rPr>
                <w:rFonts w:cs="Times New Roman" w:asciiTheme="minorEastAsia" w:hAnsiTheme="minorEastAsia" w:eastAsiaTheme="minorEastAsia"/>
                <w:color w:val="auto"/>
                <w:sz w:val="21"/>
                <w:szCs w:val="21"/>
                <w:highlight w:val="none"/>
              </w:rPr>
              <w:t>(C7)</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7-11</w:t>
            </w:r>
            <w:r>
              <w:rPr>
                <w:rFonts w:hint="eastAsia" w:cs="Times New Roman" w:asciiTheme="minorEastAsia" w:hAnsiTheme="minorEastAsia" w:eastAsiaTheme="minorEastAsia"/>
                <w:color w:val="auto"/>
                <w:sz w:val="21"/>
                <w:szCs w:val="21"/>
                <w:highlight w:val="none"/>
              </w:rPr>
              <w:t>分</w:t>
            </w:r>
          </w:p>
        </w:tc>
        <w:tc>
          <w:tcPr>
            <w:tcW w:w="3461" w:type="dxa"/>
            <w:vMerge w:val="continue"/>
            <w:vAlign w:val="center"/>
          </w:tcPr>
          <w:p>
            <w:pPr>
              <w:widowControl w:val="0"/>
              <w:spacing w:after="0" w:line="440" w:lineRule="exact"/>
              <w:ind w:left="0" w:firstLine="0"/>
              <w:jc w:val="both"/>
              <w:rPr>
                <w:rFonts w:cs="Times New Roman" w:asciiTheme="minorEastAsia" w:hAnsiTheme="minorEastAsia"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continue"/>
            <w:vAlign w:val="center"/>
          </w:tcPr>
          <w:p>
            <w:pPr>
              <w:widowControl w:val="0"/>
              <w:spacing w:after="0" w:line="440" w:lineRule="exact"/>
              <w:ind w:left="0" w:firstLine="0"/>
              <w:jc w:val="both"/>
              <w:rPr>
                <w:rFonts w:cs="Times New Roman" w:asciiTheme="minorEastAsia" w:hAnsiTheme="minorEastAsia" w:eastAsiaTheme="minorEastAsia"/>
                <w:color w:val="auto"/>
                <w:sz w:val="21"/>
                <w:szCs w:val="21"/>
                <w:highlight w:val="none"/>
              </w:rPr>
            </w:pPr>
          </w:p>
        </w:tc>
        <w:tc>
          <w:tcPr>
            <w:tcW w:w="1286" w:type="dxa"/>
            <w:vMerge w:val="continue"/>
            <w:vAlign w:val="center"/>
          </w:tcPr>
          <w:p>
            <w:pPr>
              <w:widowControl w:val="0"/>
              <w:spacing w:after="0" w:line="440" w:lineRule="exact"/>
              <w:ind w:left="0" w:firstLine="0"/>
              <w:jc w:val="both"/>
              <w:rPr>
                <w:rFonts w:cs="Times New Roman" w:asciiTheme="minorEastAsia" w:hAnsiTheme="minorEastAsia" w:eastAsiaTheme="minorEastAsia"/>
                <w:color w:val="auto"/>
                <w:sz w:val="21"/>
                <w:szCs w:val="21"/>
                <w:highlight w:val="none"/>
              </w:rPr>
            </w:pP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二、三、四级公路（</w:t>
            </w:r>
            <w:r>
              <w:rPr>
                <w:rFonts w:cs="Times New Roman" w:asciiTheme="minorEastAsia" w:hAnsiTheme="minorEastAsia" w:eastAsiaTheme="minorEastAsia"/>
                <w:color w:val="auto"/>
                <w:sz w:val="21"/>
                <w:szCs w:val="21"/>
                <w:highlight w:val="none"/>
              </w:rPr>
              <w:t>D7</w:t>
            </w:r>
            <w:r>
              <w:rPr>
                <w:rFonts w:hint="eastAsia" w:cs="Times New Roman" w:asciiTheme="minorEastAsia" w:hAnsiTheme="minorEastAsia" w:eastAsiaTheme="minorEastAsia"/>
                <w:color w:val="auto"/>
                <w:sz w:val="21"/>
                <w:szCs w:val="21"/>
                <w:highlight w:val="none"/>
              </w:rPr>
              <w:t>）</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4-6</w:t>
            </w:r>
            <w:r>
              <w:rPr>
                <w:rFonts w:hint="eastAsia" w:cs="Times New Roman" w:asciiTheme="minorEastAsia" w:hAnsiTheme="minorEastAsia" w:eastAsiaTheme="minorEastAsia"/>
                <w:color w:val="auto"/>
                <w:sz w:val="21"/>
                <w:szCs w:val="21"/>
                <w:highlight w:val="none"/>
              </w:rPr>
              <w:t>分</w:t>
            </w:r>
          </w:p>
        </w:tc>
        <w:tc>
          <w:tcPr>
            <w:tcW w:w="3461" w:type="dxa"/>
            <w:vMerge w:val="continue"/>
            <w:vAlign w:val="center"/>
          </w:tcPr>
          <w:p>
            <w:pPr>
              <w:widowControl w:val="0"/>
              <w:spacing w:after="0" w:line="440" w:lineRule="exact"/>
              <w:ind w:left="0" w:firstLine="0"/>
              <w:jc w:val="both"/>
              <w:rPr>
                <w:rFonts w:cs="Times New Roman" w:asciiTheme="minorEastAsia" w:hAnsiTheme="minorEastAsia"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 w:type="dxa"/>
            <w:vMerge w:val="continue"/>
            <w:vAlign w:val="center"/>
          </w:tcPr>
          <w:p>
            <w:pPr>
              <w:widowControl w:val="0"/>
              <w:spacing w:after="0" w:line="440" w:lineRule="exact"/>
              <w:ind w:left="0" w:firstLine="0"/>
              <w:jc w:val="both"/>
              <w:rPr>
                <w:rFonts w:cs="Times New Roman" w:asciiTheme="minorEastAsia" w:hAnsiTheme="minorEastAsia" w:eastAsiaTheme="minorEastAsia"/>
                <w:color w:val="auto"/>
                <w:sz w:val="21"/>
                <w:szCs w:val="21"/>
                <w:highlight w:val="none"/>
              </w:rPr>
            </w:pPr>
          </w:p>
        </w:tc>
        <w:tc>
          <w:tcPr>
            <w:tcW w:w="1286" w:type="dxa"/>
            <w:vMerge w:val="continue"/>
            <w:vAlign w:val="center"/>
          </w:tcPr>
          <w:p>
            <w:pPr>
              <w:widowControl w:val="0"/>
              <w:spacing w:after="0" w:line="440" w:lineRule="exact"/>
              <w:ind w:left="0" w:firstLine="0"/>
              <w:jc w:val="both"/>
              <w:rPr>
                <w:rFonts w:cs="Times New Roman" w:asciiTheme="minorEastAsia" w:hAnsiTheme="minorEastAsia" w:eastAsiaTheme="minorEastAsia"/>
                <w:color w:val="auto"/>
                <w:sz w:val="21"/>
                <w:szCs w:val="21"/>
                <w:highlight w:val="none"/>
              </w:rPr>
            </w:pPr>
          </w:p>
        </w:tc>
        <w:tc>
          <w:tcPr>
            <w:tcW w:w="2284"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等外公路</w:t>
            </w:r>
            <w:r>
              <w:rPr>
                <w:rFonts w:cs="Times New Roman" w:asciiTheme="minorEastAsia" w:hAnsiTheme="minorEastAsia" w:eastAsiaTheme="minorEastAsia"/>
                <w:color w:val="auto"/>
                <w:sz w:val="21"/>
                <w:szCs w:val="21"/>
                <w:highlight w:val="none"/>
              </w:rPr>
              <w:t>(E7)</w:t>
            </w:r>
          </w:p>
        </w:tc>
        <w:tc>
          <w:tcPr>
            <w:tcW w:w="1395" w:type="dxa"/>
            <w:vAlign w:val="center"/>
          </w:tcPr>
          <w:p>
            <w:pPr>
              <w:widowControl w:val="0"/>
              <w:spacing w:after="0" w:line="440" w:lineRule="exact"/>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1-3</w:t>
            </w:r>
            <w:r>
              <w:rPr>
                <w:rFonts w:hint="eastAsia" w:cs="Times New Roman" w:asciiTheme="minorEastAsia" w:hAnsiTheme="minorEastAsia" w:eastAsiaTheme="minorEastAsia"/>
                <w:color w:val="auto"/>
                <w:sz w:val="21"/>
                <w:szCs w:val="21"/>
                <w:highlight w:val="none"/>
              </w:rPr>
              <w:t>分</w:t>
            </w:r>
          </w:p>
        </w:tc>
        <w:tc>
          <w:tcPr>
            <w:tcW w:w="3461" w:type="dxa"/>
            <w:vMerge w:val="continue"/>
            <w:vAlign w:val="center"/>
          </w:tcPr>
          <w:p>
            <w:pPr>
              <w:widowControl w:val="0"/>
              <w:spacing w:after="0" w:line="440" w:lineRule="exact"/>
              <w:ind w:left="0" w:firstLine="0"/>
              <w:jc w:val="both"/>
              <w:rPr>
                <w:rFonts w:cs="Times New Roman" w:asciiTheme="minorEastAsia" w:hAnsiTheme="minorEastAsia" w:eastAsiaTheme="minorEastAsia"/>
                <w:color w:val="auto"/>
                <w:sz w:val="21"/>
                <w:szCs w:val="21"/>
                <w:highlight w:val="none"/>
              </w:rPr>
            </w:pPr>
          </w:p>
        </w:tc>
      </w:tr>
    </w:tbl>
    <w:p>
      <w:pPr>
        <w:widowControl w:val="0"/>
        <w:spacing w:after="0" w:line="480" w:lineRule="exact"/>
        <w:ind w:left="0" w:firstLine="480"/>
        <w:jc w:val="both"/>
        <w:rPr>
          <w:rFonts w:cs="宋体" w:asciiTheme="minorEastAsia" w:hAnsiTheme="minorEastAsia" w:eastAsiaTheme="minorEastAsia"/>
          <w:color w:val="auto"/>
          <w:sz w:val="22"/>
          <w:szCs w:val="24"/>
          <w:highlight w:val="none"/>
        </w:rPr>
      </w:pPr>
      <w:r>
        <w:rPr>
          <w:rFonts w:hint="eastAsia" w:cs="宋体" w:asciiTheme="minorEastAsia" w:hAnsiTheme="minorEastAsia" w:eastAsiaTheme="minorEastAsia"/>
          <w:color w:val="auto"/>
          <w:sz w:val="22"/>
          <w:szCs w:val="24"/>
          <w:highlight w:val="none"/>
        </w:rPr>
        <w:t>注：</w:t>
      </w:r>
      <w:r>
        <w:rPr>
          <w:rFonts w:cs="宋体" w:asciiTheme="minorEastAsia" w:hAnsiTheme="minorEastAsia" w:eastAsiaTheme="minorEastAsia"/>
          <w:color w:val="auto"/>
          <w:sz w:val="22"/>
          <w:szCs w:val="24"/>
          <w:highlight w:val="none"/>
        </w:rPr>
        <w:t>A1</w:t>
      </w:r>
      <w:r>
        <w:rPr>
          <w:rFonts w:hint="eastAsia" w:cs="宋体" w:asciiTheme="minorEastAsia" w:hAnsiTheme="minorEastAsia" w:eastAsiaTheme="minorEastAsia"/>
          <w:color w:val="auto"/>
          <w:sz w:val="22"/>
          <w:szCs w:val="24"/>
          <w:highlight w:val="none"/>
        </w:rPr>
        <w:t>、</w:t>
      </w:r>
      <w:r>
        <w:rPr>
          <w:rFonts w:cs="宋体" w:asciiTheme="minorEastAsia" w:hAnsiTheme="minorEastAsia" w:eastAsiaTheme="minorEastAsia"/>
          <w:color w:val="auto"/>
          <w:sz w:val="22"/>
          <w:szCs w:val="24"/>
          <w:highlight w:val="none"/>
        </w:rPr>
        <w:t>A3</w:t>
      </w:r>
      <w:r>
        <w:rPr>
          <w:rFonts w:hint="eastAsia" w:cs="宋体" w:asciiTheme="minorEastAsia" w:hAnsiTheme="minorEastAsia" w:eastAsiaTheme="minorEastAsia"/>
          <w:color w:val="auto"/>
          <w:sz w:val="22"/>
          <w:szCs w:val="24"/>
          <w:highlight w:val="none"/>
        </w:rPr>
        <w:t>、</w:t>
      </w:r>
      <w:r>
        <w:rPr>
          <w:rFonts w:cs="宋体" w:asciiTheme="minorEastAsia" w:hAnsiTheme="minorEastAsia" w:eastAsiaTheme="minorEastAsia"/>
          <w:color w:val="auto"/>
          <w:sz w:val="22"/>
          <w:szCs w:val="24"/>
          <w:highlight w:val="none"/>
        </w:rPr>
        <w:t>A5</w:t>
      </w:r>
      <w:r>
        <w:rPr>
          <w:rFonts w:hint="eastAsia" w:cs="宋体" w:asciiTheme="minorEastAsia" w:hAnsiTheme="minorEastAsia" w:eastAsiaTheme="minorEastAsia"/>
          <w:color w:val="auto"/>
          <w:sz w:val="22"/>
          <w:szCs w:val="24"/>
          <w:highlight w:val="none"/>
        </w:rPr>
        <w:t>、</w:t>
      </w:r>
      <w:r>
        <w:rPr>
          <w:rFonts w:cs="宋体" w:asciiTheme="minorEastAsia" w:hAnsiTheme="minorEastAsia" w:eastAsiaTheme="minorEastAsia"/>
          <w:color w:val="auto"/>
          <w:sz w:val="22"/>
          <w:szCs w:val="24"/>
          <w:highlight w:val="none"/>
        </w:rPr>
        <w:t>A6</w:t>
      </w:r>
      <w:r>
        <w:rPr>
          <w:rFonts w:hint="eastAsia" w:cs="宋体" w:asciiTheme="minorEastAsia" w:hAnsiTheme="minorEastAsia" w:eastAsiaTheme="minorEastAsia"/>
          <w:color w:val="auto"/>
          <w:sz w:val="22"/>
          <w:szCs w:val="24"/>
          <w:highlight w:val="none"/>
        </w:rPr>
        <w:t>为其二级指标得分值之和，若R≥一级指标分值，取一级指标分值上限。路段划分时可以特征路段划分，也可以以任一1~2km作为一个路段，也可以将两桥梁之间路段单独划分。</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计算路段风险值时，首先对路段特征进行划分，根据路段特征确定指标分值，计算总分</w:t>
      </w:r>
      <w:r>
        <w:rPr>
          <w:rFonts w:cs="宋体" w:asciiTheme="minorEastAsia" w:hAnsiTheme="minorEastAsia" w:eastAsiaTheme="minorEastAsia"/>
          <w:color w:val="auto"/>
          <w:szCs w:val="24"/>
          <w:highlight w:val="none"/>
        </w:rPr>
        <w:t>R=A1+A2+A3+A4+A5+A6+A7</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根据总分值确定各路段风险等级</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center"/>
        <w:rPr>
          <w:rFonts w:cs="宋体" w:asciiTheme="minorEastAsia" w:hAnsiTheme="minorEastAsia" w:eastAsiaTheme="minorEastAsia"/>
          <w:b/>
          <w:color w:val="auto"/>
          <w:sz w:val="21"/>
          <w:szCs w:val="24"/>
          <w:highlight w:val="none"/>
        </w:rPr>
      </w:pPr>
      <w:r>
        <w:rPr>
          <w:rFonts w:hint="eastAsia" w:cs="宋体" w:asciiTheme="minorEastAsia" w:hAnsiTheme="minorEastAsia" w:eastAsiaTheme="minorEastAsia"/>
          <w:b/>
          <w:color w:val="auto"/>
          <w:sz w:val="21"/>
          <w:szCs w:val="24"/>
          <w:highlight w:val="none"/>
        </w:rPr>
        <w:t>表3-5 路段风险源评估标准表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9"/>
        <w:gridCol w:w="5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59" w:type="pct"/>
            <w:vAlign w:val="center"/>
          </w:tcPr>
          <w:p>
            <w:pPr>
              <w:widowControl w:val="0"/>
              <w:spacing w:after="0" w:line="480" w:lineRule="exact"/>
              <w:ind w:left="138" w:right="238"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风险等级</w:t>
            </w:r>
          </w:p>
        </w:tc>
        <w:tc>
          <w:tcPr>
            <w:tcW w:w="2941" w:type="pct"/>
            <w:vAlign w:val="center"/>
          </w:tcPr>
          <w:p>
            <w:pPr>
              <w:widowControl w:val="0"/>
              <w:spacing w:after="0" w:line="480" w:lineRule="exact"/>
              <w:ind w:left="138" w:right="238"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计算分值</w:t>
            </w:r>
            <w:r>
              <w:rPr>
                <w:rFonts w:cs="Times New Roman" w:asciiTheme="minorEastAsia" w:hAnsiTheme="minorEastAsia" w:eastAsiaTheme="minorEastAsia"/>
                <w:color w:val="auto"/>
                <w:sz w:val="21"/>
                <w:szCs w:val="21"/>
                <w:highlight w:val="none"/>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59" w:type="pct"/>
            <w:vAlign w:val="center"/>
          </w:tcPr>
          <w:p>
            <w:pPr>
              <w:widowControl w:val="0"/>
              <w:spacing w:after="0" w:line="480" w:lineRule="exact"/>
              <w:ind w:left="138" w:right="238"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重大风险源（</w:t>
            </w:r>
            <w:r>
              <w:rPr>
                <w:rFonts w:cs="Times New Roman" w:asciiTheme="minorEastAsia" w:hAnsiTheme="minorEastAsia" w:eastAsiaTheme="minorEastAsia"/>
                <w:color w:val="auto"/>
                <w:sz w:val="21"/>
                <w:szCs w:val="21"/>
                <w:highlight w:val="none"/>
              </w:rPr>
              <w:t>A</w:t>
            </w:r>
            <w:r>
              <w:rPr>
                <w:rFonts w:hint="eastAsia" w:cs="Times New Roman" w:asciiTheme="minorEastAsia" w:hAnsiTheme="minorEastAsia" w:eastAsiaTheme="minorEastAsia"/>
                <w:color w:val="auto"/>
                <w:sz w:val="21"/>
                <w:szCs w:val="21"/>
                <w:highlight w:val="none"/>
              </w:rPr>
              <w:t>级）</w:t>
            </w:r>
          </w:p>
        </w:tc>
        <w:tc>
          <w:tcPr>
            <w:tcW w:w="2941" w:type="pct"/>
            <w:vAlign w:val="center"/>
          </w:tcPr>
          <w:p>
            <w:pPr>
              <w:widowControl w:val="0"/>
              <w:spacing w:after="0" w:line="480" w:lineRule="exact"/>
              <w:ind w:left="0" w:right="238"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综合得分</w:t>
            </w:r>
            <w:r>
              <w:rPr>
                <w:rFonts w:cs="Times New Roman" w:asciiTheme="minorEastAsia" w:hAnsiTheme="minorEastAsia" w:eastAsiaTheme="minorEastAsia"/>
                <w:color w:val="auto"/>
                <w:sz w:val="21"/>
                <w:szCs w:val="21"/>
                <w:highlight w:val="none"/>
              </w:rPr>
              <w:t>65</w:t>
            </w:r>
            <w:r>
              <w:rPr>
                <w:rFonts w:hint="eastAsia" w:cs="Times New Roman" w:asciiTheme="minorEastAsia" w:hAnsiTheme="minorEastAsia" w:eastAsiaTheme="minorEastAsia"/>
                <w:color w:val="auto"/>
                <w:sz w:val="21"/>
                <w:szCs w:val="21"/>
                <w:highlight w:val="none"/>
              </w:rPr>
              <w:t>分及以上，或</w:t>
            </w:r>
            <w:r>
              <w:rPr>
                <w:rFonts w:cs="Times New Roman" w:asciiTheme="minorEastAsia" w:hAnsiTheme="minorEastAsia" w:eastAsiaTheme="minorEastAsia"/>
                <w:color w:val="auto"/>
                <w:sz w:val="21"/>
                <w:szCs w:val="21"/>
                <w:highlight w:val="none"/>
              </w:rPr>
              <w:t>A1</w:t>
            </w:r>
            <w:r>
              <w:rPr>
                <w:rFonts w:hint="eastAsia" w:cs="Times New Roman" w:asciiTheme="minorEastAsia" w:hAnsiTheme="minorEastAsia" w:eastAsiaTheme="minorEastAsia"/>
                <w:color w:val="auto"/>
                <w:sz w:val="21"/>
                <w:szCs w:val="21"/>
                <w:highlight w:val="none"/>
              </w:rPr>
              <w:t>单项指标达到满分且</w:t>
            </w:r>
            <w:r>
              <w:rPr>
                <w:rFonts w:cs="Times New Roman" w:asciiTheme="minorEastAsia" w:hAnsiTheme="minorEastAsia" w:eastAsiaTheme="minorEastAsia"/>
                <w:color w:val="auto"/>
                <w:sz w:val="21"/>
                <w:szCs w:val="21"/>
                <w:highlight w:val="none"/>
              </w:rPr>
              <w:t>B8</w:t>
            </w:r>
            <w:r>
              <w:rPr>
                <w:rFonts w:hint="eastAsia" w:cs="Times New Roman" w:asciiTheme="minorEastAsia" w:hAnsiTheme="minorEastAsia" w:eastAsiaTheme="minorEastAsia"/>
                <w:color w:val="auto"/>
                <w:sz w:val="21"/>
                <w:szCs w:val="21"/>
                <w:highlight w:val="none"/>
              </w:rPr>
              <w:t>指标为</w:t>
            </w:r>
            <w:r>
              <w:rPr>
                <w:rFonts w:cs="Times New Roman" w:asciiTheme="minorEastAsia" w:hAnsiTheme="minorEastAsia" w:eastAsiaTheme="minorEastAsia"/>
                <w:color w:val="auto"/>
                <w:sz w:val="21"/>
                <w:szCs w:val="21"/>
                <w:highlight w:val="none"/>
              </w:rPr>
              <w:t>0</w:t>
            </w:r>
            <w:r>
              <w:rPr>
                <w:rFonts w:hint="eastAsia" w:cs="Times New Roman" w:asciiTheme="minorEastAsia" w:hAnsiTheme="minorEastAsia"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59" w:type="pct"/>
            <w:vAlign w:val="center"/>
          </w:tcPr>
          <w:p>
            <w:pPr>
              <w:widowControl w:val="0"/>
              <w:spacing w:after="0" w:line="480" w:lineRule="exact"/>
              <w:ind w:left="138" w:right="238"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较大风险（</w:t>
            </w:r>
            <w:r>
              <w:rPr>
                <w:rFonts w:cs="Times New Roman" w:asciiTheme="minorEastAsia" w:hAnsiTheme="minorEastAsia" w:eastAsiaTheme="minorEastAsia"/>
                <w:color w:val="auto"/>
                <w:sz w:val="21"/>
                <w:szCs w:val="21"/>
                <w:highlight w:val="none"/>
              </w:rPr>
              <w:t>B</w:t>
            </w:r>
            <w:r>
              <w:rPr>
                <w:rFonts w:hint="eastAsia" w:cs="Times New Roman" w:asciiTheme="minorEastAsia" w:hAnsiTheme="minorEastAsia" w:eastAsiaTheme="minorEastAsia"/>
                <w:color w:val="auto"/>
                <w:sz w:val="21"/>
                <w:szCs w:val="21"/>
                <w:highlight w:val="none"/>
              </w:rPr>
              <w:t>级）</w:t>
            </w:r>
          </w:p>
        </w:tc>
        <w:tc>
          <w:tcPr>
            <w:tcW w:w="2941" w:type="pct"/>
            <w:vAlign w:val="center"/>
          </w:tcPr>
          <w:p>
            <w:pPr>
              <w:widowControl w:val="0"/>
              <w:spacing w:after="0" w:line="480" w:lineRule="exact"/>
              <w:ind w:left="138" w:right="238"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综合得分</w:t>
            </w:r>
            <w:r>
              <w:rPr>
                <w:rFonts w:cs="Times New Roman" w:asciiTheme="minorEastAsia" w:hAnsiTheme="minorEastAsia" w:eastAsiaTheme="minorEastAsia"/>
                <w:color w:val="auto"/>
                <w:sz w:val="21"/>
                <w:szCs w:val="21"/>
                <w:highlight w:val="none"/>
              </w:rPr>
              <w:t>55-64</w:t>
            </w:r>
            <w:r>
              <w:rPr>
                <w:rFonts w:hint="eastAsia" w:cs="Times New Roman" w:asciiTheme="minorEastAsia" w:hAnsiTheme="minorEastAsia" w:eastAsiaTheme="minor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59" w:type="pct"/>
            <w:vAlign w:val="center"/>
          </w:tcPr>
          <w:p>
            <w:pPr>
              <w:widowControl w:val="0"/>
              <w:spacing w:after="0" w:line="480" w:lineRule="exact"/>
              <w:ind w:left="138" w:right="238"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一般风险（</w:t>
            </w:r>
            <w:r>
              <w:rPr>
                <w:rFonts w:cs="Times New Roman" w:asciiTheme="minorEastAsia" w:hAnsiTheme="minorEastAsia" w:eastAsiaTheme="minorEastAsia"/>
                <w:color w:val="auto"/>
                <w:sz w:val="21"/>
                <w:szCs w:val="21"/>
                <w:highlight w:val="none"/>
              </w:rPr>
              <w:t>C</w:t>
            </w:r>
            <w:r>
              <w:rPr>
                <w:rFonts w:hint="eastAsia" w:cs="Times New Roman" w:asciiTheme="minorEastAsia" w:hAnsiTheme="minorEastAsia" w:eastAsiaTheme="minorEastAsia"/>
                <w:color w:val="auto"/>
                <w:sz w:val="21"/>
                <w:szCs w:val="21"/>
                <w:highlight w:val="none"/>
              </w:rPr>
              <w:t>级）</w:t>
            </w:r>
          </w:p>
        </w:tc>
        <w:tc>
          <w:tcPr>
            <w:tcW w:w="2941" w:type="pct"/>
            <w:vAlign w:val="center"/>
          </w:tcPr>
          <w:p>
            <w:pPr>
              <w:widowControl w:val="0"/>
              <w:spacing w:after="0" w:line="480" w:lineRule="exact"/>
              <w:ind w:left="138" w:right="238"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综合得分</w:t>
            </w:r>
            <w:r>
              <w:rPr>
                <w:rFonts w:cs="Times New Roman" w:asciiTheme="minorEastAsia" w:hAnsiTheme="minorEastAsia" w:eastAsiaTheme="minorEastAsia"/>
                <w:color w:val="auto"/>
                <w:sz w:val="21"/>
                <w:szCs w:val="21"/>
                <w:highlight w:val="none"/>
              </w:rPr>
              <w:t>45-54</w:t>
            </w:r>
            <w:r>
              <w:rPr>
                <w:rFonts w:hint="eastAsia" w:cs="Times New Roman" w:asciiTheme="minorEastAsia" w:hAnsiTheme="minorEastAsia" w:eastAsiaTheme="minorEastAsia"/>
                <w:color w:val="auto"/>
                <w:sz w:val="21"/>
                <w:szCs w:val="21"/>
                <w:highlight w:val="none"/>
              </w:rPr>
              <w:t>分者。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59" w:type="pct"/>
            <w:vAlign w:val="center"/>
          </w:tcPr>
          <w:p>
            <w:pPr>
              <w:widowControl w:val="0"/>
              <w:spacing w:after="0" w:line="480" w:lineRule="exact"/>
              <w:ind w:left="138" w:right="238"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较小风险（</w:t>
            </w:r>
            <w:r>
              <w:rPr>
                <w:rFonts w:cs="Times New Roman" w:asciiTheme="minorEastAsia" w:hAnsiTheme="minorEastAsia" w:eastAsiaTheme="minorEastAsia"/>
                <w:color w:val="auto"/>
                <w:sz w:val="21"/>
                <w:szCs w:val="21"/>
                <w:highlight w:val="none"/>
              </w:rPr>
              <w:t>D</w:t>
            </w:r>
            <w:r>
              <w:rPr>
                <w:rFonts w:hint="eastAsia" w:cs="Times New Roman" w:asciiTheme="minorEastAsia" w:hAnsiTheme="minorEastAsia" w:eastAsiaTheme="minorEastAsia"/>
                <w:color w:val="auto"/>
                <w:sz w:val="21"/>
                <w:szCs w:val="21"/>
                <w:highlight w:val="none"/>
              </w:rPr>
              <w:t>级）</w:t>
            </w:r>
          </w:p>
        </w:tc>
        <w:tc>
          <w:tcPr>
            <w:tcW w:w="2941" w:type="pct"/>
            <w:vAlign w:val="center"/>
          </w:tcPr>
          <w:p>
            <w:pPr>
              <w:widowControl w:val="0"/>
              <w:spacing w:after="0" w:line="480" w:lineRule="exact"/>
              <w:ind w:left="138" w:right="238" w:firstLine="48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综合得分</w:t>
            </w:r>
            <w:r>
              <w:rPr>
                <w:rFonts w:cs="Times New Roman" w:asciiTheme="minorEastAsia" w:hAnsiTheme="minorEastAsia" w:eastAsiaTheme="minorEastAsia"/>
                <w:color w:val="auto"/>
                <w:sz w:val="21"/>
                <w:szCs w:val="21"/>
                <w:highlight w:val="none"/>
              </w:rPr>
              <w:t>35-44</w:t>
            </w:r>
            <w:r>
              <w:rPr>
                <w:rFonts w:hint="eastAsia" w:cs="Times New Roman" w:asciiTheme="minorEastAsia" w:hAnsiTheme="minorEastAsia" w:eastAsiaTheme="minorEastAsia"/>
                <w:color w:val="auto"/>
                <w:sz w:val="21"/>
                <w:szCs w:val="21"/>
                <w:highlight w:val="none"/>
              </w:rPr>
              <w:t>分者。</w:t>
            </w:r>
          </w:p>
        </w:tc>
      </w:tr>
    </w:tbl>
    <w:p>
      <w:pPr>
        <w:widowControl w:val="0"/>
        <w:spacing w:after="0" w:line="480" w:lineRule="exact"/>
        <w:ind w:left="0" w:firstLine="480"/>
        <w:jc w:val="center"/>
        <w:rPr>
          <w:rFonts w:cs="宋体" w:asciiTheme="minorEastAsia" w:hAnsiTheme="minorEastAsia" w:eastAsiaTheme="minorEastAsia"/>
          <w:b/>
          <w:color w:val="auto"/>
          <w:sz w:val="21"/>
          <w:szCs w:val="24"/>
          <w:highlight w:val="none"/>
        </w:rPr>
      </w:pPr>
      <w:bookmarkStart w:id="26" w:name="_Toc2179415"/>
    </w:p>
    <w:p>
      <w:pPr>
        <w:spacing w:after="0" w:line="240" w:lineRule="auto"/>
        <w:ind w:left="0" w:firstLine="0"/>
        <w:rPr>
          <w:rFonts w:cs="宋体" w:asciiTheme="minorEastAsia" w:hAnsiTheme="minorEastAsia" w:eastAsiaTheme="minorEastAsia"/>
          <w:b/>
          <w:color w:val="auto"/>
          <w:sz w:val="21"/>
          <w:szCs w:val="24"/>
          <w:highlight w:val="none"/>
        </w:rPr>
      </w:pPr>
      <w:r>
        <w:rPr>
          <w:rFonts w:cs="宋体" w:asciiTheme="minorEastAsia" w:hAnsiTheme="minorEastAsia" w:eastAsiaTheme="minorEastAsia"/>
          <w:b/>
          <w:color w:val="auto"/>
          <w:sz w:val="21"/>
          <w:szCs w:val="24"/>
          <w:highlight w:val="none"/>
        </w:rPr>
        <w:br w:type="page"/>
      </w:r>
    </w:p>
    <w:p>
      <w:pPr>
        <w:widowControl w:val="0"/>
        <w:spacing w:after="0" w:line="480" w:lineRule="exact"/>
        <w:ind w:left="0" w:firstLine="480"/>
        <w:jc w:val="center"/>
        <w:rPr>
          <w:rFonts w:cs="宋体" w:asciiTheme="minorEastAsia" w:hAnsiTheme="minorEastAsia" w:eastAsiaTheme="minorEastAsia"/>
          <w:b/>
          <w:color w:val="auto"/>
          <w:sz w:val="21"/>
          <w:szCs w:val="24"/>
          <w:highlight w:val="none"/>
        </w:rPr>
      </w:pPr>
      <w:r>
        <w:rPr>
          <w:rFonts w:hint="eastAsia" w:cs="宋体" w:asciiTheme="minorEastAsia" w:hAnsiTheme="minorEastAsia" w:eastAsiaTheme="minorEastAsia"/>
          <w:b/>
          <w:color w:val="auto"/>
          <w:sz w:val="21"/>
          <w:szCs w:val="24"/>
          <w:highlight w:val="none"/>
        </w:rPr>
        <w:t>表3-</w:t>
      </w:r>
      <w:r>
        <w:rPr>
          <w:rFonts w:cs="宋体" w:asciiTheme="minorEastAsia" w:hAnsiTheme="minorEastAsia" w:eastAsiaTheme="minorEastAsia"/>
          <w:b/>
          <w:color w:val="auto"/>
          <w:sz w:val="21"/>
          <w:szCs w:val="24"/>
          <w:highlight w:val="none"/>
        </w:rPr>
        <w:t>6</w:t>
      </w:r>
      <w:r>
        <w:rPr>
          <w:rFonts w:hint="eastAsia" w:cs="宋体" w:asciiTheme="minorEastAsia" w:hAnsiTheme="minorEastAsia" w:eastAsiaTheme="minorEastAsia"/>
          <w:b/>
          <w:color w:val="auto"/>
          <w:sz w:val="21"/>
          <w:szCs w:val="24"/>
          <w:highlight w:val="none"/>
        </w:rPr>
        <w:t xml:space="preserve"> 隧道风险源评估标准表</w:t>
      </w:r>
    </w:p>
    <w:p>
      <w:pPr>
        <w:widowControl w:val="0"/>
        <w:spacing w:after="0" w:line="360" w:lineRule="auto"/>
        <w:ind w:left="0" w:firstLine="0"/>
        <w:rPr>
          <w:rFonts w:asciiTheme="minorEastAsia" w:hAnsiTheme="minorEastAsia" w:eastAsiaTheme="minorEastAsia"/>
          <w:b/>
          <w:color w:val="auto"/>
          <w:sz w:val="28"/>
          <w:szCs w:val="28"/>
          <w:highlight w:val="none"/>
        </w:rPr>
      </w:pPr>
      <w:r>
        <w:rPr>
          <w:color w:val="auto"/>
          <w:highlight w:val="none"/>
        </w:rPr>
        <w:drawing>
          <wp:anchor distT="0" distB="0" distL="114300" distR="114300" simplePos="0" relativeHeight="251661312" behindDoc="0" locked="0" layoutInCell="1" allowOverlap="1">
            <wp:simplePos x="0" y="0"/>
            <wp:positionH relativeFrom="column">
              <wp:posOffset>-22225</wp:posOffset>
            </wp:positionH>
            <wp:positionV relativeFrom="paragraph">
              <wp:posOffset>3922395</wp:posOffset>
            </wp:positionV>
            <wp:extent cx="5615940" cy="2000885"/>
            <wp:effectExtent l="0" t="0" r="381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rcRect b="66333"/>
                    <a:stretch>
                      <a:fillRect/>
                    </a:stretch>
                  </pic:blipFill>
                  <pic:spPr>
                    <a:xfrm>
                      <a:off x="0" y="0"/>
                      <a:ext cx="5615940" cy="2000816"/>
                    </a:xfrm>
                    <a:prstGeom prst="rect">
                      <a:avLst/>
                    </a:prstGeom>
                    <a:ln>
                      <a:noFill/>
                    </a:ln>
                  </pic:spPr>
                </pic:pic>
              </a:graphicData>
            </a:graphic>
          </wp:anchor>
        </w:drawing>
      </w:r>
      <w:r>
        <w:rPr>
          <w:color w:val="auto"/>
          <w:highlight w:val="none"/>
        </w:rPr>
        <w:drawing>
          <wp:inline distT="0" distB="0" distL="0" distR="0">
            <wp:extent cx="5615940" cy="385000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stretch>
                      <a:fillRect/>
                    </a:stretch>
                  </pic:blipFill>
                  <pic:spPr>
                    <a:xfrm>
                      <a:off x="0" y="0"/>
                      <a:ext cx="5615940" cy="3850005"/>
                    </a:xfrm>
                    <a:prstGeom prst="rect">
                      <a:avLst/>
                    </a:prstGeom>
                  </pic:spPr>
                </pic:pic>
              </a:graphicData>
            </a:graphic>
          </wp:inline>
        </w:drawing>
      </w:r>
    </w:p>
    <w:p>
      <w:pPr>
        <w:widowControl w:val="0"/>
        <w:spacing w:after="0" w:line="360" w:lineRule="auto"/>
        <w:ind w:left="0" w:firstLine="0"/>
        <w:rPr>
          <w:rFonts w:asciiTheme="minorEastAsia" w:hAnsiTheme="minorEastAsia" w:eastAsiaTheme="minorEastAsia"/>
          <w:b/>
          <w:color w:val="auto"/>
          <w:sz w:val="28"/>
          <w:szCs w:val="28"/>
          <w:highlight w:val="none"/>
        </w:rPr>
      </w:pPr>
    </w:p>
    <w:p>
      <w:pPr>
        <w:widowControl w:val="0"/>
        <w:spacing w:after="0" w:line="360" w:lineRule="auto"/>
        <w:ind w:left="0" w:firstLine="0"/>
        <w:rPr>
          <w:rFonts w:asciiTheme="minorEastAsia" w:hAnsiTheme="minorEastAsia" w:eastAsiaTheme="minorEastAsia"/>
          <w:b/>
          <w:color w:val="auto"/>
          <w:sz w:val="28"/>
          <w:szCs w:val="28"/>
          <w:highlight w:val="none"/>
        </w:rPr>
      </w:pPr>
    </w:p>
    <w:bookmarkEnd w:id="26"/>
    <w:p>
      <w:pPr>
        <w:spacing w:after="0" w:line="240" w:lineRule="auto"/>
        <w:ind w:left="0" w:firstLine="0"/>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br w:type="page"/>
      </w:r>
      <w:r>
        <w:rPr>
          <w:color w:val="auto"/>
          <w:highlight w:val="none"/>
        </w:rPr>
        <w:drawing>
          <wp:inline distT="0" distB="0" distL="0" distR="0">
            <wp:extent cx="5615940" cy="7347585"/>
            <wp:effectExtent l="0" t="0" r="381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5615940" cy="7347585"/>
                    </a:xfrm>
                    <a:prstGeom prst="rect">
                      <a:avLst/>
                    </a:prstGeom>
                  </pic:spPr>
                </pic:pic>
              </a:graphicData>
            </a:graphic>
          </wp:inline>
        </w:drawing>
      </w:r>
    </w:p>
    <w:p>
      <w:pPr>
        <w:spacing w:after="0" w:line="240" w:lineRule="auto"/>
        <w:ind w:left="0" w:firstLine="0"/>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br w:type="page"/>
      </w:r>
      <w:r>
        <w:rPr>
          <w:color w:val="auto"/>
          <w:highlight w:val="none"/>
        </w:rPr>
        <w:drawing>
          <wp:inline distT="0" distB="0" distL="0" distR="0">
            <wp:extent cx="5615940" cy="4188460"/>
            <wp:effectExtent l="0" t="0" r="381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stretch>
                      <a:fillRect/>
                    </a:stretch>
                  </pic:blipFill>
                  <pic:spPr>
                    <a:xfrm>
                      <a:off x="0" y="0"/>
                      <a:ext cx="5615940" cy="4188460"/>
                    </a:xfrm>
                    <a:prstGeom prst="rect">
                      <a:avLst/>
                    </a:prstGeom>
                  </pic:spPr>
                </pic:pic>
              </a:graphicData>
            </a:graphic>
          </wp:inline>
        </w:drawing>
      </w:r>
    </w:p>
    <w:p>
      <w:pPr>
        <w:spacing w:after="0" w:line="360" w:lineRule="auto"/>
        <w:ind w:left="11" w:hanging="11" w:hangingChars="4"/>
        <w:outlineLvl w:val="1"/>
        <w:rPr>
          <w:rFonts w:cs="微软雅黑" w:asciiTheme="minorEastAsia" w:hAnsiTheme="minorEastAsia" w:eastAsiaTheme="minorEastAsia"/>
          <w:b/>
          <w:color w:val="auto"/>
          <w:sz w:val="28"/>
          <w:szCs w:val="28"/>
          <w:highlight w:val="none"/>
        </w:rPr>
      </w:pPr>
      <w:bookmarkStart w:id="27" w:name="_Toc104735767"/>
      <w:r>
        <w:rPr>
          <w:rFonts w:hint="eastAsia" w:asciiTheme="minorEastAsia" w:hAnsiTheme="minorEastAsia" w:eastAsiaTheme="minorEastAsia"/>
          <w:b/>
          <w:color w:val="auto"/>
          <w:sz w:val="28"/>
          <w:szCs w:val="28"/>
          <w:highlight w:val="none"/>
        </w:rPr>
        <w:t>3.6场所区域、设备设施及作业活动</w:t>
      </w:r>
      <w:bookmarkEnd w:id="27"/>
      <w:r>
        <w:rPr>
          <w:rFonts w:hint="eastAsia" w:asciiTheme="minorEastAsia" w:hAnsiTheme="minorEastAsia" w:eastAsiaTheme="minorEastAsia"/>
          <w:b/>
          <w:color w:val="auto"/>
          <w:sz w:val="28"/>
          <w:szCs w:val="28"/>
          <w:highlight w:val="none"/>
        </w:rPr>
        <w:t>风险评估</w:t>
      </w:r>
    </w:p>
    <w:p>
      <w:pPr>
        <w:widowControl w:val="0"/>
        <w:spacing w:beforeLines="50" w:afterLines="50" w:line="480" w:lineRule="exact"/>
        <w:ind w:left="0" w:firstLine="482"/>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w:t>
      </w:r>
      <w:r>
        <w:rPr>
          <w:rFonts w:cs="宋体" w:asciiTheme="minorEastAsia" w:hAnsiTheme="minorEastAsia" w:eastAsiaTheme="minorEastAsia"/>
          <w:b/>
          <w:color w:val="auto"/>
          <w:szCs w:val="24"/>
          <w:highlight w:val="none"/>
        </w:rPr>
        <w:t>6.</w:t>
      </w:r>
      <w:r>
        <w:rPr>
          <w:rFonts w:hint="eastAsia" w:cs="宋体" w:asciiTheme="minorEastAsia" w:hAnsiTheme="minorEastAsia" w:eastAsiaTheme="minorEastAsia"/>
          <w:b/>
          <w:color w:val="auto"/>
          <w:szCs w:val="24"/>
          <w:highlight w:val="none"/>
        </w:rPr>
        <w:t>1风险判定准则</w:t>
      </w:r>
    </w:p>
    <w:p>
      <w:pPr>
        <w:widowControl w:val="0"/>
        <w:spacing w:after="0" w:line="480" w:lineRule="exact"/>
        <w:ind w:left="0" w:firstLine="48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应结合企业可接受风险实际，制定事故（事件）发生的可能性、严重性和风险度取值标准，明确风险判定准则，以便准确判定风险等级。风险等级判定应按从严从高原则。</w:t>
      </w:r>
    </w:p>
    <w:p>
      <w:pPr>
        <w:widowControl w:val="0"/>
        <w:spacing w:beforeLines="50" w:afterLines="50" w:line="480" w:lineRule="exact"/>
        <w:ind w:left="0" w:firstLine="482"/>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w:t>
      </w:r>
      <w:r>
        <w:rPr>
          <w:rFonts w:cs="宋体" w:asciiTheme="minorEastAsia" w:hAnsiTheme="minorEastAsia" w:eastAsiaTheme="minorEastAsia"/>
          <w:b/>
          <w:color w:val="auto"/>
          <w:szCs w:val="24"/>
          <w:highlight w:val="none"/>
        </w:rPr>
        <w:t>6.</w:t>
      </w:r>
      <w:r>
        <w:rPr>
          <w:rFonts w:hint="eastAsia" w:cs="宋体" w:asciiTheme="minorEastAsia" w:hAnsiTheme="minorEastAsia" w:eastAsiaTheme="minorEastAsia"/>
          <w:b/>
          <w:color w:val="auto"/>
          <w:szCs w:val="24"/>
          <w:highlight w:val="none"/>
        </w:rPr>
        <w:t>2风险点划分</w:t>
      </w:r>
    </w:p>
    <w:p>
      <w:pPr>
        <w:widowControl w:val="0"/>
        <w:spacing w:after="0" w:line="480" w:lineRule="exact"/>
        <w:ind w:left="0" w:firstLine="48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应遵循大小适中、便于分类、功能独立、易于管理、范围清晰的原则。按照设施、部位、场所、区域及操作作业活动划分风险点。</w:t>
      </w:r>
    </w:p>
    <w:p>
      <w:pPr>
        <w:widowControl w:val="0"/>
        <w:spacing w:after="0" w:line="480" w:lineRule="exact"/>
        <w:ind w:left="0" w:firstLine="48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本次风险点排查通过查阅档案资料、现场调研、座谈询问等方法，由安全管理部组织相关业务部室及养护工区、指挥调度中心、收费站等单位专业人员组织开展。</w:t>
      </w:r>
    </w:p>
    <w:p>
      <w:pPr>
        <w:spacing w:after="0" w:line="240" w:lineRule="auto"/>
        <w:ind w:left="0" w:firstLine="0"/>
        <w:rPr>
          <w:rFonts w:cs="宋体" w:asciiTheme="minorEastAsia" w:hAnsiTheme="minorEastAsia" w:eastAsiaTheme="minorEastAsia"/>
          <w:b/>
          <w:color w:val="auto"/>
          <w:sz w:val="22"/>
          <w:szCs w:val="24"/>
          <w:highlight w:val="none"/>
        </w:rPr>
      </w:pPr>
      <w:r>
        <w:rPr>
          <w:rFonts w:cs="宋体" w:asciiTheme="minorEastAsia" w:hAnsiTheme="minorEastAsia" w:eastAsiaTheme="minorEastAsia"/>
          <w:b/>
          <w:color w:val="auto"/>
          <w:sz w:val="22"/>
          <w:szCs w:val="24"/>
          <w:highlight w:val="none"/>
        </w:rPr>
        <w:br w:type="page"/>
      </w:r>
    </w:p>
    <w:p>
      <w:pPr>
        <w:widowControl w:val="0"/>
        <w:spacing w:after="0" w:line="480" w:lineRule="exact"/>
        <w:ind w:left="0" w:firstLine="480"/>
        <w:jc w:val="center"/>
        <w:rPr>
          <w:rFonts w:cs="宋体" w:asciiTheme="minorEastAsia" w:hAnsiTheme="minorEastAsia" w:eastAsiaTheme="minorEastAsia"/>
          <w:b/>
          <w:color w:val="auto"/>
          <w:sz w:val="22"/>
          <w:szCs w:val="24"/>
          <w:highlight w:val="none"/>
        </w:rPr>
      </w:pPr>
      <w:r>
        <w:rPr>
          <w:rFonts w:cs="宋体" w:asciiTheme="minorEastAsia" w:hAnsiTheme="minorEastAsia" w:eastAsiaTheme="minorEastAsia"/>
          <w:b/>
          <w:color w:val="auto"/>
          <w:sz w:val="22"/>
          <w:szCs w:val="24"/>
          <w:highlight w:val="none"/>
        </w:rPr>
        <w:t>表</w:t>
      </w:r>
      <w:r>
        <w:rPr>
          <w:rFonts w:hint="eastAsia" w:cs="宋体" w:asciiTheme="minorEastAsia" w:hAnsiTheme="minorEastAsia" w:eastAsiaTheme="minorEastAsia"/>
          <w:b/>
          <w:color w:val="auto"/>
          <w:sz w:val="22"/>
          <w:szCs w:val="24"/>
          <w:highlight w:val="none"/>
        </w:rPr>
        <w:t>3-</w:t>
      </w:r>
      <w:r>
        <w:rPr>
          <w:rFonts w:cs="宋体" w:asciiTheme="minorEastAsia" w:hAnsiTheme="minorEastAsia" w:eastAsiaTheme="minorEastAsia"/>
          <w:b/>
          <w:color w:val="auto"/>
          <w:sz w:val="22"/>
          <w:szCs w:val="24"/>
          <w:highlight w:val="none"/>
        </w:rPr>
        <w:t xml:space="preserve">8 </w:t>
      </w:r>
      <w:r>
        <w:rPr>
          <w:rFonts w:hint="eastAsia" w:cs="宋体" w:asciiTheme="minorEastAsia" w:hAnsiTheme="minorEastAsia" w:eastAsiaTheme="minorEastAsia"/>
          <w:b/>
          <w:color w:val="auto"/>
          <w:sz w:val="22"/>
          <w:szCs w:val="24"/>
          <w:highlight w:val="none"/>
        </w:rPr>
        <w:t>风险点划分</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6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07" w:type="dxa"/>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机关办公</w:t>
            </w:r>
          </w:p>
        </w:tc>
        <w:tc>
          <w:tcPr>
            <w:tcW w:w="6415" w:type="dxa"/>
          </w:tcPr>
          <w:p>
            <w:pPr>
              <w:widowControl w:val="0"/>
              <w:spacing w:after="0" w:line="36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机关办公场所，包括办公室、食堂及车辆驾驶等。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07" w:type="dxa"/>
            <w:vMerge w:val="restar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收费运营</w:t>
            </w:r>
          </w:p>
        </w:tc>
        <w:tc>
          <w:tcPr>
            <w:tcW w:w="6415" w:type="dxa"/>
          </w:tcPr>
          <w:p>
            <w:pPr>
              <w:widowControl w:val="0"/>
              <w:spacing w:after="0" w:line="360" w:lineRule="exact"/>
              <w:ind w:left="0" w:firstLine="0"/>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收费站院区</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包括院区</w:t>
            </w:r>
            <w:r>
              <w:rPr>
                <w:rFonts w:hint="eastAsia" w:cs="Times New Roman" w:asciiTheme="minorEastAsia" w:hAnsiTheme="minorEastAsia" w:eastAsiaTheme="minorEastAsia"/>
                <w:color w:val="auto"/>
                <w:sz w:val="21"/>
                <w:szCs w:val="21"/>
                <w:highlight w:val="none"/>
              </w:rPr>
              <w:t>、宿办楼、</w:t>
            </w:r>
            <w:r>
              <w:rPr>
                <w:rFonts w:cs="Times New Roman" w:asciiTheme="minorEastAsia" w:hAnsiTheme="minorEastAsia" w:eastAsiaTheme="minorEastAsia"/>
                <w:color w:val="auto"/>
                <w:sz w:val="21"/>
                <w:szCs w:val="21"/>
                <w:highlight w:val="none"/>
              </w:rPr>
              <w:t>食堂</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配电室</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发电机房</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消防泵房</w:t>
            </w:r>
            <w:r>
              <w:rPr>
                <w:rFonts w:hint="eastAsia" w:cs="Times New Roman" w:asciiTheme="minorEastAsia" w:hAnsiTheme="minorEastAsia" w:eastAsiaTheme="minorEastAsia"/>
                <w:color w:val="auto"/>
                <w:sz w:val="21"/>
                <w:szCs w:val="21"/>
                <w:highlight w:val="none"/>
              </w:rPr>
              <w:t>、锅炉房等。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07" w:type="dxa"/>
            <w:vMerge w:val="continue"/>
            <w:vAlign w:val="center"/>
          </w:tcPr>
          <w:p>
            <w:pPr>
              <w:widowControl w:val="0"/>
              <w:spacing w:after="0" w:line="240" w:lineRule="auto"/>
              <w:ind w:left="0" w:firstLine="0"/>
              <w:jc w:val="center"/>
              <w:rPr>
                <w:rFonts w:cs="宋体" w:asciiTheme="minorEastAsia" w:hAnsiTheme="minorEastAsia" w:eastAsiaTheme="minorEastAsia"/>
                <w:color w:val="auto"/>
                <w:sz w:val="21"/>
                <w:szCs w:val="21"/>
                <w:highlight w:val="none"/>
              </w:rPr>
            </w:pPr>
          </w:p>
        </w:tc>
        <w:tc>
          <w:tcPr>
            <w:tcW w:w="6415" w:type="dxa"/>
          </w:tcPr>
          <w:p>
            <w:pPr>
              <w:widowControl w:val="0"/>
              <w:spacing w:after="0" w:line="360" w:lineRule="exact"/>
              <w:ind w:left="0" w:firstLine="0"/>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收费广场</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包括收费岛</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收费岗亭等</w:t>
            </w:r>
            <w:r>
              <w:rPr>
                <w:rFonts w:hint="eastAsia" w:cs="Times New Roman" w:asciiTheme="minorEastAsia" w:hAnsiTheme="minorEastAsia"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07" w:type="dxa"/>
            <w:vMerge w:val="continue"/>
            <w:vAlign w:val="center"/>
          </w:tcPr>
          <w:p>
            <w:pPr>
              <w:widowControl w:val="0"/>
              <w:spacing w:after="0" w:line="240" w:lineRule="auto"/>
              <w:ind w:left="0" w:firstLine="0"/>
              <w:jc w:val="center"/>
              <w:rPr>
                <w:rFonts w:cs="宋体" w:asciiTheme="minorEastAsia" w:hAnsiTheme="minorEastAsia" w:eastAsiaTheme="minorEastAsia"/>
                <w:color w:val="auto"/>
                <w:sz w:val="21"/>
                <w:szCs w:val="21"/>
                <w:highlight w:val="none"/>
              </w:rPr>
            </w:pPr>
          </w:p>
        </w:tc>
        <w:tc>
          <w:tcPr>
            <w:tcW w:w="6415" w:type="dxa"/>
          </w:tcPr>
          <w:p>
            <w:pPr>
              <w:widowControl w:val="0"/>
              <w:spacing w:after="0" w:line="360" w:lineRule="exact"/>
              <w:ind w:left="0" w:firstLine="0"/>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收费作业</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保畅作业</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保洁</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机电作业等</w:t>
            </w:r>
            <w:r>
              <w:rPr>
                <w:rFonts w:hint="eastAsia" w:cs="Times New Roman" w:asciiTheme="minorEastAsia" w:hAnsiTheme="minorEastAsia"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07" w:type="dxa"/>
            <w:vMerge w:val="restart"/>
            <w:vAlign w:val="center"/>
          </w:tcPr>
          <w:p>
            <w:pPr>
              <w:widowControl w:val="0"/>
              <w:spacing w:after="0" w:line="240" w:lineRule="auto"/>
              <w:ind w:left="0" w:firstLine="0"/>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指挥</w:t>
            </w:r>
            <w:r>
              <w:rPr>
                <w:rFonts w:cs="宋体" w:asciiTheme="minorEastAsia" w:hAnsiTheme="minorEastAsia" w:eastAsiaTheme="minorEastAsia"/>
                <w:color w:val="auto"/>
                <w:sz w:val="21"/>
                <w:szCs w:val="21"/>
                <w:highlight w:val="none"/>
              </w:rPr>
              <w:t>调度</w:t>
            </w:r>
          </w:p>
        </w:tc>
        <w:tc>
          <w:tcPr>
            <w:tcW w:w="6415" w:type="dxa"/>
          </w:tcPr>
          <w:p>
            <w:pPr>
              <w:widowControl w:val="0"/>
              <w:spacing w:after="0" w:line="360" w:lineRule="exact"/>
              <w:ind w:left="0" w:firstLine="0"/>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监控与机电设备设施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07" w:type="dxa"/>
            <w:vMerge w:val="continue"/>
            <w:vAlign w:val="center"/>
          </w:tcPr>
          <w:p>
            <w:pPr>
              <w:widowControl w:val="0"/>
              <w:spacing w:after="0" w:line="240" w:lineRule="auto"/>
              <w:ind w:left="0" w:firstLine="0"/>
              <w:jc w:val="center"/>
              <w:rPr>
                <w:rFonts w:cs="宋体" w:asciiTheme="minorEastAsia" w:hAnsiTheme="minorEastAsia" w:eastAsiaTheme="minorEastAsia"/>
                <w:color w:val="auto"/>
                <w:sz w:val="21"/>
                <w:szCs w:val="21"/>
                <w:highlight w:val="none"/>
              </w:rPr>
            </w:pPr>
          </w:p>
        </w:tc>
        <w:tc>
          <w:tcPr>
            <w:tcW w:w="6415" w:type="dxa"/>
          </w:tcPr>
          <w:p>
            <w:pPr>
              <w:widowControl w:val="0"/>
              <w:spacing w:after="0" w:line="360" w:lineRule="exact"/>
              <w:ind w:left="0" w:firstLine="0"/>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监控作业</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稽查作业机电设备养护维修作业</w:t>
            </w:r>
            <w:r>
              <w:rPr>
                <w:rFonts w:hint="eastAsia" w:cs="Times New Roman" w:asciiTheme="minorEastAsia" w:hAnsiTheme="minorEastAsia"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07" w:type="dxa"/>
            <w:vMerge w:val="restar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工程管理</w:t>
            </w:r>
          </w:p>
        </w:tc>
        <w:tc>
          <w:tcPr>
            <w:tcW w:w="6415" w:type="dxa"/>
          </w:tcPr>
          <w:p>
            <w:pPr>
              <w:widowControl w:val="0"/>
              <w:spacing w:after="0" w:line="360" w:lineRule="exact"/>
              <w:ind w:left="0" w:firstLine="0"/>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养护工区院区</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包括设备设施</w:t>
            </w:r>
            <w:r>
              <w:rPr>
                <w:rFonts w:hint="eastAsia" w:cs="Times New Roman" w:asciiTheme="minorEastAsia" w:hAnsiTheme="minorEastAsia" w:eastAsiaTheme="minorEastAsia"/>
                <w:color w:val="auto"/>
                <w:sz w:val="21"/>
                <w:szCs w:val="21"/>
                <w:highlight w:val="none"/>
              </w:rPr>
              <w:t>、</w:t>
            </w:r>
            <w:r>
              <w:rPr>
                <w:rFonts w:cs="Times New Roman" w:asciiTheme="minorEastAsia" w:hAnsiTheme="minorEastAsia" w:eastAsiaTheme="minorEastAsia"/>
                <w:color w:val="auto"/>
                <w:sz w:val="21"/>
                <w:szCs w:val="21"/>
                <w:highlight w:val="none"/>
              </w:rPr>
              <w:t>库房</w:t>
            </w:r>
            <w:r>
              <w:rPr>
                <w:rFonts w:hint="eastAsia" w:cs="Times New Roman" w:asciiTheme="minorEastAsia" w:hAnsiTheme="minorEastAsia"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07" w:type="dxa"/>
            <w:vMerge w:val="continue"/>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highlight w:val="none"/>
              </w:rPr>
            </w:pPr>
          </w:p>
        </w:tc>
        <w:tc>
          <w:tcPr>
            <w:tcW w:w="6415" w:type="dxa"/>
          </w:tcPr>
          <w:p>
            <w:pPr>
              <w:widowControl w:val="0"/>
              <w:spacing w:after="0" w:line="36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日常巡查、养护作业、专项工程、除雪、防汛、清障救援作业等。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07" w:type="dxa"/>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基础设施</w:t>
            </w:r>
          </w:p>
        </w:tc>
        <w:tc>
          <w:tcPr>
            <w:tcW w:w="6415" w:type="dxa"/>
          </w:tcPr>
          <w:p>
            <w:pPr>
              <w:widowControl w:val="0"/>
              <w:spacing w:after="0" w:line="360" w:lineRule="exact"/>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太行山高速、津石高速、新元高速所属桥梁、路段、隧道。</w:t>
            </w:r>
          </w:p>
        </w:tc>
      </w:tr>
    </w:tbl>
    <w:p>
      <w:pPr>
        <w:widowControl w:val="0"/>
        <w:spacing w:beforeLines="50" w:afterLines="50" w:line="480" w:lineRule="exact"/>
        <w:ind w:left="0" w:firstLine="482"/>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w:t>
      </w:r>
      <w:r>
        <w:rPr>
          <w:rFonts w:cs="宋体" w:asciiTheme="minorEastAsia" w:hAnsiTheme="minorEastAsia" w:eastAsiaTheme="minorEastAsia"/>
          <w:b/>
          <w:color w:val="auto"/>
          <w:szCs w:val="24"/>
          <w:highlight w:val="none"/>
        </w:rPr>
        <w:t>6.</w:t>
      </w:r>
      <w:r>
        <w:rPr>
          <w:rFonts w:hint="eastAsia" w:cs="宋体" w:asciiTheme="minorEastAsia" w:hAnsiTheme="minorEastAsia" w:eastAsiaTheme="minorEastAsia"/>
          <w:b/>
          <w:color w:val="auto"/>
          <w:szCs w:val="24"/>
          <w:highlight w:val="none"/>
        </w:rPr>
        <w:t>3风险辨识</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风险辨识主要依据</w:t>
      </w:r>
      <w:r>
        <w:rPr>
          <w:rFonts w:cs="宋体" w:asciiTheme="minorEastAsia" w:hAnsiTheme="minorEastAsia" w:eastAsiaTheme="minorEastAsia"/>
          <w:color w:val="auto"/>
          <w:szCs w:val="24"/>
          <w:highlight w:val="none"/>
        </w:rPr>
        <w:t xml:space="preserve">GB/T 13861 </w:t>
      </w:r>
      <w:r>
        <w:rPr>
          <w:rFonts w:hint="eastAsia" w:cs="宋体" w:asciiTheme="minorEastAsia" w:hAnsiTheme="minorEastAsia" w:eastAsiaTheme="minorEastAsia"/>
          <w:color w:val="auto"/>
          <w:szCs w:val="24"/>
          <w:highlight w:val="none"/>
        </w:rPr>
        <w:t>等</w:t>
      </w:r>
      <w:r>
        <w:rPr>
          <w:rFonts w:cs="宋体" w:asciiTheme="minorEastAsia" w:hAnsiTheme="minorEastAsia" w:eastAsiaTheme="minorEastAsia"/>
          <w:color w:val="auto"/>
          <w:szCs w:val="24"/>
          <w:highlight w:val="none"/>
        </w:rPr>
        <w:t>规定</w:t>
      </w:r>
      <w:r>
        <w:rPr>
          <w:rFonts w:hint="eastAsia" w:cs="宋体" w:asciiTheme="minorEastAsia" w:hAnsiTheme="minorEastAsia" w:eastAsiaTheme="minorEastAsia"/>
          <w:color w:val="auto"/>
          <w:szCs w:val="24"/>
          <w:highlight w:val="none"/>
        </w:rPr>
        <w:t>，对风险点内存在的</w:t>
      </w:r>
      <w:r>
        <w:rPr>
          <w:rFonts w:cs="宋体" w:asciiTheme="minorEastAsia" w:hAnsiTheme="minorEastAsia" w:eastAsiaTheme="minorEastAsia"/>
          <w:color w:val="auto"/>
          <w:szCs w:val="24"/>
          <w:highlight w:val="none"/>
        </w:rPr>
        <w:t>风险事件和致险因素</w:t>
      </w:r>
      <w:r>
        <w:rPr>
          <w:rFonts w:hint="eastAsia" w:cs="宋体" w:asciiTheme="minorEastAsia" w:hAnsiTheme="minorEastAsia" w:eastAsiaTheme="minorEastAsia"/>
          <w:color w:val="auto"/>
          <w:szCs w:val="24"/>
          <w:highlight w:val="none"/>
        </w:rPr>
        <w:t>进行辨识，辨识要覆盖风险点内全部的设备设施和作业活动，并充分考虑不同状态和不同环境带来的影响。</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（1）风险事件</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风险事件主要是指各作业内容或作业步骤中引发的后果，包括人员伤亡、经济损失、环境污染和社会影响。风险事件可综合考虑人员伤亡、经济损失、环境破坏、社会影响等方面的后果。当多种后果同时产生时，应重点关注人员伤亡，并采用就高原则确定事故严重程度等级。</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参照《企业职工伤亡事故分类》（</w:t>
      </w:r>
      <w:r>
        <w:rPr>
          <w:rFonts w:cs="宋体" w:asciiTheme="minorEastAsia" w:hAnsiTheme="minorEastAsia" w:eastAsiaTheme="minorEastAsia"/>
          <w:color w:val="auto"/>
          <w:szCs w:val="24"/>
          <w:highlight w:val="none"/>
        </w:rPr>
        <w:t>GB 6441—1986）</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并结合</w:t>
      </w:r>
      <w:r>
        <w:rPr>
          <w:rFonts w:hint="eastAsia" w:cs="宋体" w:asciiTheme="minorEastAsia" w:hAnsiTheme="minorEastAsia" w:eastAsiaTheme="minorEastAsia"/>
          <w:color w:val="auto"/>
          <w:szCs w:val="24"/>
          <w:highlight w:val="none"/>
        </w:rPr>
        <w:t>中电建冀交</w:t>
      </w:r>
      <w:r>
        <w:rPr>
          <w:rFonts w:cs="宋体" w:asciiTheme="minorEastAsia" w:hAnsiTheme="minorEastAsia" w:eastAsiaTheme="minorEastAsia"/>
          <w:color w:val="auto"/>
          <w:szCs w:val="24"/>
          <w:highlight w:val="none"/>
        </w:rPr>
        <w:t>高速公路运营实际</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制定</w:t>
      </w:r>
      <w:r>
        <w:rPr>
          <w:rFonts w:hint="eastAsia" w:cs="宋体" w:asciiTheme="minorEastAsia" w:hAnsiTheme="minorEastAsia" w:eastAsiaTheme="minorEastAsia"/>
          <w:color w:val="auto"/>
          <w:szCs w:val="24"/>
          <w:highlight w:val="none"/>
        </w:rPr>
        <w:t>中电建冀交</w:t>
      </w:r>
      <w:r>
        <w:rPr>
          <w:rFonts w:cs="宋体" w:asciiTheme="minorEastAsia" w:hAnsiTheme="minorEastAsia" w:eastAsiaTheme="minorEastAsia"/>
          <w:color w:val="auto"/>
          <w:szCs w:val="24"/>
          <w:highlight w:val="none"/>
        </w:rPr>
        <w:t>高速在生产经营过程中可能存在的风险事件</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主要从</w:t>
      </w:r>
      <w:r>
        <w:rPr>
          <w:rFonts w:hint="eastAsia" w:cs="宋体" w:asciiTheme="minorEastAsia" w:hAnsiTheme="minorEastAsia" w:eastAsiaTheme="minorEastAsia"/>
          <w:color w:val="auto"/>
          <w:szCs w:val="24"/>
          <w:highlight w:val="none"/>
        </w:rPr>
        <w:t>人员伤亡、经济损失等方面进行考虑</w:t>
      </w:r>
      <w:r>
        <w:rPr>
          <w:rFonts w:cs="宋体" w:asciiTheme="minorEastAsia" w:hAnsiTheme="minorEastAsia" w:eastAsiaTheme="minorEastAsia"/>
          <w:color w:val="auto"/>
          <w:szCs w:val="24"/>
          <w:highlight w:val="none"/>
        </w:rPr>
        <w:t>。</w:t>
      </w:r>
    </w:p>
    <w:p>
      <w:pPr>
        <w:widowControl w:val="0"/>
        <w:spacing w:after="0" w:line="480" w:lineRule="exact"/>
        <w:ind w:left="0" w:firstLine="480"/>
        <w:jc w:val="center"/>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b/>
          <w:color w:val="auto"/>
          <w:sz w:val="21"/>
          <w:szCs w:val="24"/>
          <w:highlight w:val="none"/>
        </w:rPr>
        <w:t>表3-</w:t>
      </w:r>
      <w:r>
        <w:rPr>
          <w:rFonts w:cs="宋体" w:asciiTheme="minorEastAsia" w:hAnsiTheme="minorEastAsia" w:eastAsiaTheme="minorEastAsia"/>
          <w:b/>
          <w:color w:val="auto"/>
          <w:sz w:val="21"/>
          <w:szCs w:val="24"/>
          <w:highlight w:val="none"/>
        </w:rPr>
        <w:t>9</w:t>
      </w:r>
      <w:r>
        <w:rPr>
          <w:rFonts w:hint="eastAsia" w:cs="宋体" w:asciiTheme="minorEastAsia" w:hAnsiTheme="minorEastAsia" w:eastAsiaTheme="minorEastAsia"/>
          <w:b/>
          <w:color w:val="auto"/>
          <w:sz w:val="21"/>
          <w:szCs w:val="24"/>
          <w:highlight w:val="none"/>
        </w:rPr>
        <w:t xml:space="preserve"> 人员伤亡类型划分</w:t>
      </w:r>
    </w:p>
    <w:tbl>
      <w:tblPr>
        <w:tblStyle w:val="213"/>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620"/>
        <w:gridCol w:w="1295"/>
        <w:gridCol w:w="660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364" w:type="pct"/>
            <w:vAlign w:val="center"/>
          </w:tcPr>
          <w:p>
            <w:pPr>
              <w:spacing w:after="0" w:line="240" w:lineRule="auto"/>
              <w:ind w:left="0" w:firstLine="0"/>
              <w:jc w:val="center"/>
              <w:rPr>
                <w:rFonts w:cs="Times New Roman" w:asciiTheme="minorEastAsia" w:hAnsiTheme="minorEastAsia" w:eastAsiaTheme="minorEastAsia"/>
                <w:b/>
                <w:color w:val="auto"/>
                <w:sz w:val="21"/>
                <w:szCs w:val="21"/>
                <w:highlight w:val="none"/>
              </w:rPr>
            </w:pPr>
            <w:r>
              <w:rPr>
                <w:rFonts w:hint="eastAsia" w:cs="Times New Roman" w:asciiTheme="minorEastAsia" w:hAnsiTheme="minorEastAsia" w:eastAsiaTheme="minorEastAsia"/>
                <w:b/>
                <w:color w:val="auto"/>
                <w:sz w:val="21"/>
                <w:szCs w:val="21"/>
                <w:highlight w:val="none"/>
              </w:rPr>
              <w:t>序号</w:t>
            </w:r>
          </w:p>
        </w:tc>
        <w:tc>
          <w:tcPr>
            <w:tcW w:w="760" w:type="pct"/>
            <w:vAlign w:val="center"/>
          </w:tcPr>
          <w:p>
            <w:pPr>
              <w:spacing w:after="0" w:line="240" w:lineRule="auto"/>
              <w:ind w:left="0" w:firstLine="0"/>
              <w:jc w:val="center"/>
              <w:rPr>
                <w:rFonts w:cs="Times New Roman" w:asciiTheme="minorEastAsia" w:hAnsiTheme="minorEastAsia" w:eastAsiaTheme="minorEastAsia"/>
                <w:b/>
                <w:color w:val="auto"/>
                <w:sz w:val="21"/>
                <w:szCs w:val="21"/>
                <w:highlight w:val="none"/>
              </w:rPr>
            </w:pPr>
            <w:r>
              <w:rPr>
                <w:rFonts w:hint="eastAsia" w:cs="Times New Roman" w:asciiTheme="minorEastAsia" w:hAnsiTheme="minorEastAsia" w:eastAsiaTheme="minorEastAsia"/>
                <w:b/>
                <w:color w:val="auto"/>
                <w:sz w:val="21"/>
                <w:szCs w:val="21"/>
                <w:highlight w:val="none"/>
              </w:rPr>
              <w:t>风险事件</w:t>
            </w:r>
          </w:p>
        </w:tc>
        <w:tc>
          <w:tcPr>
            <w:tcW w:w="3876" w:type="pct"/>
            <w:vAlign w:val="center"/>
          </w:tcPr>
          <w:p>
            <w:pPr>
              <w:spacing w:after="0" w:line="240" w:lineRule="auto"/>
              <w:ind w:left="0" w:firstLine="0"/>
              <w:jc w:val="center"/>
              <w:rPr>
                <w:rFonts w:cs="Times New Roman" w:asciiTheme="minorEastAsia" w:hAnsiTheme="minorEastAsia" w:eastAsiaTheme="minorEastAsia"/>
                <w:b/>
                <w:color w:val="auto"/>
                <w:sz w:val="21"/>
                <w:szCs w:val="21"/>
                <w:highlight w:val="none"/>
              </w:rPr>
            </w:pPr>
            <w:r>
              <w:rPr>
                <w:rFonts w:hint="eastAsia" w:cs="Times New Roman" w:asciiTheme="minorEastAsia" w:hAnsiTheme="minorEastAsia" w:eastAsiaTheme="minorEastAsia"/>
                <w:b/>
                <w:color w:val="auto"/>
                <w:sz w:val="21"/>
                <w:szCs w:val="21"/>
                <w:highlight w:val="none"/>
              </w:rPr>
              <w:t>事件</w:t>
            </w:r>
            <w:r>
              <w:rPr>
                <w:rFonts w:cs="Times New Roman" w:asciiTheme="minorEastAsia" w:hAnsiTheme="minorEastAsia" w:eastAsiaTheme="minorEastAsia"/>
                <w:b/>
                <w:color w:val="auto"/>
                <w:sz w:val="21"/>
                <w:szCs w:val="21"/>
                <w:highlight w:val="none"/>
              </w:rPr>
              <w:t>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1</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交通事故</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指车辆在道路上因过错或者意外造成人身伤亡或者财产损失的事件。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2</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车辆伤害</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指机动车辆在行驶中引起的人体坠落和物体倒塌、下落、挤压伤亡事故，不包括起重设备提升、牵引车辆和车辆停驶时发生的事故。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3</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物体打击</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指由失控物体的惯性力造成的人身伤亡事故，如落物、滚石、锤击、碎裂、砸伤等造成的伤害。不包括主体机械设备、车辆、起重机械、坍塌等引发的物体打击。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4</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机械伤害</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机械设备运动(静止)部件、工具、加工件直接与人体接触引起的夹击、碰撞、剪切、卷入、绞、碾、割、刺等形式的伤害。各类转动机械的外露传动部分(如齿轮、轴、履带等)和往复运动部分都有可能对人体造成机械伤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5</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起重伤害</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指在日常起重作业中，脱钩砸人，钢丝绳断裂抽人，移动吊物撞人，滑车砸人以及倾翻事故，坠落事故，提升设备过卷扬事故，起重设备误触高压线或感应带电体触电等。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6</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触电</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指电流流经人身，造成生理伤害的事故，包括雷击伤亡事故。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7</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淹溺</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指人淹没于水中，呼吸道被水或泥草等异物堵塞造成的伤亡事故。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8</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火灾</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指因违章动火作业、电气等引发火灾造成的人员伤亡事故。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9</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爆炸</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指压力容器、气瓶等破裂引起的物理性爆炸，也包括容器内可燃性液体（气体）因容器破裂与周围空气形成爆炸性气体混合物，遇到火源时发生的爆炸事故。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10</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高处坠落</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指在高处作业中发生坠落造成的伤亡事故，包括脚手架、平台、边坡等高于地面的坠落，也包括由地面坠入坑、洞等情况。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11</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坍塌</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指建构筑物、堆置物等倒塌以及土石方塌方引起的事故，如建筑物倒塌、脚手架倒塌、堆置物倒塌，挖掘沟、坑、洞时土石方塌方情况等。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12</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灼烫</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指火焰烧伤、高温物体烫伤、化学灼伤(酸、碱、盐、有机物引起的体内外的灼伤)、物理灼伤(光、放射性物质引起的体内外的灼伤)、。不包括电灼伤和火灾引起的烧伤。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13</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中毒窒息</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指人体接触有毒物质引起的中毒、缺氧等事故。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14</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财产损失</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因收费、稽查等作业处理不当，造成票款物损失。</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15</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事故扩大</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因应急处置不及时或不当造成事故扩大。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16</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冒顶片帮</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隧道、涵洞开挖、衬砌过程中因开挖或支护不当，顶部或侧壁大面积垮塌造成伤害的事故。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4"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17</w:t>
            </w:r>
          </w:p>
        </w:tc>
        <w:tc>
          <w:tcPr>
            <w:tcW w:w="760" w:type="pct"/>
            <w:vAlign w:val="center"/>
          </w:tcPr>
          <w:p>
            <w:pPr>
              <w:spacing w:after="0" w:line="240" w:lineRule="auto"/>
              <w:ind w:left="0" w:firstLine="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其他伤害</w:t>
            </w:r>
          </w:p>
        </w:tc>
        <w:tc>
          <w:tcPr>
            <w:tcW w:w="3876" w:type="pct"/>
            <w:vAlign w:val="center"/>
          </w:tcPr>
          <w:p>
            <w:pPr>
              <w:spacing w:after="0" w:line="240" w:lineRule="auto"/>
              <w:ind w:left="0" w:firstLine="0"/>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指不属于上述伤害的事故，如摔伤、扭伤、跌伤、冻伤、咬伤、扎伤等</w:t>
            </w:r>
          </w:p>
        </w:tc>
      </w:tr>
    </w:tbl>
    <w:p>
      <w:pPr>
        <w:widowControl w:val="0"/>
        <w:spacing w:after="0" w:line="480" w:lineRule="exact"/>
        <w:ind w:left="0" w:firstLine="480"/>
        <w:jc w:val="both"/>
        <w:rPr>
          <w:rFonts w:cs="宋体" w:asciiTheme="minorEastAsia" w:hAnsiTheme="minorEastAsia" w:eastAsiaTheme="minorEastAsia"/>
          <w:color w:val="auto"/>
          <w:szCs w:val="24"/>
          <w:highlight w:val="none"/>
        </w:rPr>
      </w:pPr>
    </w:p>
    <w:p>
      <w:pPr>
        <w:spacing w:after="0" w:line="240" w:lineRule="auto"/>
        <w:ind w:left="0" w:firstLine="0"/>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br w:type="page"/>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（2）致险因素</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致险因素分析即是辨识危险源或潜在事件，依据《生产过程危险和有害因素分类与代码》（</w:t>
      </w:r>
      <w:r>
        <w:rPr>
          <w:rFonts w:cs="宋体" w:asciiTheme="minorEastAsia" w:hAnsiTheme="minorEastAsia" w:eastAsiaTheme="minorEastAsia"/>
          <w:color w:val="auto"/>
          <w:szCs w:val="24"/>
          <w:highlight w:val="none"/>
        </w:rPr>
        <w:t>GB/T 13861-2009</w:t>
      </w:r>
      <w:r>
        <w:rPr>
          <w:rFonts w:hint="eastAsia" w:cs="宋体" w:asciiTheme="minorEastAsia" w:hAnsiTheme="minorEastAsia" w:eastAsiaTheme="minorEastAsia"/>
          <w:color w:val="auto"/>
          <w:szCs w:val="24"/>
          <w:highlight w:val="none"/>
        </w:rPr>
        <w:t>）的规定，从潜在的人的因素、物的因素、环境因素、管理因素等危险有害因素进行辨识，充分考虑危险有害的根源和性质。对辨识出的每一个风险事件，分析造成事件发生的的致险因素，形成风险辨识清单。</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——人的因素，包括人的不安全因素，如安全意识、安全行为等。</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——物的因素，包括物料、机械设备、防护设施的不安全状态等。</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——环境因素，包括作业环境不良，如照明、能见度、作业空间等。</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——管理因素，包括规章制度、生产组织与指挥等。</w:t>
      </w:r>
    </w:p>
    <w:p>
      <w:pPr>
        <w:widowControl w:val="0"/>
        <w:spacing w:beforeLines="50" w:afterLines="50" w:line="480" w:lineRule="exact"/>
        <w:ind w:left="0" w:firstLine="482"/>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w:t>
      </w:r>
      <w:r>
        <w:rPr>
          <w:rFonts w:cs="宋体" w:asciiTheme="minorEastAsia" w:hAnsiTheme="minorEastAsia" w:eastAsiaTheme="minorEastAsia"/>
          <w:b/>
          <w:color w:val="auto"/>
          <w:szCs w:val="24"/>
          <w:highlight w:val="none"/>
        </w:rPr>
        <w:t>6.</w:t>
      </w:r>
      <w:r>
        <w:rPr>
          <w:rFonts w:hint="eastAsia" w:cs="宋体" w:asciiTheme="minorEastAsia" w:hAnsiTheme="minorEastAsia" w:eastAsiaTheme="minorEastAsia"/>
          <w:b/>
          <w:color w:val="auto"/>
          <w:szCs w:val="24"/>
          <w:highlight w:val="none"/>
        </w:rPr>
        <w:t>4风险评估</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采用《公路水路行业安全生产风险辨识评估管控基本规范2018（试行）》提供的评估方法进行风险评估。</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风险等级主要由风险事件发生的可能性（L）、后果严重程度(C)决定。</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（1）可能性指标分级标准</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可能性划分为五个级别，分别是：极高、高、中等、低 、极低。</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针对不同作业内容或作业步骤，搜集公司近年来突发事件发生情况频次数据，结合行业经验，对致险因素或风险事件发生的可能性进行评价。</w:t>
      </w:r>
    </w:p>
    <w:p>
      <w:pPr>
        <w:widowControl w:val="0"/>
        <w:spacing w:after="0" w:line="480" w:lineRule="exact"/>
        <w:ind w:left="0" w:firstLine="480"/>
        <w:jc w:val="center"/>
        <w:rPr>
          <w:rFonts w:cs="宋体" w:asciiTheme="minorEastAsia" w:hAnsiTheme="minorEastAsia" w:eastAsiaTheme="minorEastAsia"/>
          <w:b/>
          <w:color w:val="auto"/>
          <w:sz w:val="21"/>
          <w:szCs w:val="24"/>
          <w:highlight w:val="none"/>
        </w:rPr>
      </w:pPr>
      <w:r>
        <w:rPr>
          <w:rFonts w:hint="eastAsia" w:cs="宋体" w:asciiTheme="minorEastAsia" w:hAnsiTheme="minorEastAsia" w:eastAsiaTheme="minorEastAsia"/>
          <w:b/>
          <w:color w:val="auto"/>
          <w:sz w:val="21"/>
          <w:szCs w:val="24"/>
          <w:highlight w:val="none"/>
        </w:rPr>
        <w:t>表3-1</w:t>
      </w:r>
      <w:r>
        <w:rPr>
          <w:rFonts w:cs="宋体" w:asciiTheme="minorEastAsia" w:hAnsiTheme="minorEastAsia" w:eastAsiaTheme="minorEastAsia"/>
          <w:b/>
          <w:color w:val="auto"/>
          <w:sz w:val="21"/>
          <w:szCs w:val="24"/>
          <w:highlight w:val="none"/>
        </w:rPr>
        <w:t>0</w:t>
      </w:r>
      <w:r>
        <w:rPr>
          <w:rFonts w:hint="eastAsia" w:cs="宋体" w:asciiTheme="minorEastAsia" w:hAnsiTheme="minorEastAsia" w:eastAsiaTheme="minorEastAsia"/>
          <w:b/>
          <w:color w:val="auto"/>
          <w:sz w:val="21"/>
          <w:szCs w:val="24"/>
          <w:highlight w:val="none"/>
        </w:rPr>
        <w:t>可能性判断标准表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335"/>
        <w:gridCol w:w="5065"/>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51" w:type="pct"/>
            <w:shd w:val="clear" w:color="auto" w:fill="auto"/>
            <w:vAlign w:val="center"/>
          </w:tcPr>
          <w:p>
            <w:pPr>
              <w:widowControl w:val="0"/>
              <w:tabs>
                <w:tab w:val="left" w:pos="948"/>
              </w:tabs>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序号</w:t>
            </w:r>
          </w:p>
        </w:tc>
        <w:tc>
          <w:tcPr>
            <w:tcW w:w="783"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可能性级别</w:t>
            </w:r>
          </w:p>
        </w:tc>
        <w:tc>
          <w:tcPr>
            <w:tcW w:w="2972" w:type="pct"/>
            <w:vAlign w:val="center"/>
          </w:tcPr>
          <w:p>
            <w:pPr>
              <w:widowControl w:val="0"/>
              <w:spacing w:beforeLines="20" w:afterLines="20" w:line="480" w:lineRule="exact"/>
              <w:ind w:left="0" w:firstLine="0"/>
              <w:jc w:val="center"/>
              <w:rPr>
                <w:rFonts w:cs="宋体"/>
                <w:color w:val="auto"/>
                <w:szCs w:val="24"/>
                <w:highlight w:val="none"/>
              </w:rPr>
            </w:pPr>
            <w:r>
              <w:rPr>
                <w:rFonts w:hint="eastAsia" w:cs="宋体" w:asciiTheme="minorEastAsia" w:hAnsiTheme="minorEastAsia" w:eastAsiaTheme="minorEastAsia"/>
                <w:color w:val="auto"/>
                <w:sz w:val="21"/>
                <w:szCs w:val="24"/>
                <w:highlight w:val="none"/>
              </w:rPr>
              <w:t>可能性判断准则</w:t>
            </w:r>
          </w:p>
        </w:tc>
        <w:tc>
          <w:tcPr>
            <w:tcW w:w="794"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取值区间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1"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w:t>
            </w:r>
          </w:p>
        </w:tc>
        <w:tc>
          <w:tcPr>
            <w:tcW w:w="783"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极高</w:t>
            </w:r>
          </w:p>
        </w:tc>
        <w:tc>
          <w:tcPr>
            <w:tcW w:w="2972" w:type="pct"/>
            <w:vAlign w:val="center"/>
          </w:tcPr>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1、已经发生过多次（3次及以上）类似事件（情形），且没有采取防护措施或采取防护措施后依然发生事件（情形）；</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2、其他企业（单位）多次发生过类似事件（情形），而本企业（单位）也明显存在导致该类事件（情形）发生的条件的；</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3、依靠人员的常识可预见到的，例如不会游水的人到长江去游泳而发生淹溺事故；</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4、设备设施明显长期异常、故障、超负荷运转，缺乏有效的防护措施；</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5、人员操作技能明显不到位的，明显缺乏此类意识的。</w:t>
            </w:r>
          </w:p>
        </w:tc>
        <w:tc>
          <w:tcPr>
            <w:tcW w:w="794"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1"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2</w:t>
            </w:r>
          </w:p>
        </w:tc>
        <w:tc>
          <w:tcPr>
            <w:tcW w:w="783"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 xml:space="preserve">高 </w:t>
            </w:r>
          </w:p>
        </w:tc>
        <w:tc>
          <w:tcPr>
            <w:tcW w:w="2972" w:type="pct"/>
            <w:vAlign w:val="center"/>
          </w:tcPr>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1、本单位已经发生过类似事件（情形），采取了防护措施，但防护措施不能本质上解决问题，再次发生的可能性很大；</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2、依靠人员的经验认为该事件发生的可能较大；</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3、设备设施长期不检查、检测；</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4、人员无证上岗、缺乏安全意识。</w:t>
            </w:r>
          </w:p>
        </w:tc>
        <w:tc>
          <w:tcPr>
            <w:tcW w:w="794"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1"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3</w:t>
            </w:r>
          </w:p>
        </w:tc>
        <w:tc>
          <w:tcPr>
            <w:tcW w:w="783"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 xml:space="preserve">中等 </w:t>
            </w:r>
          </w:p>
        </w:tc>
        <w:tc>
          <w:tcPr>
            <w:tcW w:w="2972" w:type="pct"/>
            <w:vAlign w:val="center"/>
          </w:tcPr>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1、本单位从未发生类似事件（情形），其他企业（单位）多次发生过类似事件（情形），且本企业（单位）也存在发生类似事件的可能；</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2、本企业（单位）采取防护措施，但执行力度一般；</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3、危险的发生容易被发现，但主要靠人防，缺乏有效的物防和技防措施；</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4、设备设施及安全防护措施运行年限较长，故障率高，但还未出现较大的问题；</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5、人员能够持证上岗，但实际操作技能一般，安全意识一般。</w:t>
            </w:r>
          </w:p>
        </w:tc>
        <w:tc>
          <w:tcPr>
            <w:tcW w:w="794"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1"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4</w:t>
            </w:r>
          </w:p>
        </w:tc>
        <w:tc>
          <w:tcPr>
            <w:tcW w:w="783"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 xml:space="preserve">低 </w:t>
            </w:r>
          </w:p>
        </w:tc>
        <w:tc>
          <w:tcPr>
            <w:tcW w:w="2972" w:type="pct"/>
            <w:vAlign w:val="center"/>
          </w:tcPr>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1、从未发生过类似事件（情形），且有相应的防护措施，并能有效执行；</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2、一旦发生能及时发现，并定期进行监测；</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3、凭个人的经验，认为该事件可能发生，但出乎意料；</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4、设备设施及防护措施非常先进，员工安全意识强。</w:t>
            </w:r>
          </w:p>
        </w:tc>
        <w:tc>
          <w:tcPr>
            <w:tcW w:w="794"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1"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5</w:t>
            </w:r>
          </w:p>
        </w:tc>
        <w:tc>
          <w:tcPr>
            <w:tcW w:w="783"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 xml:space="preserve">极低 </w:t>
            </w:r>
          </w:p>
        </w:tc>
        <w:tc>
          <w:tcPr>
            <w:tcW w:w="2972" w:type="pct"/>
            <w:vAlign w:val="center"/>
          </w:tcPr>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1、从未发生过类似事件（情形），且有相应的防护措施，并能有效执行；</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2、其他企业（单位）也未听说过发生过类似事件（情形）。</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3、有充分、有效的控制措施；</w:t>
            </w:r>
          </w:p>
          <w:p>
            <w:pPr>
              <w:spacing w:beforeLines="20" w:afterLines="20" w:line="320" w:lineRule="exact"/>
              <w:ind w:left="124" w:right="48" w:rightChars="20" w:hanging="11"/>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4、设备设施及防护措施非常先进，员工安全意识极强。</w:t>
            </w:r>
          </w:p>
        </w:tc>
        <w:tc>
          <w:tcPr>
            <w:tcW w:w="794"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（0-1]</w:t>
            </w:r>
          </w:p>
        </w:tc>
      </w:tr>
    </w:tbl>
    <w:p>
      <w:pPr>
        <w:widowControl w:val="0"/>
        <w:spacing w:before="46" w:after="0" w:line="440" w:lineRule="exact"/>
        <w:ind w:left="138" w:right="237" w:firstLine="480"/>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 xml:space="preserve">备注： 1.可能性指标取值为区间内的整数或最多一位小数； </w:t>
      </w:r>
    </w:p>
    <w:p>
      <w:pPr>
        <w:widowControl w:val="0"/>
        <w:spacing w:before="46" w:after="0" w:line="440" w:lineRule="exact"/>
        <w:ind w:left="138" w:right="237" w:firstLine="480"/>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2.区间符号“[]”包括＂等于＂，“(）”不包括＂等于＂，如：（0-1]表示 0&lt;取值≤1。</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（2）后果严重程度分级标准</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后果严重程度统一划分为四个级别，特别严重、严重、较严重、不严重。</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针对不同作业内容或作业步骤，分析风险事件发生后，可能造成的最大人员伤亡、经济损失、环境污染、社会影响，综合参考历史上类似事件后果损失，根据后果严重程度判断标准， 进行后果严重程度指标评分。</w:t>
      </w:r>
    </w:p>
    <w:p>
      <w:pPr>
        <w:widowControl w:val="0"/>
        <w:spacing w:after="0" w:line="480" w:lineRule="exact"/>
        <w:ind w:left="0" w:firstLine="480"/>
        <w:jc w:val="center"/>
        <w:rPr>
          <w:rFonts w:cs="宋体" w:asciiTheme="minorEastAsia" w:hAnsiTheme="minorEastAsia" w:eastAsiaTheme="minorEastAsia"/>
          <w:b/>
          <w:color w:val="auto"/>
          <w:sz w:val="21"/>
          <w:szCs w:val="24"/>
          <w:highlight w:val="none"/>
        </w:rPr>
      </w:pPr>
      <w:r>
        <w:rPr>
          <w:rFonts w:hint="eastAsia" w:cs="宋体" w:asciiTheme="minorEastAsia" w:hAnsiTheme="minorEastAsia" w:eastAsiaTheme="minorEastAsia"/>
          <w:b/>
          <w:color w:val="auto"/>
          <w:sz w:val="21"/>
          <w:szCs w:val="24"/>
          <w:highlight w:val="none"/>
        </w:rPr>
        <w:t>表3-1</w:t>
      </w:r>
      <w:r>
        <w:rPr>
          <w:rFonts w:cs="宋体" w:asciiTheme="minorEastAsia" w:hAnsiTheme="minorEastAsia" w:eastAsiaTheme="minorEastAsia"/>
          <w:b/>
          <w:color w:val="auto"/>
          <w:sz w:val="21"/>
          <w:szCs w:val="24"/>
          <w:highlight w:val="none"/>
        </w:rPr>
        <w:t>1</w:t>
      </w:r>
      <w:r>
        <w:rPr>
          <w:rFonts w:hint="eastAsia" w:cs="宋体" w:asciiTheme="minorEastAsia" w:hAnsiTheme="minorEastAsia" w:eastAsiaTheme="minorEastAsia"/>
          <w:b/>
          <w:color w:val="auto"/>
          <w:sz w:val="21"/>
          <w:szCs w:val="24"/>
          <w:highlight w:val="none"/>
        </w:rPr>
        <w:t>后果严重程度判断标准表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466"/>
        <w:gridCol w:w="5333"/>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vAlign w:val="center"/>
          </w:tcPr>
          <w:p>
            <w:pPr>
              <w:widowControl w:val="0"/>
              <w:tabs>
                <w:tab w:val="left" w:pos="948"/>
              </w:tabs>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序号</w:t>
            </w:r>
          </w:p>
        </w:tc>
        <w:tc>
          <w:tcPr>
            <w:tcW w:w="860"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 xml:space="preserve">后果严重程度 </w:t>
            </w:r>
          </w:p>
        </w:tc>
        <w:tc>
          <w:tcPr>
            <w:tcW w:w="3129"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后果严重程度总体判断标准定义可能性级别</w:t>
            </w:r>
          </w:p>
        </w:tc>
        <w:tc>
          <w:tcPr>
            <w:tcW w:w="560"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w:t>
            </w:r>
          </w:p>
        </w:tc>
        <w:tc>
          <w:tcPr>
            <w:tcW w:w="860"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特别严重</w:t>
            </w:r>
          </w:p>
        </w:tc>
        <w:tc>
          <w:tcPr>
            <w:tcW w:w="3129" w:type="pct"/>
            <w:shd w:val="clear" w:color="auto" w:fill="auto"/>
            <w:vAlign w:val="center"/>
          </w:tcPr>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 xml:space="preserve">（1）人员伤亡，可能发生人员伤亡数量达到国务院《生产安全事故报告和调查处理条例》中特别重大事故伤亡标准； </w:t>
            </w:r>
          </w:p>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 xml:space="preserve">（2） 经济损失，可能发生经济损失达到国务院《生产安全事故报告和调查处理条例》中特别重大事故经济损失标准； </w:t>
            </w:r>
          </w:p>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 xml:space="preserve">（3） 环境污染：可能造成特别重大生态环境灾害或公共卫生事件； </w:t>
            </w:r>
          </w:p>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 xml:space="preserve">（4）社会影响：可能对国家或区域的社会、经济、外交、军事、政治 等产生特别重大影响。 </w:t>
            </w:r>
          </w:p>
        </w:tc>
        <w:tc>
          <w:tcPr>
            <w:tcW w:w="560"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2</w:t>
            </w:r>
          </w:p>
        </w:tc>
        <w:tc>
          <w:tcPr>
            <w:tcW w:w="860"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严重</w:t>
            </w:r>
          </w:p>
        </w:tc>
        <w:tc>
          <w:tcPr>
            <w:tcW w:w="3129" w:type="pct"/>
            <w:shd w:val="clear" w:color="auto" w:fill="auto"/>
            <w:vAlign w:val="center"/>
          </w:tcPr>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（1）人员伤亡，可能发生人员伤亡数量达到国务院《生产安全事故报告和调查处理条例》中重大事故伤亡标准；</w:t>
            </w:r>
          </w:p>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（2）经济损失，可能发生经济损失达到国务院《生产安全事故报告和调查处理条例》中重大事故经济损失标准 ；</w:t>
            </w:r>
          </w:p>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（3）环境污染：可能造成重大生态环境灾害或公共卫事件；</w:t>
            </w:r>
          </w:p>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（4）社会影响：可能对国家或区域的社会、经济外交军事政治等产生 重大影响。</w:t>
            </w:r>
          </w:p>
        </w:tc>
        <w:tc>
          <w:tcPr>
            <w:tcW w:w="560"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3</w:t>
            </w:r>
          </w:p>
        </w:tc>
        <w:tc>
          <w:tcPr>
            <w:tcW w:w="860"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较严重</w:t>
            </w:r>
          </w:p>
        </w:tc>
        <w:tc>
          <w:tcPr>
            <w:tcW w:w="3129" w:type="pct"/>
            <w:shd w:val="clear" w:color="auto" w:fill="auto"/>
            <w:vAlign w:val="center"/>
          </w:tcPr>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（1）人员伤亡，可能发生人员伤亡数量达到国务院《生产安全事故报告和调查处理条例》中较大事故伤亡标准；</w:t>
            </w:r>
          </w:p>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（2）经济损失，可能发生经济损失达到国务院《生产安全事故报告和调查处理条例》中较大事故经济损失标准；</w:t>
            </w:r>
          </w:p>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（3）环境污染：可能造成较大生态环境灾害或公共卫生事件；</w:t>
            </w:r>
          </w:p>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 xml:space="preserve">（4）社会影响：可能对国家或区域的社会、经济、外交、军事、政治 等产生较大影响。 </w:t>
            </w:r>
          </w:p>
        </w:tc>
        <w:tc>
          <w:tcPr>
            <w:tcW w:w="560"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4</w:t>
            </w:r>
          </w:p>
        </w:tc>
        <w:tc>
          <w:tcPr>
            <w:tcW w:w="860"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不严重</w:t>
            </w:r>
          </w:p>
        </w:tc>
        <w:tc>
          <w:tcPr>
            <w:tcW w:w="3129" w:type="pct"/>
            <w:shd w:val="clear" w:color="auto" w:fill="auto"/>
            <w:vAlign w:val="center"/>
          </w:tcPr>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（1）人员伤亡，可能发生人员伤亡数量达到国务院《生产安全事故报告和调查处理条例》中一般事故伤亡标准；</w:t>
            </w:r>
          </w:p>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（2）经济损失，可能发生经济损失达到国务院《生产安全事故报告和 调查处理条例》中一般事故经济损失标准；</w:t>
            </w:r>
          </w:p>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（3）环境污染：可能造成一般生态环境灾害或公共卫生事件；</w:t>
            </w:r>
          </w:p>
          <w:p>
            <w:pPr>
              <w:widowControl w:val="0"/>
              <w:spacing w:after="0" w:line="480" w:lineRule="exact"/>
              <w:ind w:left="0" w:firstLine="0"/>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 xml:space="preserve">（4）社会影响：可能对国家或区域的社会、经济、外交、军事、政治 等产生较小影响。 </w:t>
            </w:r>
          </w:p>
        </w:tc>
        <w:tc>
          <w:tcPr>
            <w:tcW w:w="560" w:type="pct"/>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w:t>
            </w:r>
          </w:p>
        </w:tc>
      </w:tr>
    </w:tbl>
    <w:p>
      <w:pPr>
        <w:widowControl w:val="0"/>
        <w:spacing w:after="0" w:line="480" w:lineRule="exact"/>
        <w:ind w:left="0" w:firstLine="480"/>
        <w:jc w:val="both"/>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注：表中同一等级的不同后果之间为“或”关系， 即满足条件之一可。</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（3）风险等级评估标准</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根据作业活动，综合考虑职业病危害风险和生产安全事故风险，将辨识出的风险，从高到低分别按照重大风险、较大风险、一般风险和低风险四个等级。对各类风险事件进行分级，并分别用红、橙、黄、蓝四种颜色标示。</w:t>
      </w:r>
    </w:p>
    <w:p>
      <w:pPr>
        <w:widowControl w:val="0"/>
        <w:spacing w:after="0" w:line="480" w:lineRule="exact"/>
        <w:ind w:left="0" w:firstLine="48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风险等级大小(D) 由风险事件发生的可能性(L)、后果严重程度(C)两个指标决定。</w:t>
      </w:r>
    </w:p>
    <w:p>
      <w:pPr>
        <w:widowControl w:val="0"/>
        <w:spacing w:after="0" w:line="480" w:lineRule="exact"/>
        <w:ind w:left="0" w:firstLine="48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 xml:space="preserve"> D= L×C</w:t>
      </w:r>
    </w:p>
    <w:p>
      <w:pPr>
        <w:spacing w:after="0" w:line="240" w:lineRule="auto"/>
        <w:ind w:left="0" w:firstLine="0"/>
        <w:rPr>
          <w:rFonts w:cs="宋体" w:asciiTheme="minorEastAsia" w:hAnsiTheme="minorEastAsia" w:eastAsiaTheme="minorEastAsia"/>
          <w:b/>
          <w:color w:val="auto"/>
          <w:sz w:val="21"/>
          <w:szCs w:val="24"/>
          <w:highlight w:val="none"/>
        </w:rPr>
      </w:pPr>
      <w:r>
        <w:rPr>
          <w:rFonts w:cs="宋体" w:asciiTheme="minorEastAsia" w:hAnsiTheme="minorEastAsia" w:eastAsiaTheme="minorEastAsia"/>
          <w:b/>
          <w:color w:val="auto"/>
          <w:sz w:val="21"/>
          <w:szCs w:val="24"/>
          <w:highlight w:val="none"/>
        </w:rPr>
        <w:br w:type="page"/>
      </w:r>
    </w:p>
    <w:p>
      <w:pPr>
        <w:widowControl w:val="0"/>
        <w:spacing w:after="0" w:line="480" w:lineRule="exact"/>
        <w:ind w:left="0" w:firstLine="480"/>
        <w:jc w:val="center"/>
        <w:rPr>
          <w:rFonts w:cs="宋体" w:asciiTheme="minorEastAsia" w:hAnsiTheme="minorEastAsia" w:eastAsiaTheme="minorEastAsia"/>
          <w:b/>
          <w:color w:val="auto"/>
          <w:sz w:val="21"/>
          <w:szCs w:val="24"/>
          <w:highlight w:val="none"/>
        </w:rPr>
      </w:pPr>
      <w:r>
        <w:rPr>
          <w:rFonts w:hint="eastAsia" w:cs="宋体" w:asciiTheme="minorEastAsia" w:hAnsiTheme="minorEastAsia" w:eastAsiaTheme="minorEastAsia"/>
          <w:b/>
          <w:color w:val="auto"/>
          <w:sz w:val="21"/>
          <w:szCs w:val="24"/>
          <w:highlight w:val="none"/>
        </w:rPr>
        <w:t>表3-1</w:t>
      </w:r>
      <w:r>
        <w:rPr>
          <w:rFonts w:cs="宋体" w:asciiTheme="minorEastAsia" w:hAnsiTheme="minorEastAsia" w:eastAsiaTheme="minorEastAsia"/>
          <w:b/>
          <w:color w:val="auto"/>
          <w:sz w:val="21"/>
          <w:szCs w:val="24"/>
          <w:highlight w:val="none"/>
        </w:rPr>
        <w:t>2</w:t>
      </w:r>
      <w:r>
        <w:rPr>
          <w:rFonts w:hint="eastAsia" w:cs="宋体" w:asciiTheme="minorEastAsia" w:hAnsiTheme="minorEastAsia" w:eastAsiaTheme="minorEastAsia"/>
          <w:b/>
          <w:color w:val="auto"/>
          <w:sz w:val="21"/>
          <w:szCs w:val="24"/>
          <w:highlight w:val="none"/>
        </w:rPr>
        <w:t xml:space="preserve"> 风险等级矩阵图</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1200"/>
        <w:gridCol w:w="1200"/>
        <w:gridCol w:w="1331"/>
        <w:gridCol w:w="1335"/>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312" w:type="pct"/>
            <w:tcBorders>
              <w:tl2br w:val="single" w:color="auto" w:sz="4" w:space="0"/>
            </w:tcBorders>
            <w:shd w:val="clear" w:color="auto" w:fill="auto"/>
          </w:tcPr>
          <w:p>
            <w:pPr>
              <w:widowControl w:val="0"/>
              <w:spacing w:after="0" w:line="320" w:lineRule="exact"/>
              <w:ind w:left="0" w:firstLine="0"/>
              <w:jc w:val="both"/>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 xml:space="preserve">           可能性</w:t>
            </w:r>
          </w:p>
          <w:p>
            <w:pPr>
              <w:widowControl w:val="0"/>
              <w:spacing w:after="0" w:line="480" w:lineRule="exact"/>
              <w:ind w:left="0" w:firstLine="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 w:val="21"/>
                <w:szCs w:val="24"/>
                <w:highlight w:val="none"/>
              </w:rPr>
              <w:t>严重程度</w:t>
            </w:r>
          </w:p>
        </w:tc>
        <w:tc>
          <w:tcPr>
            <w:tcW w:w="704" w:type="pct"/>
            <w:tcBorders>
              <w:bottom w:val="single" w:color="auto" w:sz="4" w:space="0"/>
            </w:tcBorders>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w:t>
            </w:r>
          </w:p>
        </w:tc>
        <w:tc>
          <w:tcPr>
            <w:tcW w:w="704" w:type="pct"/>
            <w:tcBorders>
              <w:bottom w:val="single" w:color="auto" w:sz="4" w:space="0"/>
            </w:tcBorders>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3</w:t>
            </w:r>
          </w:p>
        </w:tc>
        <w:tc>
          <w:tcPr>
            <w:tcW w:w="781" w:type="pct"/>
            <w:tcBorders>
              <w:bottom w:val="single" w:color="auto" w:sz="4" w:space="0"/>
            </w:tcBorders>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6</w:t>
            </w:r>
          </w:p>
        </w:tc>
        <w:tc>
          <w:tcPr>
            <w:tcW w:w="783" w:type="pct"/>
            <w:tcBorders>
              <w:bottom w:val="single" w:color="auto" w:sz="4" w:space="0"/>
            </w:tcBorders>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9</w:t>
            </w:r>
          </w:p>
        </w:tc>
        <w:tc>
          <w:tcPr>
            <w:tcW w:w="716" w:type="pct"/>
            <w:tcBorders>
              <w:bottom w:val="single" w:color="auto" w:sz="4" w:space="0"/>
            </w:tcBorders>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w:t>
            </w:r>
          </w:p>
        </w:tc>
        <w:tc>
          <w:tcPr>
            <w:tcW w:w="704" w:type="pct"/>
            <w:tcBorders>
              <w:bottom w:val="single" w:color="auto" w:sz="4" w:space="0"/>
            </w:tcBorders>
            <w:shd w:val="clear" w:color="auto" w:fill="0070C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w:t>
            </w:r>
          </w:p>
        </w:tc>
        <w:tc>
          <w:tcPr>
            <w:tcW w:w="704" w:type="pct"/>
            <w:tcBorders>
              <w:bottom w:val="single" w:color="auto" w:sz="4" w:space="0"/>
            </w:tcBorders>
            <w:shd w:val="clear" w:color="auto" w:fill="0070C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3</w:t>
            </w:r>
          </w:p>
        </w:tc>
        <w:tc>
          <w:tcPr>
            <w:tcW w:w="781" w:type="pct"/>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6</w:t>
            </w:r>
          </w:p>
        </w:tc>
        <w:tc>
          <w:tcPr>
            <w:tcW w:w="783" w:type="pct"/>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9</w:t>
            </w:r>
          </w:p>
        </w:tc>
        <w:tc>
          <w:tcPr>
            <w:tcW w:w="716" w:type="pct"/>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2</w:t>
            </w:r>
          </w:p>
        </w:tc>
        <w:tc>
          <w:tcPr>
            <w:tcW w:w="704" w:type="pct"/>
            <w:shd w:val="clear" w:color="auto" w:fill="0070C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2</w:t>
            </w:r>
          </w:p>
        </w:tc>
        <w:tc>
          <w:tcPr>
            <w:tcW w:w="704" w:type="pct"/>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6</w:t>
            </w:r>
          </w:p>
        </w:tc>
        <w:tc>
          <w:tcPr>
            <w:tcW w:w="781" w:type="pct"/>
            <w:tcBorders>
              <w:bottom w:val="single" w:color="auto" w:sz="4" w:space="0"/>
            </w:tcBorders>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12</w:t>
            </w:r>
          </w:p>
        </w:tc>
        <w:tc>
          <w:tcPr>
            <w:tcW w:w="783" w:type="pct"/>
            <w:tcBorders>
              <w:bottom w:val="single" w:color="auto" w:sz="4" w:space="0"/>
            </w:tcBorders>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18</w:t>
            </w:r>
          </w:p>
        </w:tc>
        <w:tc>
          <w:tcPr>
            <w:tcW w:w="716" w:type="pct"/>
            <w:tcBorders>
              <w:bottom w:val="single" w:color="auto" w:sz="4" w:space="0"/>
            </w:tcBorders>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5</w:t>
            </w:r>
          </w:p>
        </w:tc>
        <w:tc>
          <w:tcPr>
            <w:tcW w:w="704" w:type="pct"/>
            <w:tcBorders>
              <w:bottom w:val="single" w:color="auto" w:sz="4" w:space="0"/>
            </w:tcBorders>
            <w:shd w:val="clear" w:color="auto" w:fill="0070C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5</w:t>
            </w:r>
          </w:p>
        </w:tc>
        <w:tc>
          <w:tcPr>
            <w:tcW w:w="704" w:type="pct"/>
            <w:tcBorders>
              <w:bottom w:val="single" w:color="auto" w:sz="4" w:space="0"/>
            </w:tcBorders>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15</w:t>
            </w:r>
          </w:p>
        </w:tc>
        <w:tc>
          <w:tcPr>
            <w:tcW w:w="781" w:type="pct"/>
            <w:tcBorders>
              <w:bottom w:val="single" w:color="auto" w:sz="4" w:space="0"/>
            </w:tcBorders>
            <w:shd w:val="clear" w:color="auto" w:fill="FFC0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30</w:t>
            </w:r>
          </w:p>
        </w:tc>
        <w:tc>
          <w:tcPr>
            <w:tcW w:w="783" w:type="pct"/>
            <w:tcBorders>
              <w:bottom w:val="single" w:color="auto" w:sz="4" w:space="0"/>
            </w:tcBorders>
            <w:shd w:val="clear" w:color="auto" w:fill="FFC0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45</w:t>
            </w:r>
          </w:p>
        </w:tc>
        <w:tc>
          <w:tcPr>
            <w:tcW w:w="716" w:type="pct"/>
            <w:tcBorders>
              <w:bottom w:val="single" w:color="auto" w:sz="4" w:space="0"/>
            </w:tcBorders>
            <w:shd w:val="clear" w:color="auto" w:fill="FF00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10</w:t>
            </w:r>
          </w:p>
        </w:tc>
        <w:tc>
          <w:tcPr>
            <w:tcW w:w="704" w:type="pct"/>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10</w:t>
            </w:r>
          </w:p>
        </w:tc>
        <w:tc>
          <w:tcPr>
            <w:tcW w:w="704" w:type="pct"/>
            <w:shd w:val="clear" w:color="auto" w:fill="FFC0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30</w:t>
            </w:r>
          </w:p>
        </w:tc>
        <w:tc>
          <w:tcPr>
            <w:tcW w:w="781" w:type="pct"/>
            <w:shd w:val="clear" w:color="auto" w:fill="FF00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60</w:t>
            </w:r>
          </w:p>
        </w:tc>
        <w:tc>
          <w:tcPr>
            <w:tcW w:w="783" w:type="pct"/>
            <w:shd w:val="clear" w:color="auto" w:fill="FF00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90</w:t>
            </w:r>
          </w:p>
        </w:tc>
        <w:tc>
          <w:tcPr>
            <w:tcW w:w="716" w:type="pct"/>
            <w:shd w:val="clear" w:color="auto" w:fill="FF0000"/>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100</w:t>
            </w:r>
          </w:p>
        </w:tc>
      </w:tr>
    </w:tbl>
    <w:p>
      <w:pPr>
        <w:widowControl w:val="0"/>
        <w:spacing w:after="0" w:line="480" w:lineRule="exact"/>
        <w:ind w:left="0" w:firstLine="480"/>
        <w:jc w:val="center"/>
        <w:rPr>
          <w:rFonts w:cs="宋体" w:asciiTheme="minorEastAsia" w:hAnsiTheme="minorEastAsia" w:eastAsiaTheme="minorEastAsia"/>
          <w:color w:val="auto"/>
          <w:szCs w:val="24"/>
          <w:highlight w:val="none"/>
        </w:rPr>
      </w:pP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（4）风险分级</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按照风险评估准则，计算风险值，确定风险等级。</w:t>
      </w:r>
    </w:p>
    <w:p>
      <w:pPr>
        <w:widowControl w:val="0"/>
        <w:spacing w:after="0" w:line="480" w:lineRule="exact"/>
        <w:ind w:left="0" w:firstLine="480"/>
        <w:jc w:val="center"/>
        <w:rPr>
          <w:rFonts w:cs="宋体" w:asciiTheme="minorEastAsia" w:hAnsiTheme="minorEastAsia" w:eastAsiaTheme="minorEastAsia"/>
          <w:b/>
          <w:color w:val="auto"/>
          <w:sz w:val="21"/>
          <w:szCs w:val="24"/>
          <w:highlight w:val="none"/>
        </w:rPr>
      </w:pPr>
      <w:r>
        <w:rPr>
          <w:rFonts w:hint="eastAsia" w:cs="宋体" w:asciiTheme="minorEastAsia" w:hAnsiTheme="minorEastAsia" w:eastAsiaTheme="minorEastAsia"/>
          <w:b/>
          <w:color w:val="auto"/>
          <w:sz w:val="21"/>
          <w:szCs w:val="24"/>
          <w:highlight w:val="none"/>
        </w:rPr>
        <w:t>表 3-1</w:t>
      </w:r>
      <w:r>
        <w:rPr>
          <w:rFonts w:cs="宋体" w:asciiTheme="minorEastAsia" w:hAnsiTheme="minorEastAsia" w:eastAsiaTheme="minorEastAsia"/>
          <w:b/>
          <w:color w:val="auto"/>
          <w:sz w:val="21"/>
          <w:szCs w:val="24"/>
          <w:highlight w:val="none"/>
        </w:rPr>
        <w:t>3</w:t>
      </w:r>
      <w:r>
        <w:rPr>
          <w:rFonts w:hint="eastAsia" w:cs="宋体" w:asciiTheme="minorEastAsia" w:hAnsiTheme="minorEastAsia" w:eastAsiaTheme="minorEastAsia"/>
          <w:b/>
          <w:color w:val="auto"/>
          <w:sz w:val="21"/>
          <w:szCs w:val="24"/>
          <w:highlight w:val="none"/>
        </w:rPr>
        <w:t xml:space="preserve"> 风险等级取值区间表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4123"/>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shd w:val="clear" w:color="auto" w:fill="auto"/>
          </w:tcPr>
          <w:p>
            <w:pPr>
              <w:widowControl w:val="0"/>
              <w:tabs>
                <w:tab w:val="left" w:pos="948"/>
              </w:tabs>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序号</w:t>
            </w:r>
          </w:p>
        </w:tc>
        <w:tc>
          <w:tcPr>
            <w:tcW w:w="2419"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风险等级</w:t>
            </w:r>
          </w:p>
        </w:tc>
        <w:tc>
          <w:tcPr>
            <w:tcW w:w="1667"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取值区间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w:t>
            </w:r>
          </w:p>
        </w:tc>
        <w:tc>
          <w:tcPr>
            <w:tcW w:w="2419"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重大</w:t>
            </w:r>
          </w:p>
        </w:tc>
        <w:tc>
          <w:tcPr>
            <w:tcW w:w="1667"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（55-100]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2</w:t>
            </w:r>
          </w:p>
        </w:tc>
        <w:tc>
          <w:tcPr>
            <w:tcW w:w="2419"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较大</w:t>
            </w:r>
          </w:p>
        </w:tc>
        <w:tc>
          <w:tcPr>
            <w:tcW w:w="1667"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（20-55]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3</w:t>
            </w:r>
          </w:p>
        </w:tc>
        <w:tc>
          <w:tcPr>
            <w:tcW w:w="2419"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 xml:space="preserve">一般 </w:t>
            </w:r>
          </w:p>
        </w:tc>
        <w:tc>
          <w:tcPr>
            <w:tcW w:w="1667"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4</w:t>
            </w:r>
          </w:p>
        </w:tc>
        <w:tc>
          <w:tcPr>
            <w:tcW w:w="2419"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低</w:t>
            </w:r>
          </w:p>
        </w:tc>
        <w:tc>
          <w:tcPr>
            <w:tcW w:w="1667"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（1-5]</w:t>
            </w:r>
          </w:p>
        </w:tc>
      </w:tr>
    </w:tbl>
    <w:p>
      <w:pPr>
        <w:widowControl w:val="0"/>
        <w:spacing w:after="0" w:line="480" w:lineRule="exact"/>
        <w:ind w:left="0" w:firstLine="480"/>
        <w:jc w:val="both"/>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注：区间符号“[]”包括等于，“(）”不包括等于，如：区间（0、5]表示 0&lt; 取值≤5。</w:t>
      </w:r>
    </w:p>
    <w:p>
      <w:pPr>
        <w:spacing w:beforeLines="50" w:after="0" w:line="360" w:lineRule="auto"/>
        <w:ind w:left="11" w:hanging="11" w:hangingChars="4"/>
        <w:outlineLvl w:val="1"/>
        <w:rPr>
          <w:rFonts w:asciiTheme="minorEastAsia" w:hAnsiTheme="minorEastAsia" w:eastAsiaTheme="minorEastAsia"/>
          <w:b/>
          <w:color w:val="auto"/>
          <w:sz w:val="28"/>
          <w:szCs w:val="28"/>
          <w:highlight w:val="none"/>
        </w:rPr>
      </w:pPr>
      <w:bookmarkStart w:id="28" w:name="_Toc2179417"/>
      <w:bookmarkStart w:id="29" w:name="_Toc7522668"/>
      <w:bookmarkStart w:id="30" w:name="_Toc104735768"/>
      <w:r>
        <w:rPr>
          <w:rFonts w:hint="eastAsia" w:asciiTheme="minorEastAsia" w:hAnsiTheme="minorEastAsia" w:eastAsiaTheme="minorEastAsia"/>
          <w:b/>
          <w:color w:val="auto"/>
          <w:sz w:val="28"/>
          <w:szCs w:val="28"/>
          <w:highlight w:val="none"/>
        </w:rPr>
        <w:t>3.7风险分级管控</w:t>
      </w:r>
      <w:bookmarkEnd w:id="28"/>
      <w:bookmarkEnd w:id="29"/>
      <w:bookmarkEnd w:id="30"/>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bookmarkStart w:id="31" w:name="_Toc2179418"/>
      <w:r>
        <w:rPr>
          <w:rFonts w:hint="eastAsia" w:cs="宋体" w:asciiTheme="minorEastAsia" w:hAnsiTheme="minorEastAsia" w:eastAsiaTheme="minorEastAsia"/>
          <w:b/>
          <w:color w:val="auto"/>
          <w:szCs w:val="24"/>
          <w:highlight w:val="none"/>
        </w:rPr>
        <w:t>3.7</w:t>
      </w:r>
      <w:r>
        <w:rPr>
          <w:rFonts w:cs="宋体" w:asciiTheme="minorEastAsia" w:hAnsiTheme="minorEastAsia" w:eastAsiaTheme="minorEastAsia"/>
          <w:b/>
          <w:color w:val="auto"/>
          <w:szCs w:val="24"/>
          <w:highlight w:val="none"/>
        </w:rPr>
        <w:t>.1</w:t>
      </w:r>
      <w:r>
        <w:rPr>
          <w:rFonts w:hint="eastAsia" w:cs="微软雅黑" w:asciiTheme="minorEastAsia" w:hAnsiTheme="minorEastAsia" w:eastAsiaTheme="minorEastAsia"/>
          <w:b/>
          <w:color w:val="auto"/>
          <w:szCs w:val="24"/>
          <w:highlight w:val="none"/>
        </w:rPr>
        <w:t>风险控制措施</w:t>
      </w:r>
      <w:bookmarkEnd w:id="31"/>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要结合风险实际采取一种或多种措施进行控制，控制措施包括工程技术措施管理措施、教育培训措施、个体防护措施、应急处置措施等。</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制定风险管控措施时，同时应考虑以下因素：</w:t>
      </w:r>
    </w:p>
    <w:p>
      <w:pPr>
        <w:widowControl w:val="0"/>
        <w:spacing w:after="0" w:line="480" w:lineRule="exact"/>
        <w:ind w:left="0" w:firstLine="420"/>
        <w:jc w:val="both"/>
        <w:rPr>
          <w:rFonts w:cs="Calibri"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Calibri" w:asciiTheme="minorEastAsia" w:hAnsiTheme="minorEastAsia" w:eastAsiaTheme="minorEastAsia"/>
          <w:color w:val="auto"/>
          <w:szCs w:val="24"/>
          <w:highlight w:val="none"/>
        </w:rPr>
        <w:t>1</w:t>
      </w:r>
      <w:r>
        <w:rPr>
          <w:rFonts w:hint="eastAsia" w:cs="宋体" w:asciiTheme="minorEastAsia" w:hAnsiTheme="minorEastAsia" w:eastAsiaTheme="minorEastAsia"/>
          <w:color w:val="auto"/>
          <w:szCs w:val="24"/>
          <w:highlight w:val="none"/>
        </w:rPr>
        <w:t>）可行性和可靠性；</w:t>
      </w:r>
    </w:p>
    <w:p>
      <w:pPr>
        <w:widowControl w:val="0"/>
        <w:spacing w:after="0" w:line="480" w:lineRule="exact"/>
        <w:ind w:left="0" w:firstLine="420"/>
        <w:jc w:val="both"/>
        <w:rPr>
          <w:rFonts w:cs="Calibri"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Calibri" w:asciiTheme="minorEastAsia" w:hAnsiTheme="minorEastAsia" w:eastAsiaTheme="minorEastAsia"/>
          <w:color w:val="auto"/>
          <w:szCs w:val="24"/>
          <w:highlight w:val="none"/>
        </w:rPr>
        <w:t>2</w:t>
      </w:r>
      <w:r>
        <w:rPr>
          <w:rFonts w:hint="eastAsia" w:cs="宋体" w:asciiTheme="minorEastAsia" w:hAnsiTheme="minorEastAsia" w:eastAsiaTheme="minorEastAsia"/>
          <w:color w:val="auto"/>
          <w:szCs w:val="24"/>
          <w:highlight w:val="none"/>
        </w:rPr>
        <w:t>）先进性和安全性；</w:t>
      </w:r>
    </w:p>
    <w:p>
      <w:pPr>
        <w:widowControl w:val="0"/>
        <w:spacing w:after="0" w:line="480" w:lineRule="exact"/>
        <w:ind w:left="0" w:firstLine="420"/>
        <w:jc w:val="both"/>
        <w:rPr>
          <w:rFonts w:cs="Calibri"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Calibri" w:asciiTheme="minorEastAsia" w:hAnsiTheme="minorEastAsia" w:eastAsiaTheme="minorEastAsia"/>
          <w:color w:val="auto"/>
          <w:szCs w:val="24"/>
          <w:highlight w:val="none"/>
        </w:rPr>
        <w:t>3</w:t>
      </w:r>
      <w:r>
        <w:rPr>
          <w:rFonts w:hint="eastAsia" w:cs="宋体" w:asciiTheme="minorEastAsia" w:hAnsiTheme="minorEastAsia" w:eastAsiaTheme="minorEastAsia"/>
          <w:color w:val="auto"/>
          <w:szCs w:val="24"/>
          <w:highlight w:val="none"/>
        </w:rPr>
        <w:t>）经济合理性及经营运行情况；</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Calibri" w:asciiTheme="minorEastAsia" w:hAnsiTheme="minorEastAsia" w:eastAsiaTheme="minorEastAsia"/>
          <w:color w:val="auto"/>
          <w:szCs w:val="24"/>
          <w:highlight w:val="none"/>
        </w:rPr>
        <w:t>4</w:t>
      </w:r>
      <w:r>
        <w:rPr>
          <w:rFonts w:hint="eastAsia" w:cs="宋体" w:asciiTheme="minorEastAsia" w:hAnsiTheme="minorEastAsia" w:eastAsiaTheme="minorEastAsia"/>
          <w:color w:val="auto"/>
          <w:szCs w:val="24"/>
          <w:highlight w:val="none"/>
        </w:rPr>
        <w:t>）可靠的技术保证和服务。</w:t>
      </w:r>
    </w:p>
    <w:p>
      <w:pPr>
        <w:widowControl w:val="0"/>
        <w:spacing w:after="0" w:line="480" w:lineRule="exact"/>
        <w:ind w:left="0" w:firstLine="420"/>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3.7.2工程技术措施</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工程技术措施是指作业、设备设施本身固有的控制措施，通常采用的工程技术措施有：</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（1）消除：通过合理的设计和科学的管理，尽可能从根本上消除危险、危害因素；</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（2）预防：当消除危险、危害因素有困难时，可采取预防性技术措施，预防危险、危害发生；</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（3）减弱：在无法消除危险、危害因素和难以预防的情况下，可采取减少危险、危害的措施；</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（4）隔离：在无法消除、预防、减弱危险、危害的情况下，应将人员与危险、危害因素隔开和将不能共存的物质分开；</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（5）警告：在易发生故障和危险性较大的地方，配置醒目的安全色、安全标志，必要时，设置声、光或声光组合报警装置。</w:t>
      </w:r>
    </w:p>
    <w:p>
      <w:pPr>
        <w:widowControl w:val="0"/>
        <w:spacing w:after="0" w:line="480" w:lineRule="exact"/>
        <w:ind w:left="0" w:firstLine="420"/>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3.7.3管理措施</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（1）制定管理制度并认真落实；</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（2）成立安全管理组织机构并按要求配备人员；</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（3）制定操作规程并认真执行；</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（4）其他相关措施。</w:t>
      </w:r>
    </w:p>
    <w:p>
      <w:pPr>
        <w:widowControl w:val="0"/>
        <w:spacing w:after="0" w:line="480" w:lineRule="exact"/>
        <w:ind w:left="0" w:firstLine="420"/>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3.7.4教育培训措施</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（1）通过开展安全培训，提高员工的安全知识和安全技能水平；</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（2）使员工了解风险防控的意义并掌握识别危害因素的方法；</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（3）使员工了解本岗位危害因素及可能导致的伤害后果，并掌握其防控措施。</w:t>
      </w:r>
    </w:p>
    <w:p>
      <w:pPr>
        <w:widowControl w:val="0"/>
        <w:spacing w:after="0" w:line="480" w:lineRule="exact"/>
        <w:ind w:left="0" w:firstLine="420"/>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3.7.5个体防护措施</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（1）按规定配备使用个体防护用品；</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（2）当工程控制措施不能消除或减弱危险有害因素时，均应采取防护措施。</w:t>
      </w:r>
    </w:p>
    <w:p>
      <w:pPr>
        <w:widowControl w:val="0"/>
        <w:spacing w:after="0" w:line="480" w:lineRule="exact"/>
        <w:ind w:left="0" w:firstLine="420"/>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3.7.6应急处置措施</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（1）进行危险性分析，制定应急方案、现场处置方案，储备应急物资、应急装备；</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（2）通过应急演练、培训等措施，提高相关人员的应急响应能力。</w:t>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bookmarkStart w:id="32" w:name="_Toc2179419"/>
      <w:r>
        <w:rPr>
          <w:rFonts w:hint="eastAsia" w:cs="宋体" w:asciiTheme="minorEastAsia" w:hAnsiTheme="minorEastAsia" w:eastAsiaTheme="minorEastAsia"/>
          <w:b/>
          <w:color w:val="auto"/>
          <w:szCs w:val="24"/>
          <w:highlight w:val="none"/>
        </w:rPr>
        <w:t>3.7</w:t>
      </w:r>
      <w:r>
        <w:rPr>
          <w:rFonts w:cs="宋体" w:asciiTheme="minorEastAsia" w:hAnsiTheme="minorEastAsia" w:eastAsiaTheme="minorEastAsia"/>
          <w:b/>
          <w:color w:val="auto"/>
          <w:szCs w:val="24"/>
          <w:highlight w:val="none"/>
        </w:rPr>
        <w:t>.</w:t>
      </w:r>
      <w:r>
        <w:rPr>
          <w:rFonts w:hint="eastAsia" w:cs="宋体" w:asciiTheme="minorEastAsia" w:hAnsiTheme="minorEastAsia" w:eastAsiaTheme="minorEastAsia"/>
          <w:b/>
          <w:color w:val="auto"/>
          <w:szCs w:val="24"/>
          <w:highlight w:val="none"/>
        </w:rPr>
        <w:t>7分级管控要求</w:t>
      </w:r>
      <w:bookmarkEnd w:id="32"/>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根据风险等级确定风险管控级别，风险管控级别包括公司管控、站区管控和班组管控。风险分级管控原则上遵循风险越高管控层级越高，对于操作难度大、技术含量高、风险等级高、可能导致严重后果的作业活动应重点进行管控。</w:t>
      </w:r>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上一级负责管控的风险，下一级必须同时负责管控，并逐级落实具体措施。管控层级可进行增加、合并或提级。</w:t>
      </w:r>
    </w:p>
    <w:p>
      <w:pPr>
        <w:widowControl w:val="0"/>
        <w:spacing w:after="0" w:line="480" w:lineRule="exact"/>
        <w:ind w:left="0" w:firstLine="480"/>
        <w:jc w:val="center"/>
        <w:rPr>
          <w:rFonts w:cs="宋体" w:asciiTheme="minorEastAsia" w:hAnsiTheme="minorEastAsia" w:eastAsiaTheme="minorEastAsia"/>
          <w:b/>
          <w:color w:val="auto"/>
          <w:sz w:val="21"/>
          <w:szCs w:val="24"/>
          <w:highlight w:val="none"/>
        </w:rPr>
      </w:pPr>
      <w:r>
        <w:rPr>
          <w:rFonts w:hint="eastAsia" w:cs="宋体" w:asciiTheme="minorEastAsia" w:hAnsiTheme="minorEastAsia" w:eastAsiaTheme="minorEastAsia"/>
          <w:b/>
          <w:color w:val="auto"/>
          <w:sz w:val="21"/>
          <w:szCs w:val="24"/>
          <w:highlight w:val="none"/>
        </w:rPr>
        <w:t>表 3-1</w:t>
      </w:r>
      <w:r>
        <w:rPr>
          <w:rFonts w:cs="宋体" w:asciiTheme="minorEastAsia" w:hAnsiTheme="minorEastAsia" w:eastAsiaTheme="minorEastAsia"/>
          <w:b/>
          <w:color w:val="auto"/>
          <w:sz w:val="21"/>
          <w:szCs w:val="24"/>
          <w:highlight w:val="none"/>
        </w:rPr>
        <w:t>4</w:t>
      </w:r>
      <w:r>
        <w:rPr>
          <w:rFonts w:hint="eastAsia" w:cs="宋体" w:asciiTheme="minorEastAsia" w:hAnsiTheme="minorEastAsia" w:eastAsiaTheme="minorEastAsia"/>
          <w:b/>
          <w:color w:val="auto"/>
          <w:sz w:val="21"/>
          <w:szCs w:val="24"/>
          <w:highlight w:val="none"/>
        </w:rPr>
        <w:t>风险管控措施</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343"/>
        <w:gridCol w:w="4242"/>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blHeader/>
        </w:trPr>
        <w:tc>
          <w:tcPr>
            <w:tcW w:w="1242" w:type="dxa"/>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风险等级</w:t>
            </w:r>
          </w:p>
        </w:tc>
        <w:tc>
          <w:tcPr>
            <w:tcW w:w="1418" w:type="dxa"/>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管控级别</w:t>
            </w:r>
          </w:p>
        </w:tc>
        <w:tc>
          <w:tcPr>
            <w:tcW w:w="4536" w:type="dxa"/>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管控措施</w:t>
            </w:r>
          </w:p>
        </w:tc>
        <w:tc>
          <w:tcPr>
            <w:tcW w:w="1864" w:type="dxa"/>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管控责任人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重大风险</w:t>
            </w:r>
          </w:p>
        </w:tc>
        <w:tc>
          <w:tcPr>
            <w:tcW w:w="1418" w:type="dxa"/>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公司级管控</w:t>
            </w:r>
          </w:p>
        </w:tc>
        <w:tc>
          <w:tcPr>
            <w:tcW w:w="4536" w:type="dxa"/>
            <w:vAlign w:val="center"/>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制定专项管控方案进行控制，必须降低风险，在规定期限内实施降低风险措施。当风险涉及正在进行中的工作时，应采取应急措施，并根据需求为降低风险制定目标、指标、管理方案或配给资源、限期治理，直至风险降低后才能开始工作。</w:t>
            </w:r>
          </w:p>
        </w:tc>
        <w:tc>
          <w:tcPr>
            <w:tcW w:w="1864" w:type="dxa"/>
            <w:vAlign w:val="center"/>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公司主要负责人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较大风险</w:t>
            </w:r>
          </w:p>
        </w:tc>
        <w:tc>
          <w:tcPr>
            <w:tcW w:w="1418" w:type="dxa"/>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公司级管控</w:t>
            </w:r>
          </w:p>
        </w:tc>
        <w:tc>
          <w:tcPr>
            <w:tcW w:w="4536" w:type="dxa"/>
            <w:vAlign w:val="center"/>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公司相关部室应引起关注，在分管负责人的领导下，负责该级危险有害因素的控制管理，责任单位负责具体落实；应制定专项管控方案进行控制，努力降低风险，应仔细测定并限定预防成本，在规定期限内实施降低风险措施。在严重伤害后果相关的场合，必须进一步进行评价，确定伤害的可能性和是否需要改进的控制措施。</w:t>
            </w:r>
          </w:p>
        </w:tc>
        <w:tc>
          <w:tcPr>
            <w:tcW w:w="1864" w:type="dxa"/>
            <w:vAlign w:val="center"/>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公司分管业务负责人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一般风险</w:t>
            </w:r>
          </w:p>
        </w:tc>
        <w:tc>
          <w:tcPr>
            <w:tcW w:w="1418" w:type="dxa"/>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站区级管控</w:t>
            </w:r>
          </w:p>
        </w:tc>
        <w:tc>
          <w:tcPr>
            <w:tcW w:w="4536" w:type="dxa"/>
            <w:vAlign w:val="center"/>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基层单位应引起关注，负责该级别危险有害因素的控制管理，所属班组具体落实；不需要另外的控制措施，应考虑投资效果更佳的解决方案或不增加额外成本的改进措施，需要监视来确保控制措施得以维持现状，保留记录。</w:t>
            </w:r>
          </w:p>
        </w:tc>
        <w:tc>
          <w:tcPr>
            <w:tcW w:w="1864" w:type="dxa"/>
            <w:vAlign w:val="center"/>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站区负责人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低风险</w:t>
            </w:r>
          </w:p>
        </w:tc>
        <w:tc>
          <w:tcPr>
            <w:tcW w:w="1418" w:type="dxa"/>
            <w:vAlign w:val="center"/>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班组级管控</w:t>
            </w:r>
          </w:p>
        </w:tc>
        <w:tc>
          <w:tcPr>
            <w:tcW w:w="4536" w:type="dxa"/>
            <w:vAlign w:val="center"/>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员工应引起注意，各班组负责该级别危险有害因素的控制管理，可根据是否在生产场所或实际需要来确定是否制定控制措施及保存记录</w:t>
            </w:r>
          </w:p>
        </w:tc>
        <w:tc>
          <w:tcPr>
            <w:tcW w:w="1864" w:type="dxa"/>
            <w:vAlign w:val="center"/>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r>
              <w:rPr>
                <w:rFonts w:cs="宋体" w:asciiTheme="minorEastAsia" w:hAnsiTheme="minorEastAsia" w:eastAsiaTheme="minorEastAsia"/>
                <w:color w:val="auto"/>
                <w:sz w:val="21"/>
                <w:szCs w:val="24"/>
                <w:highlight w:val="none"/>
              </w:rPr>
              <w:t>班组长</w:t>
            </w:r>
          </w:p>
        </w:tc>
      </w:tr>
    </w:tbl>
    <w:p>
      <w:pPr>
        <w:spacing w:beforeLines="50" w:after="0" w:line="360" w:lineRule="auto"/>
        <w:ind w:left="11" w:hanging="11" w:hangingChars="4"/>
        <w:outlineLvl w:val="1"/>
        <w:rPr>
          <w:rFonts w:asciiTheme="minorEastAsia" w:hAnsiTheme="minorEastAsia" w:eastAsiaTheme="minorEastAsia"/>
          <w:b/>
          <w:color w:val="auto"/>
          <w:sz w:val="28"/>
          <w:szCs w:val="28"/>
          <w:highlight w:val="none"/>
        </w:rPr>
      </w:pPr>
      <w:bookmarkStart w:id="33" w:name="_Toc104735769"/>
      <w:r>
        <w:rPr>
          <w:rFonts w:hint="eastAsia" w:asciiTheme="minorEastAsia" w:hAnsiTheme="minorEastAsia" w:eastAsiaTheme="minorEastAsia"/>
          <w:b/>
          <w:color w:val="auto"/>
          <w:sz w:val="28"/>
          <w:szCs w:val="28"/>
          <w:highlight w:val="none"/>
        </w:rPr>
        <w:t>3.8风险分级管控清单</w:t>
      </w:r>
      <w:bookmarkEnd w:id="33"/>
    </w:p>
    <w:p>
      <w:pPr>
        <w:widowControl w:val="0"/>
        <w:spacing w:after="0" w:line="480" w:lineRule="exact"/>
        <w:ind w:left="0" w:firstLine="42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根据3.3~3.7节要求，建立风险分级管控清单，公司各部室、各单位要根据各自实际情况，细化各自的风险分级管控清单，调整风险等级、明确风险管控责任人，落实风险管控措施，当风险因素、等级等发生变化时，应及时调整。对评估的较大及以上风险，应按规定登记并及时上报。</w:t>
      </w:r>
    </w:p>
    <w:p>
      <w:pPr>
        <w:widowControl w:val="0"/>
        <w:spacing w:after="0" w:line="480" w:lineRule="exact"/>
        <w:ind w:left="0" w:firstLine="480"/>
        <w:jc w:val="center"/>
        <w:rPr>
          <w:rFonts w:cs="宋体" w:asciiTheme="minorEastAsia" w:hAnsiTheme="minorEastAsia" w:eastAsiaTheme="minorEastAsia"/>
          <w:b/>
          <w:color w:val="auto"/>
          <w:sz w:val="21"/>
          <w:szCs w:val="24"/>
          <w:highlight w:val="none"/>
        </w:rPr>
      </w:pPr>
      <w:r>
        <w:rPr>
          <w:rFonts w:hint="eastAsia" w:cs="宋体" w:asciiTheme="minorEastAsia" w:hAnsiTheme="minorEastAsia" w:eastAsiaTheme="minorEastAsia"/>
          <w:b/>
          <w:color w:val="auto"/>
          <w:sz w:val="21"/>
          <w:szCs w:val="24"/>
          <w:highlight w:val="none"/>
        </w:rPr>
        <w:t>表 3-1</w:t>
      </w:r>
      <w:r>
        <w:rPr>
          <w:rFonts w:cs="宋体" w:asciiTheme="minorEastAsia" w:hAnsiTheme="minorEastAsia" w:eastAsiaTheme="minorEastAsia"/>
          <w:b/>
          <w:color w:val="auto"/>
          <w:sz w:val="21"/>
          <w:szCs w:val="24"/>
          <w:highlight w:val="none"/>
        </w:rPr>
        <w:t>5</w:t>
      </w:r>
      <w:r>
        <w:rPr>
          <w:rFonts w:hint="eastAsia" w:cs="宋体" w:asciiTheme="minorEastAsia" w:hAnsiTheme="minorEastAsia" w:eastAsiaTheme="minorEastAsia"/>
          <w:b/>
          <w:color w:val="auto"/>
          <w:sz w:val="21"/>
          <w:szCs w:val="24"/>
          <w:highlight w:val="none"/>
        </w:rPr>
        <w:t>风险分级管控清单（式样）</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653"/>
        <w:gridCol w:w="1103"/>
        <w:gridCol w:w="653"/>
        <w:gridCol w:w="653"/>
        <w:gridCol w:w="653"/>
        <w:gridCol w:w="653"/>
        <w:gridCol w:w="1482"/>
        <w:gridCol w:w="1071"/>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3" w:type="pc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风险点</w:t>
            </w:r>
          </w:p>
        </w:tc>
        <w:tc>
          <w:tcPr>
            <w:tcW w:w="383" w:type="pc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风险事件</w:t>
            </w:r>
          </w:p>
        </w:tc>
        <w:tc>
          <w:tcPr>
            <w:tcW w:w="647" w:type="pc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致险因素</w:t>
            </w:r>
          </w:p>
        </w:tc>
        <w:tc>
          <w:tcPr>
            <w:tcW w:w="383" w:type="pc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可能性</w:t>
            </w:r>
          </w:p>
        </w:tc>
        <w:tc>
          <w:tcPr>
            <w:tcW w:w="383" w:type="pc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严重程度</w:t>
            </w:r>
          </w:p>
        </w:tc>
        <w:tc>
          <w:tcPr>
            <w:tcW w:w="383" w:type="pc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风险值</w:t>
            </w:r>
          </w:p>
        </w:tc>
        <w:tc>
          <w:tcPr>
            <w:tcW w:w="383" w:type="pc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风险等级</w:t>
            </w:r>
          </w:p>
        </w:tc>
        <w:tc>
          <w:tcPr>
            <w:tcW w:w="869" w:type="pc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风险管控措施</w:t>
            </w:r>
          </w:p>
        </w:tc>
        <w:tc>
          <w:tcPr>
            <w:tcW w:w="628" w:type="pc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管控部门/单位</w:t>
            </w:r>
          </w:p>
        </w:tc>
        <w:tc>
          <w:tcPr>
            <w:tcW w:w="556" w:type="pct"/>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管控责任人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47"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869"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28"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556"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47"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869"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28"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556"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47"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869"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28"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556"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47"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869"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28"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556"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47"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869"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28"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556"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47"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869"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28"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556"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47"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869"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28"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556"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47"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383"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869"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628"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c>
          <w:tcPr>
            <w:tcW w:w="556" w:type="pct"/>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　</w:t>
            </w:r>
          </w:p>
        </w:tc>
      </w:tr>
    </w:tbl>
    <w:p>
      <w:pPr>
        <w:spacing w:beforeLines="50" w:after="0" w:line="360" w:lineRule="auto"/>
        <w:ind w:left="11" w:hanging="11" w:hangingChars="4"/>
        <w:outlineLvl w:val="1"/>
        <w:rPr>
          <w:rFonts w:asciiTheme="minorEastAsia" w:hAnsiTheme="minorEastAsia" w:eastAsiaTheme="minorEastAsia"/>
          <w:b/>
          <w:color w:val="auto"/>
          <w:sz w:val="28"/>
          <w:szCs w:val="28"/>
          <w:highlight w:val="none"/>
        </w:rPr>
      </w:pPr>
      <w:bookmarkStart w:id="34" w:name="_Toc104735770"/>
      <w:r>
        <w:rPr>
          <w:rFonts w:hint="eastAsia" w:asciiTheme="minorEastAsia" w:hAnsiTheme="minorEastAsia" w:eastAsiaTheme="minorEastAsia"/>
          <w:b/>
          <w:color w:val="auto"/>
          <w:sz w:val="28"/>
          <w:szCs w:val="28"/>
          <w:highlight w:val="none"/>
        </w:rPr>
        <w:t>3.9风险登记</w:t>
      </w:r>
      <w:bookmarkEnd w:id="34"/>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各部室、单位要依据辨识评价结果，建立各自的《风险管控登记台账》，定期上报至公司安全管理部。安全管理部负责建立全公司的《风险管控登记台账》，台账应符合实际，每年至少更新一次。</w:t>
      </w:r>
    </w:p>
    <w:p>
      <w:pPr>
        <w:widowControl w:val="0"/>
        <w:spacing w:after="0" w:line="480" w:lineRule="exact"/>
        <w:ind w:left="0" w:firstLine="0"/>
        <w:jc w:val="center"/>
        <w:rPr>
          <w:rFonts w:cs="仿宋_GB2312" w:asciiTheme="minorEastAsia" w:hAnsiTheme="minorEastAsia" w:eastAsiaTheme="minorEastAsia"/>
          <w:b/>
          <w:color w:val="auto"/>
          <w:sz w:val="21"/>
          <w:szCs w:val="24"/>
          <w:highlight w:val="none"/>
        </w:rPr>
      </w:pPr>
      <w:r>
        <w:rPr>
          <w:rFonts w:hint="eastAsia" w:cs="宋体" w:asciiTheme="minorEastAsia" w:hAnsiTheme="minorEastAsia" w:eastAsiaTheme="minorEastAsia"/>
          <w:b/>
          <w:color w:val="auto"/>
          <w:sz w:val="21"/>
          <w:szCs w:val="24"/>
          <w:highlight w:val="none"/>
        </w:rPr>
        <w:t>表</w:t>
      </w:r>
      <w:r>
        <w:rPr>
          <w:rFonts w:hint="eastAsia" w:cs="仿宋_GB2312" w:asciiTheme="minorEastAsia" w:hAnsiTheme="minorEastAsia" w:eastAsiaTheme="minorEastAsia"/>
          <w:b/>
          <w:color w:val="auto"/>
          <w:sz w:val="21"/>
          <w:szCs w:val="24"/>
          <w:highlight w:val="none"/>
        </w:rPr>
        <w:t>3-1</w:t>
      </w:r>
      <w:r>
        <w:rPr>
          <w:rFonts w:cs="仿宋_GB2312" w:asciiTheme="minorEastAsia" w:hAnsiTheme="minorEastAsia" w:eastAsiaTheme="minorEastAsia"/>
          <w:b/>
          <w:color w:val="auto"/>
          <w:sz w:val="21"/>
          <w:szCs w:val="24"/>
          <w:highlight w:val="none"/>
        </w:rPr>
        <w:t xml:space="preserve">6 </w:t>
      </w:r>
      <w:r>
        <w:rPr>
          <w:rFonts w:hint="eastAsia" w:cs="宋体" w:asciiTheme="minorEastAsia" w:hAnsiTheme="minorEastAsia" w:eastAsiaTheme="minorEastAsia"/>
          <w:b/>
          <w:color w:val="auto"/>
          <w:sz w:val="21"/>
          <w:szCs w:val="24"/>
          <w:highlight w:val="none"/>
        </w:rPr>
        <w:t>风险管控登记台帐</w:t>
      </w:r>
    </w:p>
    <w:tbl>
      <w:tblPr>
        <w:tblStyle w:val="27"/>
        <w:tblW w:w="8734" w:type="dxa"/>
        <w:tblInd w:w="98" w:type="dxa"/>
        <w:tblLayout w:type="fixed"/>
        <w:tblCellMar>
          <w:top w:w="0" w:type="dxa"/>
          <w:left w:w="10" w:type="dxa"/>
          <w:bottom w:w="0" w:type="dxa"/>
          <w:right w:w="10" w:type="dxa"/>
        </w:tblCellMar>
      </w:tblPr>
      <w:tblGrid>
        <w:gridCol w:w="901"/>
        <w:gridCol w:w="1782"/>
        <w:gridCol w:w="1027"/>
        <w:gridCol w:w="943"/>
        <w:gridCol w:w="869"/>
        <w:gridCol w:w="1022"/>
        <w:gridCol w:w="1263"/>
        <w:gridCol w:w="927"/>
      </w:tblGrid>
      <w:tr>
        <w:tblPrEx>
          <w:tblCellMar>
            <w:top w:w="0" w:type="dxa"/>
            <w:left w:w="10" w:type="dxa"/>
            <w:bottom w:w="0" w:type="dxa"/>
            <w:right w:w="10" w:type="dxa"/>
          </w:tblCellMar>
        </w:tblPrEx>
        <w:trPr>
          <w:trHeight w:val="567" w:hRule="atLeast"/>
        </w:trPr>
        <w:tc>
          <w:tcPr>
            <w:tcW w:w="901" w:type="dxa"/>
            <w:vMerge w:val="restart"/>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b/>
                <w:color w:val="auto"/>
                <w:sz w:val="21"/>
                <w:szCs w:val="21"/>
                <w:highlight w:val="none"/>
              </w:rPr>
              <w:t>序号</w:t>
            </w:r>
          </w:p>
        </w:tc>
        <w:tc>
          <w:tcPr>
            <w:tcW w:w="1782" w:type="dxa"/>
            <w:vMerge w:val="restart"/>
            <w:tcBorders>
              <w:top w:val="single" w:color="000000" w:sz="6" w:space="0"/>
              <w:left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highlight w:val="none"/>
              </w:rPr>
            </w:pPr>
            <w:r>
              <w:rPr>
                <w:rFonts w:hint="eastAsia" w:cs="Times New Roman" w:asciiTheme="minorEastAsia" w:hAnsiTheme="minorEastAsia" w:eastAsiaTheme="minorEastAsia"/>
                <w:b/>
                <w:color w:val="auto"/>
                <w:sz w:val="21"/>
                <w:szCs w:val="21"/>
                <w:highlight w:val="none"/>
              </w:rPr>
              <w:t>风险辨识范围</w:t>
            </w:r>
          </w:p>
        </w:tc>
        <w:tc>
          <w:tcPr>
            <w:tcW w:w="3861" w:type="dxa"/>
            <w:gridSpan w:val="4"/>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Times New Roman" w:asciiTheme="minorEastAsia" w:hAnsiTheme="minorEastAsia" w:eastAsiaTheme="minorEastAsia"/>
                <w:color w:val="auto"/>
                <w:sz w:val="21"/>
                <w:szCs w:val="21"/>
                <w:highlight w:val="none"/>
              </w:rPr>
            </w:pPr>
            <w:r>
              <w:rPr>
                <w:rFonts w:hint="eastAsia" w:cs="宋体" w:asciiTheme="minorEastAsia" w:hAnsiTheme="minorEastAsia" w:eastAsiaTheme="minorEastAsia"/>
                <w:b/>
                <w:color w:val="auto"/>
                <w:sz w:val="21"/>
                <w:szCs w:val="21"/>
                <w:highlight w:val="none"/>
              </w:rPr>
              <w:t>数</w:t>
            </w:r>
            <w:r>
              <w:rPr>
                <w:rFonts w:cs="仿宋_GB2312" w:asciiTheme="minorEastAsia" w:hAnsiTheme="minorEastAsia" w:eastAsiaTheme="minorEastAsia"/>
                <w:b/>
                <w:color w:val="auto"/>
                <w:sz w:val="21"/>
                <w:szCs w:val="21"/>
                <w:highlight w:val="none"/>
              </w:rPr>
              <w:t xml:space="preserve">  </w:t>
            </w:r>
            <w:r>
              <w:rPr>
                <w:rFonts w:hint="eastAsia" w:cs="宋体" w:asciiTheme="minorEastAsia" w:hAnsiTheme="minorEastAsia" w:eastAsiaTheme="minorEastAsia"/>
                <w:b/>
                <w:color w:val="auto"/>
                <w:sz w:val="21"/>
                <w:szCs w:val="21"/>
                <w:highlight w:val="none"/>
              </w:rPr>
              <w:t>目</w:t>
            </w:r>
          </w:p>
        </w:tc>
        <w:tc>
          <w:tcPr>
            <w:tcW w:w="126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b/>
                <w:color w:val="auto"/>
                <w:sz w:val="21"/>
                <w:szCs w:val="21"/>
                <w:highlight w:val="none"/>
              </w:rPr>
              <w:t>合计</w:t>
            </w:r>
          </w:p>
        </w:tc>
        <w:tc>
          <w:tcPr>
            <w:tcW w:w="92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b/>
                <w:color w:val="auto"/>
                <w:sz w:val="21"/>
                <w:szCs w:val="21"/>
                <w:highlight w:val="none"/>
              </w:rPr>
              <w:t>备注</w:t>
            </w:r>
          </w:p>
        </w:tc>
      </w:tr>
      <w:tr>
        <w:trPr>
          <w:trHeight w:val="567" w:hRule="atLeast"/>
        </w:trPr>
        <w:tc>
          <w:tcPr>
            <w:tcW w:w="901" w:type="dxa"/>
            <w:vMerge w:val="continue"/>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highlight w:val="none"/>
              </w:rPr>
            </w:pPr>
          </w:p>
        </w:tc>
        <w:tc>
          <w:tcPr>
            <w:tcW w:w="1782" w:type="dxa"/>
            <w:vMerge w:val="continue"/>
            <w:tcBorders>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highlight w:val="none"/>
              </w:rPr>
            </w:pPr>
          </w:p>
        </w:tc>
        <w:tc>
          <w:tcPr>
            <w:tcW w:w="1027"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Times New Roman" w:asciiTheme="minorEastAsia" w:hAnsiTheme="minorEastAsia" w:eastAsiaTheme="minorEastAsia"/>
                <w:color w:val="auto"/>
                <w:sz w:val="21"/>
                <w:szCs w:val="21"/>
                <w:highlight w:val="none"/>
              </w:rPr>
            </w:pPr>
            <w:r>
              <w:rPr>
                <w:rFonts w:hint="eastAsia" w:cs="仿宋_GB2312" w:asciiTheme="minorEastAsia" w:hAnsiTheme="minorEastAsia" w:eastAsiaTheme="minorEastAsia"/>
                <w:b/>
                <w:color w:val="auto"/>
                <w:sz w:val="21"/>
                <w:szCs w:val="21"/>
                <w:highlight w:val="none"/>
              </w:rPr>
              <w:t>重大</w:t>
            </w:r>
          </w:p>
        </w:tc>
        <w:tc>
          <w:tcPr>
            <w:tcW w:w="943"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Times New Roman" w:asciiTheme="minorEastAsia" w:hAnsiTheme="minorEastAsia" w:eastAsiaTheme="minorEastAsia"/>
                <w:color w:val="auto"/>
                <w:sz w:val="21"/>
                <w:szCs w:val="21"/>
                <w:highlight w:val="none"/>
              </w:rPr>
            </w:pPr>
            <w:r>
              <w:rPr>
                <w:rFonts w:hint="eastAsia" w:cs="仿宋_GB2312" w:asciiTheme="minorEastAsia" w:hAnsiTheme="minorEastAsia" w:eastAsiaTheme="minorEastAsia"/>
                <w:b/>
                <w:color w:val="auto"/>
                <w:sz w:val="21"/>
                <w:szCs w:val="21"/>
                <w:highlight w:val="none"/>
              </w:rPr>
              <w:t>较大</w:t>
            </w:r>
          </w:p>
        </w:tc>
        <w:tc>
          <w:tcPr>
            <w:tcW w:w="869"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Times New Roman" w:asciiTheme="minorEastAsia" w:hAnsiTheme="minorEastAsia" w:eastAsiaTheme="minorEastAsia"/>
                <w:color w:val="auto"/>
                <w:sz w:val="21"/>
                <w:szCs w:val="21"/>
                <w:highlight w:val="none"/>
              </w:rPr>
            </w:pPr>
            <w:r>
              <w:rPr>
                <w:rFonts w:hint="eastAsia" w:cs="仿宋_GB2312" w:asciiTheme="minorEastAsia" w:hAnsiTheme="minorEastAsia" w:eastAsiaTheme="minorEastAsia"/>
                <w:b/>
                <w:color w:val="auto"/>
                <w:sz w:val="21"/>
                <w:szCs w:val="21"/>
                <w:highlight w:val="none"/>
              </w:rPr>
              <w:t>一般</w:t>
            </w:r>
          </w:p>
        </w:tc>
        <w:tc>
          <w:tcPr>
            <w:tcW w:w="1022"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Times New Roman" w:asciiTheme="minorEastAsia" w:hAnsiTheme="minorEastAsia" w:eastAsiaTheme="minorEastAsia"/>
                <w:color w:val="auto"/>
                <w:sz w:val="21"/>
                <w:szCs w:val="21"/>
                <w:highlight w:val="none"/>
              </w:rPr>
            </w:pPr>
            <w:r>
              <w:rPr>
                <w:rFonts w:hint="eastAsia" w:cs="仿宋_GB2312" w:asciiTheme="minorEastAsia" w:hAnsiTheme="minorEastAsia" w:eastAsiaTheme="minorEastAsia"/>
                <w:b/>
                <w:color w:val="auto"/>
                <w:sz w:val="21"/>
                <w:szCs w:val="21"/>
                <w:highlight w:val="none"/>
              </w:rPr>
              <w:t>低</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highlight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highlight w:val="none"/>
              </w:rPr>
            </w:pPr>
          </w:p>
        </w:tc>
      </w:tr>
      <w:tr>
        <w:trPr>
          <w:trHeight w:val="567" w:hRule="atLeast"/>
        </w:trPr>
        <w:tc>
          <w:tcPr>
            <w:tcW w:w="901" w:type="dxa"/>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b/>
                <w:color w:val="auto"/>
                <w:sz w:val="21"/>
                <w:szCs w:val="21"/>
                <w:highlight w:val="none"/>
              </w:rPr>
              <w:t>　</w:t>
            </w:r>
          </w:p>
        </w:tc>
        <w:tc>
          <w:tcPr>
            <w:tcW w:w="1782"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b/>
                <w:color w:val="auto"/>
                <w:sz w:val="21"/>
                <w:szCs w:val="21"/>
                <w:highlight w:val="none"/>
              </w:rPr>
              <w:t>　</w:t>
            </w:r>
          </w:p>
        </w:tc>
        <w:tc>
          <w:tcPr>
            <w:tcW w:w="1027"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jc w:val="right"/>
              <w:rPr>
                <w:rFonts w:cs="宋体" w:asciiTheme="minorEastAsia" w:hAnsiTheme="minorEastAsia" w:eastAsiaTheme="minorEastAsia"/>
                <w:color w:val="auto"/>
                <w:sz w:val="21"/>
                <w:szCs w:val="21"/>
                <w:highlight w:val="none"/>
              </w:rPr>
            </w:pPr>
          </w:p>
        </w:tc>
        <w:tc>
          <w:tcPr>
            <w:tcW w:w="943"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highlight w:val="none"/>
              </w:rPr>
            </w:pPr>
          </w:p>
        </w:tc>
        <w:tc>
          <w:tcPr>
            <w:tcW w:w="869"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highlight w:val="none"/>
              </w:rPr>
            </w:pPr>
          </w:p>
        </w:tc>
        <w:tc>
          <w:tcPr>
            <w:tcW w:w="1022"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Cs w:val="24"/>
                <w:highlight w:val="none"/>
              </w:rPr>
            </w:pPr>
          </w:p>
        </w:tc>
        <w:tc>
          <w:tcPr>
            <w:tcW w:w="1263"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jc w:val="right"/>
              <w:rPr>
                <w:rFonts w:cs="宋体" w:asciiTheme="minorEastAsia" w:hAnsiTheme="minorEastAsia" w:eastAsiaTheme="minorEastAsia"/>
                <w:color w:val="auto"/>
                <w:szCs w:val="24"/>
                <w:highlight w:val="none"/>
              </w:rPr>
            </w:pPr>
          </w:p>
        </w:tc>
        <w:tc>
          <w:tcPr>
            <w:tcW w:w="927"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b/>
                <w:color w:val="auto"/>
                <w:szCs w:val="24"/>
                <w:highlight w:val="none"/>
              </w:rPr>
              <w:t>　</w:t>
            </w:r>
          </w:p>
        </w:tc>
      </w:tr>
      <w:tr>
        <w:trPr>
          <w:trHeight w:val="567" w:hRule="atLeast"/>
        </w:trPr>
        <w:tc>
          <w:tcPr>
            <w:tcW w:w="901" w:type="dxa"/>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　</w:t>
            </w:r>
          </w:p>
        </w:tc>
        <w:tc>
          <w:tcPr>
            <w:tcW w:w="1782"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　　</w:t>
            </w:r>
          </w:p>
        </w:tc>
        <w:tc>
          <w:tcPr>
            <w:tcW w:w="1027"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jc w:val="right"/>
              <w:rPr>
                <w:rFonts w:cs="宋体" w:asciiTheme="minorEastAsia" w:hAnsiTheme="minorEastAsia" w:eastAsiaTheme="minorEastAsia"/>
                <w:color w:val="auto"/>
                <w:sz w:val="21"/>
                <w:szCs w:val="21"/>
                <w:highlight w:val="none"/>
              </w:rPr>
            </w:pPr>
          </w:p>
        </w:tc>
        <w:tc>
          <w:tcPr>
            <w:tcW w:w="943"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highlight w:val="none"/>
              </w:rPr>
            </w:pPr>
          </w:p>
        </w:tc>
        <w:tc>
          <w:tcPr>
            <w:tcW w:w="869"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highlight w:val="none"/>
              </w:rPr>
            </w:pPr>
          </w:p>
        </w:tc>
        <w:tc>
          <w:tcPr>
            <w:tcW w:w="1022"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Cs w:val="24"/>
                <w:highlight w:val="none"/>
              </w:rPr>
            </w:pPr>
          </w:p>
        </w:tc>
        <w:tc>
          <w:tcPr>
            <w:tcW w:w="1263"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jc w:val="right"/>
              <w:rPr>
                <w:rFonts w:cs="宋体" w:asciiTheme="minorEastAsia" w:hAnsiTheme="minorEastAsia" w:eastAsiaTheme="minorEastAsia"/>
                <w:color w:val="auto"/>
                <w:szCs w:val="24"/>
                <w:highlight w:val="none"/>
              </w:rPr>
            </w:pPr>
          </w:p>
        </w:tc>
        <w:tc>
          <w:tcPr>
            <w:tcW w:w="927"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　</w:t>
            </w:r>
          </w:p>
        </w:tc>
      </w:tr>
      <w:tr>
        <w:trPr>
          <w:trHeight w:val="567" w:hRule="atLeast"/>
        </w:trPr>
        <w:tc>
          <w:tcPr>
            <w:tcW w:w="8734" w:type="dxa"/>
            <w:gridSpan w:val="8"/>
            <w:tcBorders>
              <w:top w:val="single" w:color="000000" w:sz="4" w:space="0"/>
              <w:left w:val="single" w:color="000000" w:sz="6" w:space="0"/>
              <w:bottom w:val="single" w:color="000000" w:sz="6" w:space="0"/>
              <w:right w:val="single" w:color="000000" w:sz="6" w:space="0"/>
            </w:tcBorders>
            <w:shd w:val="clear" w:color="000000" w:fill="FFFFFF"/>
            <w:tcMar>
              <w:left w:w="108" w:type="dxa"/>
              <w:right w:w="108" w:type="dxa"/>
            </w:tcMar>
            <w:vAlign w:val="bottom"/>
          </w:tcPr>
          <w:p>
            <w:pPr>
              <w:widowControl w:val="0"/>
              <w:spacing w:after="0" w:line="480" w:lineRule="exact"/>
              <w:ind w:left="0" w:firstLine="10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填表单位：</w:t>
            </w:r>
            <w:r>
              <w:rPr>
                <w:rFonts w:hint="eastAsia" w:cs="宋体" w:asciiTheme="minorEastAsia" w:hAnsiTheme="minorEastAsia" w:eastAsiaTheme="minorEastAsia"/>
                <w:color w:val="auto"/>
                <w:sz w:val="21"/>
                <w:szCs w:val="21"/>
                <w:highlight w:val="none"/>
              </w:rPr>
              <w:tab/>
            </w:r>
            <w:r>
              <w:rPr>
                <w:rFonts w:hint="eastAsia" w:cs="宋体" w:asciiTheme="minorEastAsia" w:hAnsiTheme="minorEastAsia" w:eastAsiaTheme="minorEastAsia"/>
                <w:color w:val="auto"/>
                <w:sz w:val="21"/>
                <w:szCs w:val="21"/>
                <w:highlight w:val="none"/>
              </w:rPr>
              <w:t xml:space="preserve">             登记人：</w:t>
            </w:r>
            <w:r>
              <w:rPr>
                <w:rFonts w:hint="eastAsia" w:cs="宋体" w:asciiTheme="minorEastAsia" w:hAnsiTheme="minorEastAsia" w:eastAsiaTheme="minorEastAsia"/>
                <w:color w:val="auto"/>
                <w:sz w:val="21"/>
                <w:szCs w:val="21"/>
                <w:highlight w:val="none"/>
              </w:rPr>
              <w:tab/>
            </w:r>
            <w:r>
              <w:rPr>
                <w:rFonts w:hint="eastAsia" w:cs="宋体" w:asciiTheme="minorEastAsia" w:hAnsiTheme="minorEastAsia" w:eastAsiaTheme="minorEastAsia"/>
                <w:color w:val="auto"/>
                <w:sz w:val="21"/>
                <w:szCs w:val="21"/>
                <w:highlight w:val="none"/>
              </w:rPr>
              <w:t xml:space="preserve">              登记时间：</w:t>
            </w:r>
          </w:p>
        </w:tc>
      </w:tr>
    </w:tbl>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当下列情形发生时，应及时进行风险辨识、评估并重新登记。</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（1）新的法律法规发布或者法律法规发生变更；</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（2）操作工艺发生变化；</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（3）新建、改建、扩建、技改项目；</w:t>
      </w:r>
    </w:p>
    <w:p>
      <w:pPr>
        <w:widowControl w:val="0"/>
        <w:spacing w:after="0" w:line="480" w:lineRule="exact"/>
        <w:ind w:left="0" w:firstLine="480"/>
        <w:jc w:val="both"/>
        <w:rPr>
          <w:rFonts w:cs="Calibri"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（4）事故事件发生后；</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（5）组织机构发生大的调整。</w:t>
      </w:r>
    </w:p>
    <w:p>
      <w:pPr>
        <w:spacing w:beforeLines="50" w:after="0" w:line="360" w:lineRule="auto"/>
        <w:ind w:left="11" w:hanging="11" w:hangingChars="4"/>
        <w:outlineLvl w:val="1"/>
        <w:rPr>
          <w:rFonts w:asciiTheme="minorEastAsia" w:hAnsiTheme="minorEastAsia" w:eastAsiaTheme="minorEastAsia"/>
          <w:b/>
          <w:color w:val="auto"/>
          <w:sz w:val="28"/>
          <w:szCs w:val="28"/>
          <w:highlight w:val="none"/>
        </w:rPr>
      </w:pPr>
      <w:bookmarkStart w:id="35" w:name="_Toc104735771"/>
      <w:r>
        <w:rPr>
          <w:rFonts w:hint="eastAsia" w:asciiTheme="minorEastAsia" w:hAnsiTheme="minorEastAsia" w:eastAsiaTheme="minorEastAsia"/>
          <w:b/>
          <w:color w:val="auto"/>
          <w:sz w:val="28"/>
          <w:szCs w:val="28"/>
          <w:highlight w:val="none"/>
        </w:rPr>
        <w:t>3.10风险公示与告知</w:t>
      </w:r>
      <w:bookmarkEnd w:id="35"/>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风险公示与告知包括风险分布图、风险告知牌、风险告知卡等形式，对作业人员及进入作业区域场所的人员进行风险告知，提示相关人员风险分布、风险事件、应急处置措施等内容。</w:t>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3.10.1风险分布图</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（1）根据对全线路段、桥梁、隧道风险评估结果，制作中电建冀交高投公司所辖高速公路风险分布图。</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（2）根据收费站、养护工区等总平面布置图及风险评估结果，绘制站区风险分布图。</w:t>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3.10.2风险告知牌</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在醒目位置、重点区域设置安全风险公告栏，标明存在的风险、管控措施、应急措施、责任人、联系方式、报告方式等内容</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风险告知牌设置在作业场所、主要设备显著位置，建议参数如下，特殊情况下可按同比例缩放。</w:t>
      </w:r>
    </w:p>
    <w:p>
      <w:pPr>
        <w:widowControl w:val="0"/>
        <w:spacing w:after="0" w:line="240" w:lineRule="auto"/>
        <w:ind w:left="0" w:firstLine="442" w:firstLineChars="200"/>
        <w:jc w:val="center"/>
        <w:rPr>
          <w:rFonts w:cs="Times New Roman" w:asciiTheme="minorEastAsia" w:hAnsiTheme="minorEastAsia" w:eastAsiaTheme="minorEastAsia"/>
          <w:b/>
          <w:color w:val="auto"/>
          <w:sz w:val="22"/>
          <w:szCs w:val="28"/>
          <w:highlight w:val="none"/>
        </w:rPr>
      </w:pPr>
      <w:r>
        <w:rPr>
          <w:rFonts w:hint="eastAsia" w:cs="Times New Roman" w:asciiTheme="minorEastAsia" w:hAnsiTheme="minorEastAsia" w:eastAsiaTheme="minorEastAsia"/>
          <w:b/>
          <w:color w:val="auto"/>
          <w:sz w:val="22"/>
          <w:szCs w:val="28"/>
          <w:highlight w:val="none"/>
        </w:rPr>
        <w:t>表3-1</w:t>
      </w:r>
      <w:r>
        <w:rPr>
          <w:rFonts w:cs="Times New Roman" w:asciiTheme="minorEastAsia" w:hAnsiTheme="minorEastAsia" w:eastAsiaTheme="minorEastAsia"/>
          <w:b/>
          <w:color w:val="auto"/>
          <w:sz w:val="22"/>
          <w:szCs w:val="28"/>
          <w:highlight w:val="none"/>
        </w:rPr>
        <w:t>7</w:t>
      </w:r>
      <w:r>
        <w:rPr>
          <w:rFonts w:hint="eastAsia" w:cs="Times New Roman" w:asciiTheme="minorEastAsia" w:hAnsiTheme="minorEastAsia" w:eastAsiaTheme="minorEastAsia"/>
          <w:b/>
          <w:color w:val="auto"/>
          <w:sz w:val="22"/>
          <w:szCs w:val="28"/>
          <w:highlight w:val="none"/>
        </w:rPr>
        <w:t>风险告知牌式样</w:t>
      </w:r>
    </w:p>
    <w:tbl>
      <w:tblPr>
        <w:tblStyle w:val="27"/>
        <w:tblpPr w:leftFromText="180" w:rightFromText="180" w:vertAnchor="text" w:horzAnchor="margin" w:tblpXSpec="center" w:tblpY="4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2364"/>
        <w:gridCol w:w="1181"/>
        <w:gridCol w:w="3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spacing w:after="0" w:line="360" w:lineRule="exact"/>
              <w:ind w:left="11" w:hanging="11"/>
              <w:jc w:val="center"/>
              <w:rPr>
                <w:rFonts w:ascii="宋体" w:hAnsi="宋体" w:eastAsia="宋体" w:cs="Times New Roman"/>
                <w:b/>
                <w:color w:val="auto"/>
                <w:sz w:val="21"/>
                <w:szCs w:val="24"/>
                <w:highlight w:val="none"/>
              </w:rPr>
            </w:pPr>
            <w:r>
              <w:rPr>
                <w:rFonts w:hint="eastAsia" w:ascii="宋体" w:hAnsi="宋体" w:eastAsia="宋体" w:cs="Times New Roman"/>
                <w:b/>
                <w:color w:val="auto"/>
                <w:sz w:val="21"/>
                <w:szCs w:val="24"/>
                <w:highlight w:val="none"/>
              </w:rPr>
              <w:t>风险点名称</w:t>
            </w:r>
          </w:p>
        </w:tc>
        <w:tc>
          <w:tcPr>
            <w:tcW w:w="4147" w:type="dxa"/>
            <w:shd w:val="clear" w:color="auto" w:fill="auto"/>
            <w:vAlign w:val="center"/>
          </w:tcPr>
          <w:p>
            <w:pPr>
              <w:spacing w:after="0" w:line="360" w:lineRule="exact"/>
              <w:ind w:left="11" w:hanging="11"/>
              <w:jc w:val="center"/>
              <w:rPr>
                <w:rFonts w:ascii="宋体" w:hAnsi="宋体" w:eastAsia="宋体" w:cs="Times New Roman"/>
                <w:b/>
                <w:color w:val="auto"/>
                <w:sz w:val="21"/>
                <w:szCs w:val="24"/>
                <w:highlight w:val="none"/>
              </w:rPr>
            </w:pPr>
          </w:p>
        </w:tc>
        <w:tc>
          <w:tcPr>
            <w:tcW w:w="1800" w:type="dxa"/>
            <w:vMerge w:val="restart"/>
            <w:shd w:val="clear" w:color="auto" w:fill="auto"/>
            <w:vAlign w:val="center"/>
          </w:tcPr>
          <w:p>
            <w:pPr>
              <w:spacing w:after="0" w:line="360" w:lineRule="exact"/>
              <w:ind w:left="11" w:hanging="11"/>
              <w:jc w:val="center"/>
              <w:rPr>
                <w:rFonts w:ascii="宋体" w:hAnsi="宋体" w:eastAsia="宋体" w:cs="Times New Roman"/>
                <w:b/>
                <w:color w:val="auto"/>
                <w:sz w:val="21"/>
                <w:szCs w:val="24"/>
                <w:highlight w:val="none"/>
              </w:rPr>
            </w:pPr>
            <w:r>
              <w:rPr>
                <w:rFonts w:hint="eastAsia" w:ascii="宋体" w:hAnsi="宋体" w:eastAsia="宋体" w:cs="Times New Roman"/>
                <w:b/>
                <w:color w:val="auto"/>
                <w:sz w:val="21"/>
                <w:szCs w:val="24"/>
                <w:highlight w:val="none"/>
              </w:rPr>
              <w:t>致险因素描述</w:t>
            </w:r>
          </w:p>
        </w:tc>
        <w:tc>
          <w:tcPr>
            <w:tcW w:w="5966" w:type="dxa"/>
            <w:vMerge w:val="restart"/>
            <w:shd w:val="clear" w:color="auto" w:fill="auto"/>
            <w:vAlign w:val="center"/>
          </w:tcPr>
          <w:p>
            <w:pPr>
              <w:spacing w:after="0" w:line="360" w:lineRule="exact"/>
              <w:ind w:left="11" w:hanging="11"/>
              <w:rPr>
                <w:rFonts w:ascii="宋体" w:hAnsi="宋体" w:eastAsia="宋体"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spacing w:after="0" w:line="360" w:lineRule="exact"/>
              <w:ind w:left="11" w:hanging="11"/>
              <w:jc w:val="center"/>
              <w:rPr>
                <w:rFonts w:ascii="宋体" w:hAnsi="宋体" w:eastAsia="宋体" w:cs="Times New Roman"/>
                <w:b/>
                <w:color w:val="auto"/>
                <w:sz w:val="21"/>
                <w:szCs w:val="24"/>
                <w:highlight w:val="none"/>
              </w:rPr>
            </w:pPr>
            <w:r>
              <w:rPr>
                <w:rFonts w:hint="eastAsia" w:ascii="宋体" w:hAnsi="宋体" w:eastAsia="宋体" w:cs="Times New Roman"/>
                <w:b/>
                <w:color w:val="auto"/>
                <w:sz w:val="21"/>
                <w:szCs w:val="24"/>
                <w:highlight w:val="none"/>
              </w:rPr>
              <w:t>风险等级</w:t>
            </w:r>
          </w:p>
        </w:tc>
        <w:tc>
          <w:tcPr>
            <w:tcW w:w="4147" w:type="dxa"/>
            <w:shd w:val="clear" w:color="auto" w:fill="auto"/>
            <w:vAlign w:val="center"/>
          </w:tcPr>
          <w:p>
            <w:pPr>
              <w:spacing w:after="0" w:line="360" w:lineRule="exact"/>
              <w:ind w:left="11" w:hanging="11"/>
              <w:jc w:val="center"/>
              <w:rPr>
                <w:rFonts w:ascii="宋体" w:hAnsi="宋体" w:eastAsia="宋体"/>
                <w:b/>
                <w:color w:val="auto"/>
                <w:sz w:val="21"/>
                <w:highlight w:val="none"/>
              </w:rPr>
            </w:pPr>
          </w:p>
        </w:tc>
        <w:tc>
          <w:tcPr>
            <w:tcW w:w="1800" w:type="dxa"/>
            <w:vMerge w:val="continue"/>
            <w:shd w:val="clear" w:color="auto" w:fill="auto"/>
            <w:vAlign w:val="center"/>
          </w:tcPr>
          <w:p>
            <w:pPr>
              <w:spacing w:after="0" w:line="360" w:lineRule="exact"/>
              <w:ind w:left="11" w:hanging="11"/>
              <w:jc w:val="center"/>
              <w:rPr>
                <w:rFonts w:ascii="宋体" w:hAnsi="宋体" w:eastAsia="宋体"/>
                <w:b/>
                <w:color w:val="auto"/>
                <w:sz w:val="21"/>
                <w:highlight w:val="none"/>
              </w:rPr>
            </w:pPr>
          </w:p>
        </w:tc>
        <w:tc>
          <w:tcPr>
            <w:tcW w:w="5966" w:type="dxa"/>
            <w:vMerge w:val="continue"/>
            <w:shd w:val="clear" w:color="auto" w:fill="auto"/>
            <w:vAlign w:val="center"/>
          </w:tcPr>
          <w:p>
            <w:pPr>
              <w:spacing w:after="0" w:line="360" w:lineRule="exact"/>
              <w:ind w:left="11" w:hanging="11"/>
              <w:rPr>
                <w:rFonts w:ascii="宋体" w:hAnsi="宋体" w:eastAsia="宋体"/>
                <w:b/>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spacing w:after="0" w:line="360" w:lineRule="exact"/>
              <w:ind w:left="11" w:hanging="11"/>
              <w:jc w:val="center"/>
              <w:rPr>
                <w:rFonts w:ascii="宋体" w:hAnsi="宋体" w:eastAsia="宋体" w:cs="Times New Roman"/>
                <w:b/>
                <w:color w:val="auto"/>
                <w:sz w:val="21"/>
                <w:szCs w:val="24"/>
                <w:highlight w:val="none"/>
              </w:rPr>
            </w:pPr>
            <w:r>
              <w:rPr>
                <w:rFonts w:hint="eastAsia" w:ascii="宋体" w:hAnsi="宋体" w:eastAsia="宋体" w:cs="Times New Roman"/>
                <w:b/>
                <w:color w:val="auto"/>
                <w:sz w:val="21"/>
                <w:szCs w:val="24"/>
                <w:highlight w:val="none"/>
              </w:rPr>
              <w:t>事故类型</w:t>
            </w:r>
          </w:p>
        </w:tc>
        <w:tc>
          <w:tcPr>
            <w:tcW w:w="4147" w:type="dxa"/>
            <w:shd w:val="clear" w:color="auto" w:fill="auto"/>
            <w:vAlign w:val="center"/>
          </w:tcPr>
          <w:p>
            <w:pPr>
              <w:spacing w:after="0" w:line="360" w:lineRule="exact"/>
              <w:ind w:left="11" w:hanging="11"/>
              <w:jc w:val="center"/>
              <w:rPr>
                <w:rFonts w:ascii="宋体" w:hAnsi="宋体" w:eastAsia="宋体" w:cs="Times New Roman"/>
                <w:b/>
                <w:color w:val="auto"/>
                <w:sz w:val="21"/>
                <w:szCs w:val="24"/>
                <w:highlight w:val="none"/>
              </w:rPr>
            </w:pPr>
          </w:p>
        </w:tc>
        <w:tc>
          <w:tcPr>
            <w:tcW w:w="1800" w:type="dxa"/>
            <w:vMerge w:val="continue"/>
            <w:shd w:val="clear" w:color="auto" w:fill="auto"/>
            <w:vAlign w:val="center"/>
          </w:tcPr>
          <w:p>
            <w:pPr>
              <w:spacing w:after="0" w:line="360" w:lineRule="exact"/>
              <w:ind w:left="11" w:hanging="11"/>
              <w:jc w:val="center"/>
              <w:rPr>
                <w:rFonts w:ascii="宋体" w:hAnsi="宋体" w:eastAsia="宋体"/>
                <w:b/>
                <w:color w:val="auto"/>
                <w:sz w:val="21"/>
                <w:highlight w:val="none"/>
              </w:rPr>
            </w:pPr>
          </w:p>
        </w:tc>
        <w:tc>
          <w:tcPr>
            <w:tcW w:w="5966" w:type="dxa"/>
            <w:vMerge w:val="continue"/>
            <w:shd w:val="clear" w:color="auto" w:fill="auto"/>
            <w:vAlign w:val="center"/>
          </w:tcPr>
          <w:p>
            <w:pPr>
              <w:spacing w:after="0" w:line="360" w:lineRule="exact"/>
              <w:ind w:left="11" w:hanging="11"/>
              <w:rPr>
                <w:rFonts w:ascii="宋体" w:hAnsi="宋体" w:eastAsia="宋体"/>
                <w:b/>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1" w:hRule="atLeast"/>
        </w:trPr>
        <w:tc>
          <w:tcPr>
            <w:tcW w:w="6754" w:type="dxa"/>
            <w:gridSpan w:val="2"/>
            <w:shd w:val="clear" w:color="auto" w:fill="auto"/>
          </w:tcPr>
          <w:p>
            <w:pPr>
              <w:spacing w:after="0" w:line="360" w:lineRule="exact"/>
              <w:ind w:left="11" w:hanging="11"/>
              <w:jc w:val="center"/>
              <w:rPr>
                <w:rFonts w:ascii="宋体" w:hAnsi="宋体" w:eastAsia="宋体" w:cs="Times New Roman"/>
                <w:b/>
                <w:color w:val="auto"/>
                <w:sz w:val="21"/>
                <w:szCs w:val="24"/>
                <w:highlight w:val="none"/>
              </w:rPr>
            </w:pPr>
            <w:r>
              <w:rPr>
                <w:rFonts w:hint="eastAsia" w:ascii="宋体" w:hAnsi="宋体" w:eastAsia="宋体" w:cs="Times New Roman"/>
                <w:b/>
                <w:color w:val="auto"/>
                <w:sz w:val="21"/>
                <w:szCs w:val="24"/>
                <w:highlight w:val="none"/>
              </w:rPr>
              <w:t>安全标志</w:t>
            </w:r>
          </w:p>
          <w:p>
            <w:pPr>
              <w:spacing w:after="0" w:line="360" w:lineRule="exact"/>
              <w:ind w:left="11" w:hanging="11"/>
              <w:rPr>
                <w:rFonts w:ascii="宋体" w:hAnsi="宋体" w:eastAsia="宋体"/>
                <w:b/>
                <w:color w:val="auto"/>
                <w:sz w:val="21"/>
                <w:highlight w:val="none"/>
              </w:rPr>
            </w:pPr>
          </w:p>
        </w:tc>
        <w:tc>
          <w:tcPr>
            <w:tcW w:w="1800" w:type="dxa"/>
            <w:shd w:val="clear" w:color="auto" w:fill="auto"/>
            <w:vAlign w:val="center"/>
          </w:tcPr>
          <w:p>
            <w:pPr>
              <w:spacing w:after="0" w:line="360" w:lineRule="exact"/>
              <w:ind w:left="11" w:hanging="11"/>
              <w:jc w:val="center"/>
              <w:rPr>
                <w:rFonts w:ascii="宋体" w:hAnsi="宋体" w:eastAsia="宋体" w:cs="Times New Roman"/>
                <w:b/>
                <w:color w:val="auto"/>
                <w:sz w:val="21"/>
                <w:szCs w:val="24"/>
                <w:highlight w:val="none"/>
              </w:rPr>
            </w:pPr>
            <w:r>
              <w:rPr>
                <w:rFonts w:hint="eastAsia" w:ascii="宋体" w:hAnsi="宋体" w:eastAsia="宋体" w:cs="Times New Roman"/>
                <w:b/>
                <w:color w:val="auto"/>
                <w:sz w:val="21"/>
                <w:szCs w:val="24"/>
                <w:highlight w:val="none"/>
              </w:rPr>
              <w:t>风险管控措施</w:t>
            </w:r>
          </w:p>
        </w:tc>
        <w:tc>
          <w:tcPr>
            <w:tcW w:w="5966" w:type="dxa"/>
            <w:shd w:val="clear" w:color="auto" w:fill="auto"/>
            <w:vAlign w:val="center"/>
          </w:tcPr>
          <w:p>
            <w:pPr>
              <w:spacing w:after="0" w:line="360" w:lineRule="exact"/>
              <w:ind w:left="11" w:hanging="11"/>
              <w:rPr>
                <w:rFonts w:ascii="宋体" w:hAnsi="宋体" w:eastAsia="宋体"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spacing w:after="0" w:line="360" w:lineRule="exact"/>
              <w:ind w:left="11" w:hanging="11"/>
              <w:jc w:val="center"/>
              <w:rPr>
                <w:rFonts w:ascii="宋体" w:hAnsi="宋体" w:eastAsia="宋体"/>
                <w:b/>
                <w:color w:val="auto"/>
                <w:sz w:val="21"/>
                <w:highlight w:val="none"/>
              </w:rPr>
            </w:pPr>
            <w:r>
              <w:rPr>
                <w:rFonts w:hint="eastAsia" w:ascii="宋体" w:hAnsi="宋体" w:eastAsia="宋体"/>
                <w:b/>
                <w:color w:val="auto"/>
                <w:sz w:val="21"/>
                <w:highlight w:val="none"/>
              </w:rPr>
              <w:t>责任部门</w:t>
            </w:r>
          </w:p>
        </w:tc>
        <w:tc>
          <w:tcPr>
            <w:tcW w:w="4147" w:type="dxa"/>
            <w:shd w:val="clear" w:color="auto" w:fill="auto"/>
            <w:vAlign w:val="center"/>
          </w:tcPr>
          <w:p>
            <w:pPr>
              <w:spacing w:after="0" w:line="360" w:lineRule="exact"/>
              <w:ind w:left="11" w:hanging="11"/>
              <w:rPr>
                <w:rFonts w:ascii="宋体" w:hAnsi="宋体" w:eastAsia="宋体"/>
                <w:b/>
                <w:color w:val="auto"/>
                <w:sz w:val="21"/>
                <w:highlight w:val="none"/>
              </w:rPr>
            </w:pPr>
          </w:p>
        </w:tc>
        <w:tc>
          <w:tcPr>
            <w:tcW w:w="1800" w:type="dxa"/>
            <w:vMerge w:val="restart"/>
            <w:shd w:val="clear" w:color="auto" w:fill="auto"/>
            <w:vAlign w:val="center"/>
          </w:tcPr>
          <w:p>
            <w:pPr>
              <w:spacing w:after="0" w:line="360" w:lineRule="exact"/>
              <w:ind w:left="11" w:hanging="11"/>
              <w:jc w:val="center"/>
              <w:rPr>
                <w:rFonts w:ascii="宋体" w:hAnsi="宋体" w:eastAsia="宋体" w:cs="Times New Roman"/>
                <w:b/>
                <w:color w:val="auto"/>
                <w:sz w:val="21"/>
                <w:szCs w:val="24"/>
                <w:highlight w:val="none"/>
              </w:rPr>
            </w:pPr>
            <w:r>
              <w:rPr>
                <w:rFonts w:hint="eastAsia" w:ascii="宋体" w:hAnsi="宋体" w:eastAsia="宋体" w:cs="Times New Roman"/>
                <w:b/>
                <w:color w:val="auto"/>
                <w:sz w:val="21"/>
                <w:szCs w:val="24"/>
                <w:highlight w:val="none"/>
              </w:rPr>
              <w:t>应急处置措施</w:t>
            </w:r>
          </w:p>
        </w:tc>
        <w:tc>
          <w:tcPr>
            <w:tcW w:w="5966" w:type="dxa"/>
            <w:vMerge w:val="restart"/>
            <w:shd w:val="clear" w:color="auto" w:fill="auto"/>
            <w:vAlign w:val="center"/>
          </w:tcPr>
          <w:p>
            <w:pPr>
              <w:spacing w:after="0" w:line="360" w:lineRule="exact"/>
              <w:ind w:left="11" w:hanging="11"/>
              <w:rPr>
                <w:rFonts w:ascii="宋体" w:hAnsi="宋体" w:eastAsia="宋体"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spacing w:after="0" w:line="360" w:lineRule="exact"/>
              <w:ind w:left="11" w:hanging="11"/>
              <w:jc w:val="center"/>
              <w:rPr>
                <w:rFonts w:ascii="宋体" w:hAnsi="宋体" w:eastAsia="宋体"/>
                <w:b/>
                <w:color w:val="auto"/>
                <w:sz w:val="21"/>
                <w:highlight w:val="none"/>
              </w:rPr>
            </w:pPr>
            <w:r>
              <w:rPr>
                <w:rFonts w:hint="eastAsia" w:ascii="宋体" w:hAnsi="宋体" w:eastAsia="宋体"/>
                <w:b/>
                <w:color w:val="auto"/>
                <w:sz w:val="21"/>
                <w:highlight w:val="none"/>
              </w:rPr>
              <w:t>责任人</w:t>
            </w:r>
          </w:p>
        </w:tc>
        <w:tc>
          <w:tcPr>
            <w:tcW w:w="4147" w:type="dxa"/>
            <w:shd w:val="clear" w:color="auto" w:fill="auto"/>
            <w:vAlign w:val="center"/>
          </w:tcPr>
          <w:p>
            <w:pPr>
              <w:spacing w:after="0" w:line="360" w:lineRule="exact"/>
              <w:ind w:left="11" w:hanging="11"/>
              <w:rPr>
                <w:rFonts w:ascii="宋体" w:hAnsi="宋体" w:eastAsia="宋体"/>
                <w:b/>
                <w:color w:val="auto"/>
                <w:sz w:val="21"/>
                <w:highlight w:val="none"/>
              </w:rPr>
            </w:pPr>
          </w:p>
        </w:tc>
        <w:tc>
          <w:tcPr>
            <w:tcW w:w="1800" w:type="dxa"/>
            <w:vMerge w:val="continue"/>
            <w:shd w:val="clear" w:color="auto" w:fill="auto"/>
            <w:vAlign w:val="center"/>
          </w:tcPr>
          <w:p>
            <w:pPr>
              <w:spacing w:after="0" w:line="360" w:lineRule="exact"/>
              <w:ind w:left="11" w:hanging="11"/>
              <w:jc w:val="center"/>
              <w:rPr>
                <w:rFonts w:ascii="宋体" w:hAnsi="宋体" w:eastAsia="宋体"/>
                <w:b/>
                <w:color w:val="auto"/>
                <w:sz w:val="21"/>
                <w:highlight w:val="none"/>
              </w:rPr>
            </w:pPr>
          </w:p>
        </w:tc>
        <w:tc>
          <w:tcPr>
            <w:tcW w:w="5966" w:type="dxa"/>
            <w:vMerge w:val="continue"/>
            <w:shd w:val="clear" w:color="auto" w:fill="auto"/>
            <w:vAlign w:val="center"/>
          </w:tcPr>
          <w:p>
            <w:pPr>
              <w:spacing w:after="0" w:line="360" w:lineRule="exact"/>
              <w:ind w:left="11" w:hanging="11"/>
              <w:rPr>
                <w:rFonts w:ascii="宋体" w:hAnsi="宋体" w:eastAsia="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spacing w:after="0" w:line="360" w:lineRule="exact"/>
              <w:ind w:left="11" w:hanging="11"/>
              <w:jc w:val="center"/>
              <w:rPr>
                <w:rFonts w:ascii="宋体" w:hAnsi="宋体" w:eastAsia="宋体"/>
                <w:b/>
                <w:color w:val="auto"/>
                <w:sz w:val="21"/>
                <w:highlight w:val="none"/>
              </w:rPr>
            </w:pPr>
            <w:r>
              <w:rPr>
                <w:rFonts w:hint="eastAsia" w:ascii="宋体" w:hAnsi="宋体" w:eastAsia="宋体"/>
                <w:b/>
                <w:color w:val="auto"/>
                <w:sz w:val="21"/>
                <w:highlight w:val="none"/>
              </w:rPr>
              <w:t>责任电话</w:t>
            </w:r>
          </w:p>
        </w:tc>
        <w:tc>
          <w:tcPr>
            <w:tcW w:w="4147" w:type="dxa"/>
            <w:shd w:val="clear" w:color="auto" w:fill="auto"/>
            <w:vAlign w:val="center"/>
          </w:tcPr>
          <w:p>
            <w:pPr>
              <w:spacing w:after="0" w:line="360" w:lineRule="exact"/>
              <w:ind w:left="11" w:hanging="11"/>
              <w:rPr>
                <w:rFonts w:ascii="宋体" w:hAnsi="宋体" w:eastAsia="宋体"/>
                <w:b/>
                <w:color w:val="auto"/>
                <w:sz w:val="21"/>
                <w:highlight w:val="none"/>
              </w:rPr>
            </w:pPr>
          </w:p>
        </w:tc>
        <w:tc>
          <w:tcPr>
            <w:tcW w:w="1800" w:type="dxa"/>
            <w:vMerge w:val="continue"/>
            <w:shd w:val="clear" w:color="auto" w:fill="auto"/>
            <w:vAlign w:val="center"/>
          </w:tcPr>
          <w:p>
            <w:pPr>
              <w:spacing w:after="0" w:line="360" w:lineRule="exact"/>
              <w:ind w:left="11" w:hanging="11"/>
              <w:jc w:val="center"/>
              <w:rPr>
                <w:rFonts w:ascii="宋体" w:hAnsi="宋体" w:eastAsia="宋体"/>
                <w:b/>
                <w:color w:val="auto"/>
                <w:sz w:val="21"/>
                <w:highlight w:val="none"/>
              </w:rPr>
            </w:pPr>
          </w:p>
        </w:tc>
        <w:tc>
          <w:tcPr>
            <w:tcW w:w="5966" w:type="dxa"/>
            <w:vMerge w:val="continue"/>
            <w:shd w:val="clear" w:color="auto" w:fill="auto"/>
            <w:vAlign w:val="center"/>
          </w:tcPr>
          <w:p>
            <w:pPr>
              <w:spacing w:after="0" w:line="360" w:lineRule="exact"/>
              <w:ind w:left="11" w:hanging="11"/>
              <w:rPr>
                <w:rFonts w:ascii="宋体" w:hAnsi="宋体" w:eastAsia="宋体"/>
                <w:color w:val="auto"/>
                <w:sz w:val="21"/>
                <w:highlight w:val="none"/>
              </w:rPr>
            </w:pPr>
          </w:p>
        </w:tc>
      </w:tr>
    </w:tbl>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p>
    <w:p>
      <w:pPr>
        <w:spacing w:after="0" w:line="240" w:lineRule="auto"/>
        <w:ind w:left="0" w:firstLine="0"/>
        <w:rPr>
          <w:rFonts w:cs="宋体" w:asciiTheme="minorEastAsia" w:hAnsiTheme="minorEastAsia" w:eastAsiaTheme="minorEastAsia"/>
          <w:b/>
          <w:color w:val="auto"/>
          <w:szCs w:val="24"/>
          <w:highlight w:val="none"/>
        </w:rPr>
      </w:pPr>
      <w:r>
        <w:rPr>
          <w:rFonts w:cs="宋体" w:asciiTheme="minorEastAsia" w:hAnsiTheme="minorEastAsia" w:eastAsiaTheme="minorEastAsia"/>
          <w:b/>
          <w:color w:val="auto"/>
          <w:szCs w:val="24"/>
          <w:highlight w:val="none"/>
        </w:rPr>
        <w:br w:type="page"/>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3.10.3风险告知卡</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根据风险分级管控清单，通过制作岗位安全风险告知卡、编制安全手册、组织讲解宣传等方式，告知本单位从业人员作业风险</w:t>
      </w:r>
      <w:r>
        <w:rPr>
          <w:rFonts w:hint="eastAsia" w:cs="宋体" w:asciiTheme="minorEastAsia" w:hAnsiTheme="minorEastAsia" w:eastAsiaTheme="minorEastAsia"/>
          <w:color w:val="auto"/>
          <w:szCs w:val="24"/>
          <w:highlight w:val="none"/>
        </w:rPr>
        <w:t>。</w:t>
      </w:r>
    </w:p>
    <w:p>
      <w:pPr>
        <w:widowControl w:val="0"/>
        <w:spacing w:after="0" w:line="240" w:lineRule="auto"/>
        <w:ind w:left="0" w:firstLine="442" w:firstLineChars="200"/>
        <w:jc w:val="center"/>
        <w:rPr>
          <w:rFonts w:cs="Times New Roman" w:asciiTheme="minorEastAsia" w:hAnsiTheme="minorEastAsia" w:eastAsiaTheme="minorEastAsia"/>
          <w:b/>
          <w:color w:val="auto"/>
          <w:sz w:val="22"/>
          <w:szCs w:val="28"/>
          <w:highlight w:val="none"/>
        </w:rPr>
      </w:pPr>
      <w:r>
        <w:rPr>
          <w:rFonts w:hint="eastAsia" w:cs="Times New Roman" w:asciiTheme="minorEastAsia" w:hAnsiTheme="minorEastAsia" w:eastAsiaTheme="minorEastAsia"/>
          <w:b/>
          <w:color w:val="auto"/>
          <w:sz w:val="22"/>
          <w:szCs w:val="28"/>
          <w:highlight w:val="none"/>
        </w:rPr>
        <w:t>表3-1</w:t>
      </w:r>
      <w:r>
        <w:rPr>
          <w:rFonts w:cs="Times New Roman" w:asciiTheme="minorEastAsia" w:hAnsiTheme="minorEastAsia" w:eastAsiaTheme="minorEastAsia"/>
          <w:b/>
          <w:color w:val="auto"/>
          <w:sz w:val="22"/>
          <w:szCs w:val="28"/>
          <w:highlight w:val="none"/>
        </w:rPr>
        <w:t>8</w:t>
      </w:r>
      <w:r>
        <w:rPr>
          <w:rFonts w:hint="eastAsia" w:cs="Times New Roman" w:asciiTheme="minorEastAsia" w:hAnsiTheme="minorEastAsia" w:eastAsiaTheme="minorEastAsia"/>
          <w:b/>
          <w:color w:val="auto"/>
          <w:sz w:val="22"/>
          <w:szCs w:val="28"/>
          <w:highlight w:val="none"/>
        </w:rPr>
        <w:t>风险告知卡式样</w:t>
      </w:r>
    </w:p>
    <w:tbl>
      <w:tblPr>
        <w:tblStyle w:val="2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1"/>
        <w:gridCol w:w="949"/>
        <w:gridCol w:w="1186"/>
        <w:gridCol w:w="2187"/>
        <w:gridCol w:w="2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0" w:type="pct"/>
            <w:shd w:val="clear" w:color="auto" w:fill="F1F1F1" w:themeFill="background1" w:themeFillShade="F2"/>
            <w:vAlign w:val="center"/>
          </w:tcPr>
          <w:p>
            <w:pPr>
              <w:widowControl w:val="0"/>
              <w:spacing w:after="0" w:line="360" w:lineRule="exact"/>
              <w:ind w:left="0" w:firstLine="0"/>
              <w:jc w:val="center"/>
              <w:rPr>
                <w:rFonts w:ascii="宋体" w:hAnsi="宋体" w:eastAsia="宋体"/>
                <w:b/>
                <w:color w:val="auto"/>
                <w:sz w:val="21"/>
                <w:szCs w:val="21"/>
                <w:highlight w:val="none"/>
              </w:rPr>
            </w:pPr>
            <w:r>
              <w:rPr>
                <w:rFonts w:ascii="宋体" w:hAnsi="宋体" w:eastAsia="宋体"/>
                <w:b/>
                <w:color w:val="auto"/>
                <w:sz w:val="21"/>
                <w:szCs w:val="21"/>
                <w:highlight w:val="none"/>
              </w:rPr>
              <w:t>岗位</w:t>
            </w:r>
            <w:r>
              <w:rPr>
                <w:rFonts w:hint="eastAsia" w:ascii="宋体" w:hAnsi="宋体" w:eastAsia="宋体"/>
                <w:b/>
                <w:color w:val="auto"/>
                <w:sz w:val="21"/>
                <w:szCs w:val="21"/>
                <w:highlight w:val="none"/>
              </w:rPr>
              <w:t>：</w:t>
            </w:r>
            <w:r>
              <w:rPr>
                <w:rFonts w:ascii="宋体" w:hAnsi="宋体" w:eastAsia="宋体"/>
                <w:b/>
                <w:color w:val="auto"/>
                <w:sz w:val="21"/>
                <w:szCs w:val="21"/>
                <w:highlight w:val="none"/>
              </w:rPr>
              <w:t xml:space="preserve"> </w:t>
            </w:r>
          </w:p>
        </w:tc>
        <w:tc>
          <w:tcPr>
            <w:tcW w:w="557" w:type="pct"/>
            <w:tcBorders>
              <w:bottom w:val="single" w:color="auto" w:sz="4" w:space="0"/>
            </w:tcBorders>
            <w:shd w:val="clear" w:color="auto" w:fill="F1F1F1" w:themeFill="background1" w:themeFillShade="F2"/>
            <w:vAlign w:val="center"/>
          </w:tcPr>
          <w:p>
            <w:pPr>
              <w:widowControl w:val="0"/>
              <w:spacing w:after="0" w:line="360" w:lineRule="exact"/>
              <w:ind w:left="0" w:firstLine="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风险点</w:t>
            </w:r>
          </w:p>
        </w:tc>
        <w:tc>
          <w:tcPr>
            <w:tcW w:w="696" w:type="pct"/>
            <w:tcBorders>
              <w:bottom w:val="single" w:color="auto" w:sz="4" w:space="0"/>
            </w:tcBorders>
            <w:shd w:val="clear" w:color="auto" w:fill="F1F1F1" w:themeFill="background1" w:themeFillShade="F2"/>
            <w:vAlign w:val="center"/>
          </w:tcPr>
          <w:p>
            <w:pPr>
              <w:widowControl w:val="0"/>
              <w:spacing w:after="0" w:line="360" w:lineRule="exact"/>
              <w:ind w:left="0" w:firstLine="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风险事件</w:t>
            </w:r>
          </w:p>
        </w:tc>
        <w:tc>
          <w:tcPr>
            <w:tcW w:w="1283" w:type="pct"/>
            <w:tcBorders>
              <w:bottom w:val="single" w:color="auto" w:sz="4" w:space="0"/>
            </w:tcBorders>
            <w:shd w:val="clear" w:color="auto" w:fill="F1F1F1" w:themeFill="background1" w:themeFillShade="F2"/>
            <w:vAlign w:val="center"/>
          </w:tcPr>
          <w:p>
            <w:pPr>
              <w:widowControl w:val="0"/>
              <w:spacing w:after="0" w:line="360" w:lineRule="exact"/>
              <w:ind w:left="0" w:firstLine="0"/>
              <w:jc w:val="center"/>
              <w:rPr>
                <w:rFonts w:ascii="宋体" w:hAnsi="宋体" w:eastAsia="宋体"/>
                <w:b/>
                <w:color w:val="auto"/>
                <w:sz w:val="21"/>
                <w:szCs w:val="21"/>
                <w:highlight w:val="none"/>
              </w:rPr>
            </w:pPr>
            <w:r>
              <w:rPr>
                <w:rFonts w:ascii="宋体" w:hAnsi="宋体" w:eastAsia="宋体"/>
                <w:b/>
                <w:color w:val="auto"/>
                <w:sz w:val="21"/>
                <w:szCs w:val="21"/>
                <w:highlight w:val="none"/>
              </w:rPr>
              <w:t>风险管控措施</w:t>
            </w:r>
          </w:p>
        </w:tc>
        <w:tc>
          <w:tcPr>
            <w:tcW w:w="1284" w:type="pct"/>
            <w:tcBorders>
              <w:bottom w:val="single" w:color="auto" w:sz="4" w:space="0"/>
            </w:tcBorders>
            <w:shd w:val="clear" w:color="auto" w:fill="F1F1F1" w:themeFill="background1" w:themeFillShade="F2"/>
            <w:vAlign w:val="center"/>
          </w:tcPr>
          <w:p>
            <w:pPr>
              <w:widowControl w:val="0"/>
              <w:spacing w:after="0" w:line="360" w:lineRule="exact"/>
              <w:ind w:left="0" w:firstLine="0"/>
              <w:jc w:val="center"/>
              <w:rPr>
                <w:rFonts w:ascii="宋体" w:hAnsi="宋体" w:eastAsia="宋体"/>
                <w:b/>
                <w:color w:val="auto"/>
                <w:sz w:val="21"/>
                <w:szCs w:val="21"/>
                <w:highlight w:val="none"/>
              </w:rPr>
            </w:pPr>
            <w:r>
              <w:rPr>
                <w:rFonts w:ascii="宋体" w:hAnsi="宋体" w:eastAsia="宋体"/>
                <w:b/>
                <w:color w:val="auto"/>
                <w:sz w:val="21"/>
                <w:szCs w:val="21"/>
                <w:highlight w:val="none"/>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0" w:type="pct"/>
            <w:vMerge w:val="restart"/>
          </w:tcPr>
          <w:p>
            <w:pPr>
              <w:widowControl w:val="0"/>
              <w:spacing w:after="0" w:line="360" w:lineRule="exact"/>
              <w:ind w:left="0" w:firstLine="0"/>
              <w:jc w:val="left"/>
              <w:rPr>
                <w:rFonts w:ascii="宋体" w:hAnsi="宋体" w:eastAsia="宋体"/>
                <w:b/>
                <w:color w:val="auto"/>
                <w:sz w:val="21"/>
                <w:szCs w:val="21"/>
                <w:highlight w:val="none"/>
              </w:rPr>
            </w:pPr>
            <w:r>
              <w:rPr>
                <w:rFonts w:hint="eastAsia" w:ascii="宋体" w:hAnsi="宋体" w:eastAsia="宋体"/>
                <w:b/>
                <w:color w:val="auto"/>
                <w:sz w:val="21"/>
                <w:szCs w:val="21"/>
                <w:highlight w:val="none"/>
              </w:rPr>
              <w:t>作业步骤/</w:t>
            </w:r>
            <w:r>
              <w:rPr>
                <w:rFonts w:ascii="宋体" w:hAnsi="宋体" w:eastAsia="宋体"/>
                <w:b/>
                <w:color w:val="auto"/>
                <w:sz w:val="21"/>
                <w:szCs w:val="21"/>
                <w:highlight w:val="none"/>
              </w:rPr>
              <w:t>内容</w:t>
            </w:r>
            <w:r>
              <w:rPr>
                <w:rFonts w:hint="eastAsia" w:ascii="宋体" w:hAnsi="宋体" w:eastAsia="宋体"/>
                <w:b/>
                <w:color w:val="auto"/>
                <w:sz w:val="21"/>
                <w:szCs w:val="21"/>
                <w:highlight w:val="none"/>
              </w:rPr>
              <w:t>：</w:t>
            </w:r>
          </w:p>
          <w:p>
            <w:pPr>
              <w:widowControl w:val="0"/>
              <w:spacing w:after="0" w:line="360" w:lineRule="exact"/>
              <w:ind w:left="0" w:firstLine="0"/>
              <w:jc w:val="both"/>
              <w:rPr>
                <w:rFonts w:ascii="宋体" w:hAnsi="宋体" w:eastAsia="宋体" w:cs="宋体"/>
                <w:color w:val="auto"/>
                <w:sz w:val="21"/>
                <w:szCs w:val="21"/>
                <w:highlight w:val="none"/>
              </w:rPr>
            </w:pPr>
          </w:p>
        </w:tc>
        <w:tc>
          <w:tcPr>
            <w:tcW w:w="557" w:type="pct"/>
            <w:vMerge w:val="restart"/>
            <w:shd w:val="clear" w:color="auto" w:fill="auto"/>
            <w:vAlign w:val="center"/>
          </w:tcPr>
          <w:p>
            <w:pPr>
              <w:widowControl w:val="0"/>
              <w:spacing w:after="0" w:line="360" w:lineRule="exact"/>
              <w:ind w:left="0" w:firstLine="0"/>
              <w:jc w:val="center"/>
              <w:rPr>
                <w:rFonts w:ascii="宋体" w:hAnsi="宋体" w:eastAsia="宋体"/>
                <w:color w:val="auto"/>
                <w:sz w:val="21"/>
                <w:szCs w:val="21"/>
                <w:highlight w:val="none"/>
              </w:rPr>
            </w:pPr>
          </w:p>
        </w:tc>
        <w:tc>
          <w:tcPr>
            <w:tcW w:w="696" w:type="pct"/>
            <w:shd w:val="clear" w:color="auto" w:fill="auto"/>
            <w:vAlign w:val="center"/>
          </w:tcPr>
          <w:p>
            <w:pPr>
              <w:widowControl w:val="0"/>
              <w:spacing w:after="0" w:line="360" w:lineRule="exact"/>
              <w:ind w:left="0" w:firstLine="0"/>
              <w:jc w:val="center"/>
              <w:rPr>
                <w:rFonts w:ascii="宋体" w:hAnsi="宋体" w:eastAsia="宋体"/>
                <w:b/>
                <w:color w:val="auto"/>
                <w:sz w:val="21"/>
                <w:szCs w:val="21"/>
                <w:highlight w:val="none"/>
              </w:rPr>
            </w:pPr>
          </w:p>
        </w:tc>
        <w:tc>
          <w:tcPr>
            <w:tcW w:w="1283" w:type="pct"/>
            <w:shd w:val="clear" w:color="auto" w:fill="auto"/>
            <w:vAlign w:val="center"/>
          </w:tcPr>
          <w:p>
            <w:pPr>
              <w:widowControl w:val="0"/>
              <w:spacing w:after="0" w:line="360" w:lineRule="exact"/>
              <w:ind w:left="0" w:firstLine="0"/>
              <w:jc w:val="both"/>
              <w:rPr>
                <w:rFonts w:ascii="宋体" w:hAnsi="宋体" w:eastAsia="宋体"/>
                <w:color w:val="auto"/>
                <w:sz w:val="21"/>
                <w:szCs w:val="21"/>
                <w:highlight w:val="none"/>
              </w:rPr>
            </w:pPr>
          </w:p>
        </w:tc>
        <w:tc>
          <w:tcPr>
            <w:tcW w:w="1284" w:type="pct"/>
            <w:shd w:val="clear" w:color="auto" w:fill="auto"/>
            <w:vAlign w:val="center"/>
          </w:tcPr>
          <w:p>
            <w:pPr>
              <w:widowControl w:val="0"/>
              <w:spacing w:after="0" w:line="360" w:lineRule="exact"/>
              <w:ind w:left="0" w:firstLine="0"/>
              <w:jc w:val="both"/>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0" w:type="pct"/>
            <w:vMerge w:val="continue"/>
          </w:tcPr>
          <w:p>
            <w:pPr>
              <w:widowControl w:val="0"/>
              <w:spacing w:after="0" w:line="360" w:lineRule="exact"/>
              <w:ind w:left="0" w:firstLine="0"/>
              <w:jc w:val="both"/>
              <w:rPr>
                <w:rFonts w:ascii="宋体" w:hAnsi="宋体" w:eastAsia="宋体"/>
                <w:b/>
                <w:color w:val="auto"/>
                <w:sz w:val="21"/>
                <w:szCs w:val="21"/>
                <w:highlight w:val="none"/>
              </w:rPr>
            </w:pPr>
          </w:p>
        </w:tc>
        <w:tc>
          <w:tcPr>
            <w:tcW w:w="557" w:type="pct"/>
            <w:vMerge w:val="continue"/>
            <w:shd w:val="clear" w:color="auto" w:fill="auto"/>
            <w:vAlign w:val="center"/>
          </w:tcPr>
          <w:p>
            <w:pPr>
              <w:widowControl w:val="0"/>
              <w:spacing w:after="0" w:line="360" w:lineRule="exact"/>
              <w:ind w:left="0" w:firstLine="0"/>
              <w:jc w:val="center"/>
              <w:rPr>
                <w:rFonts w:ascii="宋体" w:hAnsi="宋体" w:eastAsia="宋体"/>
                <w:color w:val="auto"/>
                <w:sz w:val="21"/>
                <w:szCs w:val="21"/>
                <w:highlight w:val="none"/>
              </w:rPr>
            </w:pPr>
          </w:p>
        </w:tc>
        <w:tc>
          <w:tcPr>
            <w:tcW w:w="696" w:type="pct"/>
            <w:tcBorders>
              <w:bottom w:val="single" w:color="auto" w:sz="4" w:space="0"/>
            </w:tcBorders>
            <w:shd w:val="clear" w:color="auto" w:fill="auto"/>
            <w:vAlign w:val="center"/>
          </w:tcPr>
          <w:p>
            <w:pPr>
              <w:widowControl w:val="0"/>
              <w:spacing w:after="0" w:line="360" w:lineRule="exact"/>
              <w:ind w:left="0" w:firstLine="0"/>
              <w:jc w:val="center"/>
              <w:rPr>
                <w:rFonts w:ascii="宋体" w:hAnsi="宋体" w:eastAsia="宋体"/>
                <w:b/>
                <w:color w:val="auto"/>
                <w:sz w:val="21"/>
                <w:szCs w:val="21"/>
                <w:highlight w:val="none"/>
              </w:rPr>
            </w:pPr>
          </w:p>
        </w:tc>
        <w:tc>
          <w:tcPr>
            <w:tcW w:w="1283" w:type="pct"/>
            <w:shd w:val="clear" w:color="auto" w:fill="auto"/>
            <w:vAlign w:val="center"/>
          </w:tcPr>
          <w:p>
            <w:pPr>
              <w:widowControl w:val="0"/>
              <w:spacing w:after="0" w:line="360" w:lineRule="exact"/>
              <w:ind w:left="0" w:firstLine="0"/>
              <w:jc w:val="both"/>
              <w:rPr>
                <w:rFonts w:ascii="宋体" w:hAnsi="宋体" w:eastAsia="宋体"/>
                <w:color w:val="auto"/>
                <w:sz w:val="21"/>
                <w:szCs w:val="21"/>
                <w:highlight w:val="none"/>
              </w:rPr>
            </w:pPr>
          </w:p>
        </w:tc>
        <w:tc>
          <w:tcPr>
            <w:tcW w:w="1284" w:type="pct"/>
            <w:shd w:val="clear" w:color="auto" w:fill="auto"/>
            <w:vAlign w:val="center"/>
          </w:tcPr>
          <w:p>
            <w:pPr>
              <w:widowControl w:val="0"/>
              <w:spacing w:after="0" w:line="360" w:lineRule="exact"/>
              <w:ind w:left="0" w:firstLine="0"/>
              <w:jc w:val="both"/>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0" w:type="pct"/>
            <w:vMerge w:val="continue"/>
          </w:tcPr>
          <w:p>
            <w:pPr>
              <w:widowControl w:val="0"/>
              <w:spacing w:after="0" w:line="360" w:lineRule="exact"/>
              <w:ind w:left="0" w:firstLine="0"/>
              <w:jc w:val="both"/>
              <w:rPr>
                <w:rFonts w:ascii="宋体" w:hAnsi="宋体" w:eastAsia="宋体"/>
                <w:b/>
                <w:color w:val="auto"/>
                <w:sz w:val="21"/>
                <w:szCs w:val="21"/>
                <w:highlight w:val="none"/>
              </w:rPr>
            </w:pPr>
          </w:p>
        </w:tc>
        <w:tc>
          <w:tcPr>
            <w:tcW w:w="557" w:type="pct"/>
            <w:vMerge w:val="continue"/>
            <w:shd w:val="clear" w:color="auto" w:fill="auto"/>
            <w:vAlign w:val="center"/>
          </w:tcPr>
          <w:p>
            <w:pPr>
              <w:widowControl w:val="0"/>
              <w:spacing w:after="0" w:line="360" w:lineRule="exact"/>
              <w:ind w:left="0" w:firstLine="0"/>
              <w:jc w:val="center"/>
              <w:rPr>
                <w:rFonts w:ascii="宋体" w:hAnsi="宋体" w:eastAsia="宋体"/>
                <w:color w:val="auto"/>
                <w:sz w:val="21"/>
                <w:szCs w:val="21"/>
                <w:highlight w:val="none"/>
              </w:rPr>
            </w:pPr>
          </w:p>
        </w:tc>
        <w:tc>
          <w:tcPr>
            <w:tcW w:w="696" w:type="pct"/>
            <w:shd w:val="clear" w:color="auto" w:fill="auto"/>
            <w:vAlign w:val="center"/>
          </w:tcPr>
          <w:p>
            <w:pPr>
              <w:widowControl w:val="0"/>
              <w:spacing w:after="0" w:line="360" w:lineRule="exact"/>
              <w:ind w:left="0" w:firstLine="0"/>
              <w:jc w:val="center"/>
              <w:rPr>
                <w:rFonts w:ascii="宋体" w:hAnsi="宋体" w:eastAsia="宋体"/>
                <w:b/>
                <w:color w:val="auto"/>
                <w:sz w:val="21"/>
                <w:szCs w:val="21"/>
                <w:highlight w:val="none"/>
              </w:rPr>
            </w:pPr>
          </w:p>
        </w:tc>
        <w:tc>
          <w:tcPr>
            <w:tcW w:w="1283" w:type="pct"/>
            <w:shd w:val="clear" w:color="auto" w:fill="auto"/>
            <w:vAlign w:val="center"/>
          </w:tcPr>
          <w:p>
            <w:pPr>
              <w:widowControl w:val="0"/>
              <w:spacing w:after="0" w:line="360" w:lineRule="exact"/>
              <w:ind w:left="0" w:firstLine="0"/>
              <w:jc w:val="both"/>
              <w:rPr>
                <w:rFonts w:ascii="宋体" w:hAnsi="宋体" w:eastAsia="宋体"/>
                <w:color w:val="auto"/>
                <w:sz w:val="21"/>
                <w:szCs w:val="21"/>
                <w:highlight w:val="none"/>
              </w:rPr>
            </w:pPr>
          </w:p>
        </w:tc>
        <w:tc>
          <w:tcPr>
            <w:tcW w:w="1284" w:type="pct"/>
            <w:shd w:val="clear" w:color="auto" w:fill="auto"/>
            <w:vAlign w:val="center"/>
          </w:tcPr>
          <w:p>
            <w:pPr>
              <w:widowControl w:val="0"/>
              <w:spacing w:after="0" w:line="360" w:lineRule="exact"/>
              <w:ind w:left="0" w:firstLine="0"/>
              <w:jc w:val="both"/>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0" w:type="pct"/>
            <w:vMerge w:val="continue"/>
            <w:tcBorders>
              <w:bottom w:val="single" w:color="auto" w:sz="4" w:space="0"/>
            </w:tcBorders>
          </w:tcPr>
          <w:p>
            <w:pPr>
              <w:widowControl w:val="0"/>
              <w:spacing w:after="0" w:line="360" w:lineRule="exact"/>
              <w:ind w:left="0" w:firstLine="0"/>
              <w:jc w:val="both"/>
              <w:rPr>
                <w:rFonts w:ascii="宋体" w:hAnsi="宋体" w:eastAsia="宋体"/>
                <w:b/>
                <w:color w:val="auto"/>
                <w:sz w:val="21"/>
                <w:szCs w:val="21"/>
                <w:highlight w:val="none"/>
              </w:rPr>
            </w:pPr>
          </w:p>
        </w:tc>
        <w:tc>
          <w:tcPr>
            <w:tcW w:w="557" w:type="pct"/>
            <w:vMerge w:val="continue"/>
            <w:tcBorders>
              <w:bottom w:val="single" w:color="auto" w:sz="4" w:space="0"/>
            </w:tcBorders>
            <w:shd w:val="clear" w:color="auto" w:fill="auto"/>
            <w:vAlign w:val="center"/>
          </w:tcPr>
          <w:p>
            <w:pPr>
              <w:widowControl w:val="0"/>
              <w:spacing w:after="0" w:line="360" w:lineRule="exact"/>
              <w:ind w:left="0" w:firstLine="0"/>
              <w:jc w:val="center"/>
              <w:rPr>
                <w:rFonts w:ascii="宋体" w:hAnsi="宋体" w:eastAsia="宋体"/>
                <w:color w:val="auto"/>
                <w:sz w:val="21"/>
                <w:szCs w:val="21"/>
                <w:highlight w:val="none"/>
              </w:rPr>
            </w:pPr>
          </w:p>
        </w:tc>
        <w:tc>
          <w:tcPr>
            <w:tcW w:w="696" w:type="pct"/>
            <w:tcBorders>
              <w:bottom w:val="single" w:color="auto" w:sz="4" w:space="0"/>
            </w:tcBorders>
            <w:shd w:val="clear" w:color="auto" w:fill="auto"/>
            <w:vAlign w:val="center"/>
          </w:tcPr>
          <w:p>
            <w:pPr>
              <w:widowControl w:val="0"/>
              <w:spacing w:after="0" w:line="360" w:lineRule="exact"/>
              <w:ind w:left="0" w:firstLine="0"/>
              <w:jc w:val="center"/>
              <w:rPr>
                <w:rFonts w:ascii="宋体" w:hAnsi="宋体" w:eastAsia="宋体"/>
                <w:b/>
                <w:color w:val="auto"/>
                <w:sz w:val="21"/>
                <w:szCs w:val="21"/>
                <w:highlight w:val="none"/>
              </w:rPr>
            </w:pPr>
          </w:p>
        </w:tc>
        <w:tc>
          <w:tcPr>
            <w:tcW w:w="1283" w:type="pct"/>
            <w:tcBorders>
              <w:bottom w:val="single" w:color="auto" w:sz="4" w:space="0"/>
            </w:tcBorders>
            <w:shd w:val="clear" w:color="auto" w:fill="auto"/>
            <w:vAlign w:val="center"/>
          </w:tcPr>
          <w:p>
            <w:pPr>
              <w:widowControl w:val="0"/>
              <w:spacing w:after="0" w:line="360" w:lineRule="exact"/>
              <w:ind w:left="0" w:firstLine="0"/>
              <w:jc w:val="both"/>
              <w:rPr>
                <w:rFonts w:ascii="宋体" w:hAnsi="宋体" w:eastAsia="宋体"/>
                <w:color w:val="auto"/>
                <w:sz w:val="21"/>
                <w:szCs w:val="21"/>
                <w:highlight w:val="none"/>
              </w:rPr>
            </w:pPr>
          </w:p>
        </w:tc>
        <w:tc>
          <w:tcPr>
            <w:tcW w:w="1284" w:type="pct"/>
            <w:tcBorders>
              <w:bottom w:val="single" w:color="auto" w:sz="4" w:space="0"/>
            </w:tcBorders>
            <w:shd w:val="clear" w:color="auto" w:fill="auto"/>
            <w:vAlign w:val="center"/>
          </w:tcPr>
          <w:p>
            <w:pPr>
              <w:widowControl w:val="0"/>
              <w:spacing w:after="0" w:line="360" w:lineRule="exact"/>
              <w:ind w:left="0" w:firstLine="0"/>
              <w:jc w:val="both"/>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3" w:type="pct"/>
            <w:gridSpan w:val="3"/>
            <w:tcBorders>
              <w:bottom w:val="single" w:color="auto" w:sz="4" w:space="0"/>
            </w:tcBorders>
            <w:shd w:val="clear" w:color="auto" w:fill="F1F1F1" w:themeFill="background1" w:themeFillShade="F2"/>
            <w:vAlign w:val="center"/>
          </w:tcPr>
          <w:p>
            <w:pPr>
              <w:widowControl w:val="0"/>
              <w:spacing w:after="0" w:line="360" w:lineRule="exact"/>
              <w:ind w:left="0" w:firstLine="0"/>
              <w:jc w:val="left"/>
              <w:rPr>
                <w:rFonts w:ascii="宋体" w:hAnsi="宋体" w:eastAsia="宋体"/>
                <w:b/>
                <w:color w:val="auto"/>
                <w:sz w:val="21"/>
                <w:szCs w:val="21"/>
                <w:highlight w:val="none"/>
              </w:rPr>
            </w:pPr>
            <w:r>
              <w:rPr>
                <w:rFonts w:hint="eastAsia" w:ascii="宋体" w:hAnsi="宋体" w:eastAsia="宋体"/>
                <w:b/>
                <w:color w:val="auto"/>
                <w:sz w:val="21"/>
                <w:szCs w:val="21"/>
                <w:highlight w:val="none"/>
              </w:rPr>
              <w:t>应急值班</w:t>
            </w:r>
            <w:r>
              <w:rPr>
                <w:rFonts w:ascii="宋体" w:hAnsi="宋体" w:eastAsia="宋体"/>
                <w:b/>
                <w:color w:val="auto"/>
                <w:sz w:val="21"/>
                <w:szCs w:val="21"/>
                <w:highlight w:val="none"/>
              </w:rPr>
              <w:t>电话</w:t>
            </w:r>
            <w:r>
              <w:rPr>
                <w:rFonts w:hint="eastAsia" w:ascii="宋体" w:hAnsi="宋体" w:eastAsia="宋体"/>
                <w:b/>
                <w:color w:val="auto"/>
                <w:sz w:val="21"/>
                <w:szCs w:val="21"/>
                <w:highlight w:val="none"/>
              </w:rPr>
              <w:t>：</w:t>
            </w:r>
          </w:p>
        </w:tc>
        <w:tc>
          <w:tcPr>
            <w:tcW w:w="2567" w:type="pct"/>
            <w:gridSpan w:val="2"/>
            <w:tcBorders>
              <w:bottom w:val="single" w:color="auto" w:sz="4" w:space="0"/>
            </w:tcBorders>
            <w:shd w:val="clear" w:color="auto" w:fill="F1F1F1" w:themeFill="background1" w:themeFillShade="F2"/>
            <w:vAlign w:val="center"/>
          </w:tcPr>
          <w:p>
            <w:pPr>
              <w:widowControl w:val="0"/>
              <w:spacing w:after="0" w:line="360" w:lineRule="exact"/>
              <w:ind w:left="0" w:firstLine="0"/>
              <w:jc w:val="center"/>
              <w:rPr>
                <w:rFonts w:ascii="宋体" w:hAnsi="宋体" w:eastAsia="宋体"/>
                <w:b/>
                <w:color w:val="auto"/>
                <w:sz w:val="21"/>
                <w:szCs w:val="21"/>
                <w:highlight w:val="none"/>
              </w:rPr>
            </w:pPr>
            <w:r>
              <w:rPr>
                <w:rFonts w:ascii="宋体" w:hAnsi="宋体" w:eastAsia="宋体"/>
                <w:b/>
                <w:color w:val="auto"/>
                <w:sz w:val="21"/>
                <w:szCs w:val="21"/>
                <w:highlight w:val="none"/>
              </w:rPr>
              <w:t>消防</w:t>
            </w:r>
            <w:r>
              <w:rPr>
                <w:rFonts w:hint="eastAsia" w:ascii="宋体" w:hAnsi="宋体" w:eastAsia="宋体"/>
                <w:b/>
                <w:color w:val="auto"/>
                <w:sz w:val="21"/>
                <w:szCs w:val="21"/>
                <w:highlight w:val="none"/>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shd w:val="clear" w:color="auto" w:fill="FFFFFF" w:themeFill="background1"/>
            <w:vAlign w:val="center"/>
          </w:tcPr>
          <w:p>
            <w:pPr>
              <w:widowControl w:val="0"/>
              <w:spacing w:after="0" w:line="360" w:lineRule="exact"/>
              <w:ind w:left="0" w:firstLine="0"/>
              <w:jc w:val="left"/>
              <w:rPr>
                <w:rFonts w:ascii="宋体" w:hAnsi="宋体" w:eastAsia="宋体"/>
                <w:b/>
                <w:color w:val="auto"/>
                <w:sz w:val="21"/>
                <w:szCs w:val="21"/>
                <w:highlight w:val="none"/>
              </w:rPr>
            </w:pPr>
            <w:r>
              <w:rPr>
                <w:rFonts w:ascii="宋体" w:hAnsi="宋体" w:eastAsia="宋体"/>
                <w:b/>
                <w:color w:val="auto"/>
                <w:sz w:val="21"/>
                <w:szCs w:val="21"/>
                <w:highlight w:val="none"/>
              </w:rPr>
              <w:t>作业小组成员</w:t>
            </w:r>
            <w:r>
              <w:rPr>
                <w:rFonts w:hint="eastAsia" w:ascii="宋体" w:hAnsi="宋体" w:eastAsia="宋体"/>
                <w:b/>
                <w:color w:val="auto"/>
                <w:sz w:val="21"/>
                <w:szCs w:val="21"/>
                <w:highlight w:val="none"/>
              </w:rPr>
              <w:t>：</w:t>
            </w:r>
          </w:p>
        </w:tc>
      </w:tr>
    </w:tbl>
    <w:p>
      <w:pPr>
        <w:widowControl w:val="0"/>
        <w:spacing w:after="0" w:line="480" w:lineRule="exact"/>
        <w:ind w:left="0" w:firstLine="480"/>
        <w:jc w:val="both"/>
        <w:rPr>
          <w:rFonts w:asciiTheme="minorEastAsia" w:hAnsiTheme="minorEastAsia" w:eastAsiaTheme="minorEastAsia"/>
          <w:b/>
          <w:color w:val="auto"/>
          <w:sz w:val="28"/>
          <w:szCs w:val="28"/>
          <w:highlight w:val="none"/>
        </w:rPr>
      </w:pPr>
      <w:bookmarkStart w:id="36" w:name="_Toc104735772"/>
    </w:p>
    <w:p>
      <w:pPr>
        <w:spacing w:after="0" w:line="240" w:lineRule="auto"/>
        <w:ind w:left="0" w:firstLine="0"/>
        <w:rPr>
          <w:rFonts w:asciiTheme="minorEastAsia" w:hAnsiTheme="minorEastAsia" w:eastAsiaTheme="minorEastAsia"/>
          <w:b/>
          <w:color w:val="auto"/>
          <w:sz w:val="28"/>
          <w:szCs w:val="28"/>
          <w:highlight w:val="none"/>
        </w:rPr>
      </w:pPr>
      <w:r>
        <w:rPr>
          <w:rFonts w:asciiTheme="minorEastAsia" w:hAnsiTheme="minorEastAsia" w:eastAsiaTheme="minorEastAsia"/>
          <w:b/>
          <w:color w:val="auto"/>
          <w:sz w:val="28"/>
          <w:szCs w:val="28"/>
          <w:highlight w:val="none"/>
        </w:rPr>
        <w:br w:type="page"/>
      </w:r>
    </w:p>
    <w:p>
      <w:pPr>
        <w:spacing w:beforeLines="50" w:after="0" w:line="360" w:lineRule="auto"/>
        <w:ind w:left="11" w:hanging="11" w:hangingChars="4"/>
        <w:outlineLvl w:val="1"/>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3.1</w:t>
      </w:r>
      <w:r>
        <w:rPr>
          <w:rFonts w:asciiTheme="minorEastAsia" w:hAnsiTheme="minorEastAsia" w:eastAsiaTheme="minorEastAsia"/>
          <w:b/>
          <w:color w:val="auto"/>
          <w:sz w:val="28"/>
          <w:szCs w:val="28"/>
          <w:highlight w:val="none"/>
        </w:rPr>
        <w:t>1</w:t>
      </w:r>
      <w:r>
        <w:rPr>
          <w:rFonts w:hint="eastAsia" w:asciiTheme="minorEastAsia" w:hAnsiTheme="minorEastAsia" w:eastAsiaTheme="minorEastAsia"/>
          <w:b/>
          <w:color w:val="auto"/>
          <w:sz w:val="28"/>
          <w:szCs w:val="28"/>
          <w:highlight w:val="none"/>
        </w:rPr>
        <w:t>动态辨识评估</w:t>
      </w:r>
      <w:bookmarkEnd w:id="36"/>
    </w:p>
    <w:p>
      <w:pPr>
        <w:widowControl w:val="0"/>
        <w:spacing w:after="0" w:line="480" w:lineRule="exact"/>
        <w:ind w:left="0" w:firstLine="480"/>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w:t>
      </w:r>
      <w:r>
        <w:rPr>
          <w:rFonts w:cs="宋体" w:asciiTheme="minorEastAsia" w:hAnsiTheme="minorEastAsia" w:eastAsiaTheme="minorEastAsia"/>
          <w:b/>
          <w:color w:val="auto"/>
          <w:szCs w:val="24"/>
          <w:highlight w:val="none"/>
        </w:rPr>
        <w:t>.11.1定期与专项辨识评估</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w:t>
      </w:r>
      <w:r>
        <w:rPr>
          <w:rFonts w:cs="宋体" w:asciiTheme="minorEastAsia" w:hAnsiTheme="minorEastAsia" w:eastAsiaTheme="minorEastAsia"/>
          <w:color w:val="auto"/>
          <w:szCs w:val="24"/>
          <w:highlight w:val="none"/>
        </w:rPr>
        <w:t>公司每三年组织一次全面的风险辨识与评估</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（2）当发生以下情形时，各有关业务部室、基层站区应按规定及时开展专项辨识评估，根据辨识情况及时调整风险管控信息清单，并及时上报公司安全管理部。</w:t>
      </w:r>
    </w:p>
    <w:p>
      <w:pPr>
        <w:pStyle w:val="49"/>
        <w:widowControl w:val="0"/>
        <w:numPr>
          <w:ilvl w:val="0"/>
          <w:numId w:val="2"/>
        </w:numPr>
        <w:spacing w:after="0" w:line="480" w:lineRule="exact"/>
        <w:ind w:firstLineChars="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生产经营环节或者生产经营要素发生重大变化；</w:t>
      </w:r>
    </w:p>
    <w:p>
      <w:pPr>
        <w:pStyle w:val="49"/>
        <w:widowControl w:val="0"/>
        <w:numPr>
          <w:ilvl w:val="0"/>
          <w:numId w:val="2"/>
        </w:numPr>
        <w:spacing w:after="0" w:line="480" w:lineRule="exact"/>
        <w:ind w:firstLineChars="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高危作业实施前；</w:t>
      </w:r>
    </w:p>
    <w:p>
      <w:pPr>
        <w:pStyle w:val="49"/>
        <w:widowControl w:val="0"/>
        <w:numPr>
          <w:ilvl w:val="0"/>
          <w:numId w:val="2"/>
        </w:numPr>
        <w:spacing w:after="0" w:line="480" w:lineRule="exact"/>
        <w:ind w:firstLineChars="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新技术、新材料试验或者推广应用前；</w:t>
      </w:r>
    </w:p>
    <w:p>
      <w:pPr>
        <w:pStyle w:val="49"/>
        <w:widowControl w:val="0"/>
        <w:numPr>
          <w:ilvl w:val="0"/>
          <w:numId w:val="2"/>
        </w:numPr>
        <w:spacing w:after="0" w:line="480" w:lineRule="exact"/>
        <w:ind w:firstLineChars="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以及发生生产安全事故后。</w:t>
      </w:r>
    </w:p>
    <w:p>
      <w:pPr>
        <w:widowControl w:val="0"/>
        <w:spacing w:after="0" w:line="480" w:lineRule="exact"/>
        <w:ind w:left="0" w:firstLine="480"/>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w:t>
      </w:r>
      <w:r>
        <w:rPr>
          <w:rFonts w:cs="宋体" w:asciiTheme="minorEastAsia" w:hAnsiTheme="minorEastAsia" w:eastAsiaTheme="minorEastAsia"/>
          <w:b/>
          <w:color w:val="auto"/>
          <w:szCs w:val="24"/>
          <w:highlight w:val="none"/>
        </w:rPr>
        <w:t>.11.2</w:t>
      </w:r>
      <w:r>
        <w:rPr>
          <w:rFonts w:hint="eastAsia" w:cs="宋体" w:asciiTheme="minorEastAsia" w:hAnsiTheme="minorEastAsia" w:eastAsiaTheme="minorEastAsia"/>
          <w:b/>
          <w:color w:val="auto"/>
          <w:szCs w:val="24"/>
          <w:highlight w:val="none"/>
        </w:rPr>
        <w:t>每年</w:t>
      </w:r>
      <w:r>
        <w:rPr>
          <w:rFonts w:cs="宋体" w:asciiTheme="minorEastAsia" w:hAnsiTheme="minorEastAsia" w:eastAsiaTheme="minorEastAsia"/>
          <w:b/>
          <w:color w:val="auto"/>
          <w:szCs w:val="24"/>
          <w:highlight w:val="none"/>
        </w:rPr>
        <w:t>动态评估</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各部室、站区按照职责每年对所管辖业务、区域进行风险动态评估，发生生产安全事故和重大道路交通事故（涉及运营管理单位责任）后应当立即开展评估，评估风险事件、致险因素、风险等级、管控措施的变化情况，并将评估结果上报公司安全管理部，安全管理部对公司风险管理情况进行汇总。</w:t>
      </w:r>
    </w:p>
    <w:p>
      <w:pPr>
        <w:widowControl w:val="0"/>
        <w:spacing w:after="0" w:line="240" w:lineRule="auto"/>
        <w:ind w:left="0" w:firstLine="442" w:firstLineChars="200"/>
        <w:jc w:val="center"/>
        <w:rPr>
          <w:rFonts w:cs="Times New Roman" w:asciiTheme="minorEastAsia" w:hAnsiTheme="minorEastAsia" w:eastAsiaTheme="minorEastAsia"/>
          <w:b/>
          <w:color w:val="auto"/>
          <w:sz w:val="22"/>
          <w:szCs w:val="28"/>
          <w:highlight w:val="none"/>
        </w:rPr>
      </w:pPr>
      <w:r>
        <w:rPr>
          <w:rFonts w:hint="eastAsia" w:cs="Times New Roman" w:asciiTheme="minorEastAsia" w:hAnsiTheme="minorEastAsia" w:eastAsiaTheme="minorEastAsia"/>
          <w:b/>
          <w:color w:val="auto"/>
          <w:sz w:val="22"/>
          <w:szCs w:val="28"/>
          <w:highlight w:val="none"/>
        </w:rPr>
        <w:t>表3-1</w:t>
      </w:r>
      <w:r>
        <w:rPr>
          <w:rFonts w:cs="Times New Roman" w:asciiTheme="minorEastAsia" w:hAnsiTheme="minorEastAsia" w:eastAsiaTheme="minorEastAsia"/>
          <w:b/>
          <w:color w:val="auto"/>
          <w:sz w:val="22"/>
          <w:szCs w:val="28"/>
          <w:highlight w:val="none"/>
        </w:rPr>
        <w:t>9</w:t>
      </w:r>
      <w:r>
        <w:rPr>
          <w:rFonts w:hint="eastAsia" w:cs="Times New Roman" w:asciiTheme="minorEastAsia" w:hAnsiTheme="minorEastAsia" w:eastAsiaTheme="minorEastAsia"/>
          <w:b/>
          <w:color w:val="auto"/>
          <w:sz w:val="22"/>
          <w:szCs w:val="28"/>
          <w:highlight w:val="none"/>
        </w:rPr>
        <w:t>风险动态评估表</w:t>
      </w:r>
    </w:p>
    <w:p>
      <w:pPr>
        <w:widowControl w:val="0"/>
        <w:spacing w:after="0" w:line="360" w:lineRule="auto"/>
        <w:ind w:left="0" w:firstLine="0"/>
        <w:jc w:val="both"/>
        <w:rPr>
          <w:rFonts w:cs="宋体" w:asciiTheme="minorEastAsia" w:hAnsiTheme="minorEastAsia" w:eastAsiaTheme="minorEastAsia"/>
          <w:color w:val="auto"/>
          <w:szCs w:val="24"/>
          <w:highlight w:val="none"/>
        </w:rPr>
      </w:pPr>
      <w:r>
        <w:rPr>
          <w:color w:val="auto"/>
          <w:highlight w:val="none"/>
        </w:rPr>
        <w:drawing>
          <wp:inline distT="0" distB="0" distL="0" distR="0">
            <wp:extent cx="5274310" cy="23177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stretch>
                      <a:fillRect/>
                    </a:stretch>
                  </pic:blipFill>
                  <pic:spPr>
                    <a:xfrm>
                      <a:off x="0" y="0"/>
                      <a:ext cx="5274310" cy="2317750"/>
                    </a:xfrm>
                    <a:prstGeom prst="rect">
                      <a:avLst/>
                    </a:prstGeom>
                  </pic:spPr>
                </pic:pic>
              </a:graphicData>
            </a:graphic>
          </wp:inline>
        </w:drawing>
      </w:r>
    </w:p>
    <w:p>
      <w:pPr>
        <w:widowControl w:val="0"/>
        <w:spacing w:after="0" w:line="360" w:lineRule="auto"/>
        <w:ind w:left="0" w:firstLine="0"/>
        <w:jc w:val="both"/>
        <w:rPr>
          <w:rFonts w:cs="宋体" w:asciiTheme="minorEastAsia" w:hAnsiTheme="minorEastAsia" w:eastAsiaTheme="minorEastAsia"/>
          <w:color w:val="auto"/>
          <w:szCs w:val="24"/>
          <w:highlight w:val="none"/>
        </w:rPr>
      </w:pPr>
      <w:r>
        <w:rPr>
          <w:color w:val="auto"/>
          <w:highlight w:val="none"/>
        </w:rPr>
        <w:drawing>
          <wp:inline distT="0" distB="0" distL="0" distR="0">
            <wp:extent cx="5274310" cy="232219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stretch>
                      <a:fillRect/>
                    </a:stretch>
                  </pic:blipFill>
                  <pic:spPr>
                    <a:xfrm>
                      <a:off x="0" y="0"/>
                      <a:ext cx="5274310" cy="2322195"/>
                    </a:xfrm>
                    <a:prstGeom prst="rect">
                      <a:avLst/>
                    </a:prstGeom>
                  </pic:spPr>
                </pic:pic>
              </a:graphicData>
            </a:graphic>
          </wp:inline>
        </w:drawing>
      </w:r>
    </w:p>
    <w:p>
      <w:pPr>
        <w:widowControl w:val="0"/>
        <w:spacing w:after="0" w:line="360" w:lineRule="auto"/>
        <w:ind w:left="0" w:firstLine="0"/>
        <w:jc w:val="both"/>
        <w:rPr>
          <w:rFonts w:cs="宋体" w:asciiTheme="minorEastAsia" w:hAnsiTheme="minorEastAsia" w:eastAsiaTheme="minorEastAsia"/>
          <w:color w:val="auto"/>
          <w:szCs w:val="24"/>
          <w:highlight w:val="none"/>
        </w:rPr>
      </w:pPr>
      <w:r>
        <w:rPr>
          <w:color w:val="auto"/>
          <w:highlight w:val="none"/>
        </w:rPr>
        <w:drawing>
          <wp:inline distT="0" distB="0" distL="0" distR="0">
            <wp:extent cx="5274310" cy="23329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cstate="print"/>
                    <a:stretch>
                      <a:fillRect/>
                    </a:stretch>
                  </pic:blipFill>
                  <pic:spPr>
                    <a:xfrm>
                      <a:off x="0" y="0"/>
                      <a:ext cx="5274310" cy="2332990"/>
                    </a:xfrm>
                    <a:prstGeom prst="rect">
                      <a:avLst/>
                    </a:prstGeom>
                  </pic:spPr>
                </pic:pic>
              </a:graphicData>
            </a:graphic>
          </wp:inline>
        </w:drawing>
      </w:r>
    </w:p>
    <w:p>
      <w:pPr>
        <w:widowControl w:val="0"/>
        <w:spacing w:after="0" w:line="360" w:lineRule="auto"/>
        <w:ind w:left="0" w:firstLine="0"/>
        <w:jc w:val="both"/>
        <w:rPr>
          <w:rFonts w:cs="宋体" w:asciiTheme="minorEastAsia" w:hAnsiTheme="minorEastAsia" w:eastAsiaTheme="minorEastAsia"/>
          <w:color w:val="auto"/>
          <w:szCs w:val="24"/>
          <w:highlight w:val="none"/>
        </w:rPr>
      </w:pPr>
      <w:r>
        <w:rPr>
          <w:color w:val="auto"/>
          <w:highlight w:val="none"/>
        </w:rPr>
        <w:drawing>
          <wp:inline distT="0" distB="0" distL="0" distR="0">
            <wp:extent cx="5274310" cy="2316480"/>
            <wp:effectExtent l="0" t="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cstate="print"/>
                    <a:stretch>
                      <a:fillRect/>
                    </a:stretch>
                  </pic:blipFill>
                  <pic:spPr>
                    <a:xfrm>
                      <a:off x="0" y="0"/>
                      <a:ext cx="5274310" cy="2316480"/>
                    </a:xfrm>
                    <a:prstGeom prst="rect">
                      <a:avLst/>
                    </a:prstGeom>
                  </pic:spPr>
                </pic:pic>
              </a:graphicData>
            </a:graphic>
          </wp:inline>
        </w:drawing>
      </w:r>
    </w:p>
    <w:p>
      <w:pPr>
        <w:spacing w:after="0" w:line="240" w:lineRule="auto"/>
        <w:ind w:left="0" w:firstLine="0"/>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br w:type="page"/>
      </w:r>
    </w:p>
    <w:p>
      <w:pPr>
        <w:spacing w:after="0" w:line="360" w:lineRule="auto"/>
        <w:ind w:left="11" w:hanging="11" w:hangingChars="4"/>
        <w:outlineLvl w:val="1"/>
        <w:rPr>
          <w:rFonts w:asciiTheme="minorEastAsia" w:hAnsiTheme="minorEastAsia" w:eastAsiaTheme="minorEastAsia"/>
          <w:b/>
          <w:color w:val="auto"/>
          <w:sz w:val="28"/>
          <w:szCs w:val="28"/>
          <w:highlight w:val="none"/>
        </w:rPr>
      </w:pPr>
      <w:bookmarkStart w:id="37" w:name="_Toc104735773"/>
      <w:bookmarkStart w:id="38" w:name="_Toc2179420"/>
      <w:r>
        <w:rPr>
          <w:rFonts w:hint="eastAsia" w:asciiTheme="minorEastAsia" w:hAnsiTheme="minorEastAsia" w:eastAsiaTheme="minorEastAsia"/>
          <w:b/>
          <w:color w:val="auto"/>
          <w:sz w:val="28"/>
          <w:szCs w:val="28"/>
          <w:highlight w:val="none"/>
        </w:rPr>
        <w:t>3.1</w:t>
      </w:r>
      <w:r>
        <w:rPr>
          <w:rFonts w:asciiTheme="minorEastAsia" w:hAnsiTheme="minorEastAsia" w:eastAsiaTheme="minorEastAsia"/>
          <w:b/>
          <w:color w:val="auto"/>
          <w:sz w:val="28"/>
          <w:szCs w:val="28"/>
          <w:highlight w:val="none"/>
        </w:rPr>
        <w:t>2</w:t>
      </w:r>
      <w:r>
        <w:rPr>
          <w:rFonts w:hint="eastAsia" w:asciiTheme="minorEastAsia" w:hAnsiTheme="minorEastAsia" w:eastAsiaTheme="minorEastAsia"/>
          <w:b/>
          <w:color w:val="auto"/>
          <w:sz w:val="28"/>
          <w:szCs w:val="28"/>
          <w:highlight w:val="none"/>
        </w:rPr>
        <w:t>较大及以上风险管控</w:t>
      </w:r>
      <w:bookmarkEnd w:id="37"/>
    </w:p>
    <w:bookmarkEnd w:id="38"/>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3.1</w:t>
      </w:r>
      <w:r>
        <w:rPr>
          <w:rFonts w:cs="宋体" w:asciiTheme="minorEastAsia" w:hAnsiTheme="minorEastAsia" w:eastAsiaTheme="minorEastAsia"/>
          <w:b/>
          <w:color w:val="auto"/>
          <w:szCs w:val="24"/>
          <w:highlight w:val="none"/>
        </w:rPr>
        <w:t>2</w:t>
      </w:r>
      <w:r>
        <w:rPr>
          <w:rFonts w:hint="eastAsia" w:cs="宋体" w:asciiTheme="minorEastAsia" w:hAnsiTheme="minorEastAsia" w:eastAsiaTheme="minorEastAsia"/>
          <w:b/>
          <w:color w:val="auto"/>
          <w:szCs w:val="24"/>
          <w:highlight w:val="none"/>
        </w:rPr>
        <w:t>.1 管理要求</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（1）重点管控措施</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对较大及以上安全风险应单独建立《较大及以上风险清单》和《较大及以上风险信息登记表》，采取如下措施进行重点管控：</w:t>
      </w:r>
    </w:p>
    <w:p>
      <w:pPr>
        <w:pStyle w:val="49"/>
        <w:widowControl w:val="0"/>
        <w:numPr>
          <w:ilvl w:val="0"/>
          <w:numId w:val="3"/>
        </w:numPr>
        <w:spacing w:after="0" w:line="480" w:lineRule="exact"/>
        <w:ind w:firstLineChars="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制定动态监测</w:t>
      </w:r>
      <w:r>
        <w:rPr>
          <w:rFonts w:hint="eastAsia" w:cs="宋体" w:asciiTheme="minorEastAsia" w:hAnsiTheme="minorEastAsia" w:eastAsiaTheme="minorEastAsia"/>
          <w:color w:val="auto"/>
          <w:szCs w:val="24"/>
          <w:highlight w:val="none"/>
        </w:rPr>
        <w:t>表</w:t>
      </w:r>
      <w:r>
        <w:rPr>
          <w:rFonts w:cs="宋体" w:asciiTheme="minorEastAsia" w:hAnsiTheme="minorEastAsia" w:eastAsiaTheme="minorEastAsia"/>
          <w:color w:val="auto"/>
          <w:szCs w:val="24"/>
          <w:highlight w:val="none"/>
        </w:rPr>
        <w:t>，</w:t>
      </w:r>
      <w:r>
        <w:rPr>
          <w:rFonts w:hint="eastAsia" w:cs="宋体" w:asciiTheme="minorEastAsia" w:hAnsiTheme="minorEastAsia" w:eastAsiaTheme="minorEastAsia"/>
          <w:color w:val="auto"/>
          <w:szCs w:val="24"/>
          <w:highlight w:val="none"/>
        </w:rPr>
        <w:t>实行</w:t>
      </w:r>
      <w:r>
        <w:rPr>
          <w:rFonts w:cs="宋体" w:asciiTheme="minorEastAsia" w:hAnsiTheme="minorEastAsia" w:eastAsiaTheme="minorEastAsia"/>
          <w:color w:val="auto"/>
          <w:szCs w:val="24"/>
          <w:highlight w:val="none"/>
        </w:rPr>
        <w:t>动态监测；</w:t>
      </w:r>
    </w:p>
    <w:p>
      <w:pPr>
        <w:pStyle w:val="49"/>
        <w:widowControl w:val="0"/>
        <w:numPr>
          <w:ilvl w:val="0"/>
          <w:numId w:val="3"/>
        </w:numPr>
        <w:spacing w:after="0" w:line="480" w:lineRule="exact"/>
        <w:ind w:firstLineChars="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制定专项管控方案</w:t>
      </w:r>
      <w:r>
        <w:rPr>
          <w:rFonts w:hint="eastAsia" w:cs="宋体" w:asciiTheme="minorEastAsia" w:hAnsiTheme="minorEastAsia" w:eastAsiaTheme="minorEastAsia"/>
          <w:color w:val="auto"/>
          <w:szCs w:val="24"/>
          <w:highlight w:val="none"/>
        </w:rPr>
        <w:t>，实行重点管控。</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（2）风险登记时限</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较大及以上风险登记包括初次、定期和动态三种方式，如实记录至《较大及以上风险信息登记表》，登记表应包括风险基本信息、管控信息、预警信息和事故信息等内容。</w:t>
      </w:r>
    </w:p>
    <w:p>
      <w:pPr>
        <w:pStyle w:val="49"/>
        <w:widowControl w:val="0"/>
        <w:numPr>
          <w:ilvl w:val="0"/>
          <w:numId w:val="3"/>
        </w:numPr>
        <w:spacing w:after="0" w:line="480" w:lineRule="exact"/>
        <w:ind w:firstLineChars="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初次登记在评估确定较大及以上安全风险后。</w:t>
      </w:r>
    </w:p>
    <w:p>
      <w:pPr>
        <w:pStyle w:val="49"/>
        <w:widowControl w:val="0"/>
        <w:numPr>
          <w:ilvl w:val="0"/>
          <w:numId w:val="3"/>
        </w:numPr>
        <w:spacing w:after="0" w:line="480" w:lineRule="exact"/>
        <w:ind w:firstLineChars="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定期登记采取季度和年度登记两种方式。</w:t>
      </w:r>
    </w:p>
    <w:p>
      <w:pPr>
        <w:pStyle w:val="49"/>
        <w:widowControl w:val="0"/>
        <w:numPr>
          <w:ilvl w:val="0"/>
          <w:numId w:val="3"/>
        </w:numPr>
        <w:spacing w:after="0" w:line="480" w:lineRule="exact"/>
        <w:ind w:firstLineChars="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发现较大及以上安全风险的致险因素超出管控范围，或出现新的致险因素，导致发生安全生产事故概率显著增加或预估后果加重时，应</w:t>
      </w:r>
      <w:r>
        <w:rPr>
          <w:rFonts w:hint="eastAsia" w:cs="宋体" w:asciiTheme="minorEastAsia" w:hAnsiTheme="minorEastAsia" w:eastAsiaTheme="minorEastAsia"/>
          <w:color w:val="auto"/>
          <w:szCs w:val="24"/>
          <w:highlight w:val="none"/>
        </w:rPr>
        <w:t>及时</w:t>
      </w:r>
      <w:r>
        <w:rPr>
          <w:rFonts w:cs="宋体" w:asciiTheme="minorEastAsia" w:hAnsiTheme="minorEastAsia" w:eastAsiaTheme="minorEastAsia"/>
          <w:color w:val="auto"/>
          <w:szCs w:val="24"/>
          <w:highlight w:val="none"/>
        </w:rPr>
        <w:t>进行动态登记。</w:t>
      </w:r>
    </w:p>
    <w:p>
      <w:pPr>
        <w:pStyle w:val="49"/>
        <w:widowControl w:val="0"/>
        <w:numPr>
          <w:ilvl w:val="0"/>
          <w:numId w:val="3"/>
        </w:numPr>
        <w:spacing w:after="0" w:line="480" w:lineRule="exact"/>
        <w:ind w:firstLineChars="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较大及以上安全风险经评估确定等级降低或解除的，应</w:t>
      </w:r>
      <w:r>
        <w:rPr>
          <w:rFonts w:hint="eastAsia" w:cs="宋体" w:asciiTheme="minorEastAsia" w:hAnsiTheme="minorEastAsia" w:eastAsiaTheme="minorEastAsia"/>
          <w:color w:val="auto"/>
          <w:szCs w:val="24"/>
          <w:highlight w:val="none"/>
        </w:rPr>
        <w:t>及时</w:t>
      </w:r>
      <w:r>
        <w:rPr>
          <w:rFonts w:cs="宋体" w:asciiTheme="minorEastAsia" w:hAnsiTheme="minorEastAsia" w:eastAsiaTheme="minorEastAsia"/>
          <w:color w:val="auto"/>
          <w:szCs w:val="24"/>
          <w:highlight w:val="none"/>
        </w:rPr>
        <w:t>向上级单位申请销号。</w:t>
      </w:r>
    </w:p>
    <w:p>
      <w:pPr>
        <w:pStyle w:val="49"/>
        <w:widowControl w:val="0"/>
        <w:numPr>
          <w:ilvl w:val="0"/>
          <w:numId w:val="3"/>
        </w:numPr>
        <w:spacing w:after="0" w:line="480" w:lineRule="exact"/>
        <w:ind w:firstLineChars="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较大及以上安全风险管控失效发生安全生产事故的，应急处置和调查处理结束后，应</w:t>
      </w:r>
      <w:r>
        <w:rPr>
          <w:rFonts w:hint="eastAsia" w:cs="宋体" w:asciiTheme="minorEastAsia" w:hAnsiTheme="minorEastAsia" w:eastAsiaTheme="minorEastAsia"/>
          <w:color w:val="auto"/>
          <w:szCs w:val="24"/>
          <w:highlight w:val="none"/>
        </w:rPr>
        <w:t>及时</w:t>
      </w:r>
      <w:r>
        <w:rPr>
          <w:rFonts w:cs="宋体" w:asciiTheme="minorEastAsia" w:hAnsiTheme="minorEastAsia" w:eastAsiaTheme="minorEastAsia"/>
          <w:color w:val="auto"/>
          <w:szCs w:val="24"/>
          <w:highlight w:val="none"/>
        </w:rPr>
        <w:t>进行评估总结，明确改进措施，按规定时限报送至</w:t>
      </w:r>
      <w:r>
        <w:rPr>
          <w:rFonts w:hint="eastAsia" w:cs="宋体" w:asciiTheme="minorEastAsia" w:hAnsiTheme="minorEastAsia" w:eastAsiaTheme="minorEastAsia"/>
          <w:color w:val="auto"/>
          <w:szCs w:val="24"/>
          <w:highlight w:val="none"/>
        </w:rPr>
        <w:t>上级</w:t>
      </w:r>
      <w:r>
        <w:rPr>
          <w:rFonts w:cs="宋体" w:asciiTheme="minorEastAsia" w:hAnsiTheme="minorEastAsia" w:eastAsiaTheme="minorEastAsia"/>
          <w:color w:val="auto"/>
          <w:szCs w:val="24"/>
          <w:highlight w:val="none"/>
        </w:rPr>
        <w:t>单位。</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（3）登记报备要求</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公司各部室、站区定期对管辖业务及单位范围内的风险进行辨识，建立风险分级管控清单，上报至公司安全管理部。安全管理部按规定对较大及以上风险清单向上级单位报告，对存在危险化学品重大危险源的，经集团公司确认后，还应报送属地应急管理部门。</w:t>
      </w:r>
    </w:p>
    <w:p>
      <w:pPr>
        <w:pStyle w:val="49"/>
        <w:widowControl w:val="0"/>
        <w:numPr>
          <w:ilvl w:val="0"/>
          <w:numId w:val="3"/>
        </w:numPr>
        <w:spacing w:after="0" w:line="480" w:lineRule="exact"/>
        <w:ind w:firstLineChars="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初次报送：确定为较大及以上风险</w:t>
      </w:r>
      <w:r>
        <w:rPr>
          <w:rFonts w:hint="eastAsia" w:cs="宋体" w:asciiTheme="minorEastAsia" w:hAnsiTheme="minorEastAsia" w:eastAsiaTheme="minorEastAsia"/>
          <w:color w:val="auto"/>
          <w:szCs w:val="24"/>
          <w:highlight w:val="none"/>
        </w:rPr>
        <w:t>后</w:t>
      </w:r>
      <w:r>
        <w:rPr>
          <w:rFonts w:cs="宋体" w:asciiTheme="minorEastAsia" w:hAnsiTheme="minorEastAsia" w:eastAsiaTheme="minorEastAsia"/>
          <w:color w:val="auto"/>
          <w:szCs w:val="24"/>
          <w:highlight w:val="none"/>
        </w:rPr>
        <w:t>。</w:t>
      </w:r>
    </w:p>
    <w:p>
      <w:pPr>
        <w:pStyle w:val="49"/>
        <w:widowControl w:val="0"/>
        <w:numPr>
          <w:ilvl w:val="0"/>
          <w:numId w:val="3"/>
        </w:numPr>
        <w:spacing w:after="0" w:line="480" w:lineRule="exact"/>
        <w:ind w:firstLineChars="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定期报送：按上级相关要求报送。</w:t>
      </w:r>
    </w:p>
    <w:p>
      <w:pPr>
        <w:pStyle w:val="49"/>
        <w:widowControl w:val="0"/>
        <w:numPr>
          <w:ilvl w:val="0"/>
          <w:numId w:val="3"/>
        </w:numPr>
        <w:spacing w:after="0" w:line="480" w:lineRule="exact"/>
        <w:ind w:firstLineChars="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动态报送：风险发生变化后及时报送。</w:t>
      </w:r>
    </w:p>
    <w:p>
      <w:pPr>
        <w:spacing w:after="0" w:line="240" w:lineRule="auto"/>
        <w:ind w:left="0" w:firstLine="0"/>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br w:type="page"/>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3.1</w:t>
      </w:r>
      <w:r>
        <w:rPr>
          <w:rFonts w:cs="宋体" w:asciiTheme="minorEastAsia" w:hAnsiTheme="minorEastAsia" w:eastAsiaTheme="minorEastAsia"/>
          <w:b/>
          <w:color w:val="auto"/>
          <w:szCs w:val="24"/>
          <w:highlight w:val="none"/>
        </w:rPr>
        <w:t>2</w:t>
      </w:r>
      <w:r>
        <w:rPr>
          <w:rFonts w:hint="eastAsia" w:cs="宋体" w:asciiTheme="minorEastAsia" w:hAnsiTheme="minorEastAsia" w:eastAsiaTheme="minorEastAsia"/>
          <w:b/>
          <w:color w:val="auto"/>
          <w:szCs w:val="24"/>
          <w:highlight w:val="none"/>
        </w:rPr>
        <w:t>.2较大及以上风险清单</w:t>
      </w:r>
    </w:p>
    <w:p>
      <w:pPr>
        <w:widowControl w:val="0"/>
        <w:spacing w:beforeLines="50" w:afterLines="50" w:line="480" w:lineRule="exact"/>
        <w:ind w:left="0" w:firstLine="482"/>
        <w:jc w:val="center"/>
        <w:rPr>
          <w:rFonts w:cs="仿宋_GB2312" w:asciiTheme="minorEastAsia" w:hAnsiTheme="minorEastAsia" w:eastAsiaTheme="minorEastAsia"/>
          <w:b/>
          <w:color w:val="auto"/>
          <w:sz w:val="21"/>
          <w:szCs w:val="21"/>
          <w:highlight w:val="none"/>
        </w:rPr>
      </w:pPr>
      <w:r>
        <w:rPr>
          <w:rFonts w:cs="仿宋_GB2312" w:asciiTheme="minorEastAsia" w:hAnsiTheme="minorEastAsia" w:eastAsiaTheme="minorEastAsia"/>
          <w:b/>
          <w:color w:val="auto"/>
          <w:sz w:val="21"/>
          <w:szCs w:val="21"/>
          <w:highlight w:val="none"/>
        </w:rPr>
        <w:t>表</w:t>
      </w:r>
      <w:r>
        <w:rPr>
          <w:rFonts w:hint="eastAsia" w:cs="仿宋_GB2312" w:asciiTheme="minorEastAsia" w:hAnsiTheme="minorEastAsia" w:eastAsiaTheme="minorEastAsia"/>
          <w:b/>
          <w:color w:val="auto"/>
          <w:sz w:val="21"/>
          <w:szCs w:val="21"/>
          <w:highlight w:val="none"/>
        </w:rPr>
        <w:t>3-</w:t>
      </w:r>
      <w:r>
        <w:rPr>
          <w:rFonts w:cs="仿宋_GB2312" w:asciiTheme="minorEastAsia" w:hAnsiTheme="minorEastAsia" w:eastAsiaTheme="minorEastAsia"/>
          <w:b/>
          <w:color w:val="auto"/>
          <w:sz w:val="21"/>
          <w:szCs w:val="21"/>
          <w:highlight w:val="none"/>
        </w:rPr>
        <w:t>20较大及以上风险清单</w:t>
      </w:r>
    </w:p>
    <w:p>
      <w:pPr>
        <w:spacing w:after="0" w:line="360" w:lineRule="exact"/>
        <w:ind w:left="0"/>
        <w:rPr>
          <w:rFonts w:cs="宋体"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单位名称（盖章）</w:t>
      </w:r>
      <w:r>
        <w:rPr>
          <w:rFonts w:hint="eastAsia" w:cs="Times New Roman" w:asciiTheme="minorEastAsia" w:hAnsiTheme="minorEastAsia" w:eastAsiaTheme="minorEastAsia"/>
          <w:b/>
          <w:color w:val="auto"/>
          <w:kern w:val="0"/>
          <w:sz w:val="21"/>
          <w:szCs w:val="21"/>
          <w:highlight w:val="none"/>
        </w:rPr>
        <w:t xml:space="preserve">： </w:t>
      </w:r>
      <w:r>
        <w:rPr>
          <w:rFonts w:cs="Times New Roman" w:asciiTheme="minorEastAsia" w:hAnsiTheme="minorEastAsia" w:eastAsiaTheme="minorEastAsia"/>
          <w:b/>
          <w:color w:val="auto"/>
          <w:kern w:val="0"/>
          <w:sz w:val="21"/>
          <w:szCs w:val="21"/>
          <w:highlight w:val="none"/>
          <w:u w:val="single"/>
        </w:rPr>
        <w:t xml:space="preserve">                 </w:t>
      </w:r>
      <w:r>
        <w:rPr>
          <w:rFonts w:cs="宋体" w:asciiTheme="minorEastAsia" w:hAnsiTheme="minorEastAsia" w:eastAsiaTheme="minorEastAsia"/>
          <w:b/>
          <w:color w:val="auto"/>
          <w:sz w:val="21"/>
          <w:szCs w:val="21"/>
          <w:highlight w:val="none"/>
        </w:rPr>
        <w:t xml:space="preserve">  </w:t>
      </w:r>
    </w:p>
    <w:p>
      <w:pPr>
        <w:jc w:val="center"/>
        <w:rPr>
          <w:rFonts w:ascii="微软雅黑" w:hAnsi="微软雅黑" w:eastAsia="微软雅黑" w:cs="方正小标宋_GBK"/>
          <w:b/>
          <w:bCs/>
          <w:color w:val="000000" w:themeColor="text1"/>
          <w:sz w:val="36"/>
        </w:rPr>
      </w:pPr>
      <w:r>
        <w:rPr>
          <w:rFonts w:hint="eastAsia" w:ascii="微软雅黑" w:hAnsi="微软雅黑" w:eastAsia="微软雅黑" w:cs="方正小标宋_GBK"/>
          <w:b/>
          <w:bCs/>
          <w:color w:val="000000" w:themeColor="text1"/>
          <w:sz w:val="36"/>
        </w:rPr>
        <w:t>较大及以上风险清单</w:t>
      </w:r>
    </w:p>
    <w:tbl>
      <w:tblPr>
        <w:tblStyle w:val="27"/>
        <w:tblW w:w="4867" w:type="pct"/>
        <w:jc w:val="center"/>
        <w:tblLayout w:type="autofit"/>
        <w:tblCellMar>
          <w:top w:w="0" w:type="dxa"/>
          <w:left w:w="10" w:type="dxa"/>
          <w:bottom w:w="0" w:type="dxa"/>
          <w:right w:w="10" w:type="dxa"/>
        </w:tblCellMar>
      </w:tblPr>
      <w:tblGrid>
        <w:gridCol w:w="733"/>
        <w:gridCol w:w="1808"/>
        <w:gridCol w:w="1739"/>
        <w:gridCol w:w="1292"/>
        <w:gridCol w:w="1408"/>
        <w:gridCol w:w="1315"/>
      </w:tblGrid>
      <w:tr>
        <w:tblPrEx>
          <w:tblCellMar>
            <w:top w:w="0" w:type="dxa"/>
            <w:left w:w="10" w:type="dxa"/>
            <w:bottom w:w="0" w:type="dxa"/>
            <w:right w:w="10" w:type="dxa"/>
          </w:tblCellMar>
        </w:tblPrEx>
        <w:trPr>
          <w:trHeight w:val="793" w:hRule="atLeast"/>
          <w:jc w:val="center"/>
        </w:trPr>
        <w:tc>
          <w:tcPr>
            <w:tcW w:w="442" w:type="pct"/>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宋体"/>
                <w:color w:val="000000" w:themeColor="text1"/>
                <w:szCs w:val="21"/>
              </w:rPr>
            </w:pPr>
            <w:r>
              <w:rPr>
                <w:rFonts w:hint="eastAsia" w:ascii="微软雅黑" w:hAnsi="微软雅黑" w:eastAsia="微软雅黑" w:cs="宋体"/>
                <w:color w:val="000000" w:themeColor="text1"/>
                <w:szCs w:val="21"/>
              </w:rPr>
              <w:t>序号</w:t>
            </w:r>
          </w:p>
        </w:tc>
        <w:tc>
          <w:tcPr>
            <w:tcW w:w="1090" w:type="pct"/>
            <w:tcBorders>
              <w:top w:val="single" w:color="000000" w:sz="6" w:space="0"/>
              <w:left w:val="single" w:color="000000" w:sz="6" w:space="0"/>
              <w:bottom w:val="single" w:color="000000" w:sz="4" w:space="0"/>
              <w:right w:val="single" w:color="auto" w:sz="4" w:space="0"/>
            </w:tcBorders>
            <w:shd w:val="clear" w:color="000000" w:fill="FFFFFF"/>
            <w:tcMar>
              <w:left w:w="108" w:type="dxa"/>
              <w:right w:w="108" w:type="dxa"/>
            </w:tcMar>
            <w:vAlign w:val="center"/>
          </w:tcPr>
          <w:p>
            <w:pPr>
              <w:spacing w:line="480" w:lineRule="exact"/>
              <w:jc w:val="center"/>
              <w:rPr>
                <w:rFonts w:ascii="微软雅黑" w:hAnsi="微软雅黑" w:eastAsia="微软雅黑" w:cs="宋体"/>
                <w:color w:val="000000" w:themeColor="text1"/>
                <w:szCs w:val="21"/>
              </w:rPr>
            </w:pPr>
            <w:r>
              <w:rPr>
                <w:rFonts w:hint="eastAsia" w:ascii="微软雅黑" w:hAnsi="微软雅黑" w:eastAsia="微软雅黑"/>
                <w:color w:val="000000" w:themeColor="text1"/>
                <w:szCs w:val="21"/>
              </w:rPr>
              <w:t>风险辨识范围</w:t>
            </w:r>
          </w:p>
        </w:tc>
        <w:tc>
          <w:tcPr>
            <w:tcW w:w="1048" w:type="pct"/>
            <w:tcBorders>
              <w:top w:val="single" w:color="000000" w:sz="6"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宋体"/>
                <w:color w:val="000000" w:themeColor="text1"/>
                <w:szCs w:val="21"/>
              </w:rPr>
            </w:pPr>
            <w:r>
              <w:rPr>
                <w:rFonts w:hint="eastAsia" w:ascii="微软雅黑" w:hAnsi="微软雅黑" w:eastAsia="微软雅黑"/>
                <w:color w:val="000000" w:themeColor="text1"/>
                <w:szCs w:val="21"/>
              </w:rPr>
              <w:t>单元/作业/部位</w:t>
            </w:r>
          </w:p>
        </w:tc>
        <w:tc>
          <w:tcPr>
            <w:tcW w:w="779" w:type="pct"/>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color w:val="000000" w:themeColor="text1"/>
                <w:szCs w:val="21"/>
              </w:rPr>
            </w:pPr>
            <w:r>
              <w:rPr>
                <w:rFonts w:ascii="微软雅黑" w:hAnsi="微软雅黑" w:eastAsia="微软雅黑" w:cs="仿宋_GB2312"/>
                <w:color w:val="000000" w:themeColor="text1"/>
                <w:szCs w:val="21"/>
              </w:rPr>
              <w:t>风险名称</w:t>
            </w:r>
          </w:p>
        </w:tc>
        <w:tc>
          <w:tcPr>
            <w:tcW w:w="849" w:type="pct"/>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color w:val="000000" w:themeColor="text1"/>
                <w:szCs w:val="21"/>
              </w:rPr>
            </w:pPr>
            <w:r>
              <w:rPr>
                <w:rFonts w:ascii="微软雅黑" w:hAnsi="微软雅黑" w:eastAsia="微软雅黑" w:cs="仿宋_GB2312"/>
                <w:color w:val="000000" w:themeColor="text1"/>
                <w:szCs w:val="21"/>
              </w:rPr>
              <w:t>风险等级</w:t>
            </w:r>
          </w:p>
        </w:tc>
        <w:tc>
          <w:tcPr>
            <w:tcW w:w="789" w:type="pct"/>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color w:val="000000" w:themeColor="text1"/>
                <w:szCs w:val="21"/>
              </w:rPr>
            </w:pPr>
            <w:r>
              <w:rPr>
                <w:rFonts w:ascii="微软雅黑" w:hAnsi="微软雅黑" w:eastAsia="微软雅黑" w:cs="仿宋_GB2312"/>
                <w:color w:val="000000" w:themeColor="text1"/>
                <w:szCs w:val="21"/>
              </w:rPr>
              <w:t>登记编号</w:t>
            </w:r>
          </w:p>
        </w:tc>
      </w:tr>
      <w:tr>
        <w:tblPrEx>
          <w:tblCellMar>
            <w:top w:w="0" w:type="dxa"/>
            <w:left w:w="10" w:type="dxa"/>
            <w:bottom w:w="0" w:type="dxa"/>
            <w:right w:w="10" w:type="dxa"/>
          </w:tblCellMar>
        </w:tblPrEx>
        <w:trPr>
          <w:trHeight w:val="954" w:hRule="atLeast"/>
          <w:jc w:val="center"/>
        </w:trPr>
        <w:tc>
          <w:tcPr>
            <w:tcW w:w="442" w:type="pct"/>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宋体"/>
                <w:b/>
                <w:color w:val="000000" w:themeColor="text1"/>
                <w:szCs w:val="21"/>
              </w:rPr>
            </w:pPr>
          </w:p>
        </w:tc>
        <w:tc>
          <w:tcPr>
            <w:tcW w:w="1090" w:type="pct"/>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spacing w:line="480" w:lineRule="exact"/>
              <w:jc w:val="center"/>
              <w:rPr>
                <w:rFonts w:ascii="微软雅黑" w:hAnsi="微软雅黑" w:eastAsia="微软雅黑"/>
                <w:b/>
                <w:color w:val="000000" w:themeColor="text1"/>
                <w:szCs w:val="21"/>
              </w:rPr>
            </w:pPr>
          </w:p>
        </w:tc>
        <w:tc>
          <w:tcPr>
            <w:tcW w:w="1048" w:type="pct"/>
            <w:tcBorders>
              <w:top w:val="single" w:color="000000" w:sz="6" w:space="0"/>
              <w:left w:val="single" w:color="auto" w:sz="4"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b/>
                <w:color w:val="000000" w:themeColor="text1"/>
                <w:szCs w:val="21"/>
              </w:rPr>
            </w:pPr>
          </w:p>
        </w:tc>
        <w:tc>
          <w:tcPr>
            <w:tcW w:w="77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c>
          <w:tcPr>
            <w:tcW w:w="84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c>
          <w:tcPr>
            <w:tcW w:w="78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r>
      <w:tr>
        <w:tblPrEx>
          <w:tblCellMar>
            <w:top w:w="0" w:type="dxa"/>
            <w:left w:w="10" w:type="dxa"/>
            <w:bottom w:w="0" w:type="dxa"/>
            <w:right w:w="10" w:type="dxa"/>
          </w:tblCellMar>
        </w:tblPrEx>
        <w:trPr>
          <w:trHeight w:val="954" w:hRule="atLeast"/>
          <w:jc w:val="center"/>
        </w:trPr>
        <w:tc>
          <w:tcPr>
            <w:tcW w:w="442" w:type="pct"/>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宋体"/>
                <w:b/>
                <w:color w:val="000000" w:themeColor="text1"/>
                <w:szCs w:val="21"/>
              </w:rPr>
            </w:pPr>
          </w:p>
        </w:tc>
        <w:tc>
          <w:tcPr>
            <w:tcW w:w="1090" w:type="pct"/>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spacing w:line="480" w:lineRule="exact"/>
              <w:jc w:val="center"/>
              <w:rPr>
                <w:rFonts w:ascii="微软雅黑" w:hAnsi="微软雅黑" w:eastAsia="微软雅黑"/>
                <w:b/>
                <w:color w:val="000000" w:themeColor="text1"/>
                <w:szCs w:val="21"/>
              </w:rPr>
            </w:pPr>
          </w:p>
        </w:tc>
        <w:tc>
          <w:tcPr>
            <w:tcW w:w="1048" w:type="pct"/>
            <w:tcBorders>
              <w:top w:val="single" w:color="000000" w:sz="6" w:space="0"/>
              <w:left w:val="single" w:color="auto" w:sz="4"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b/>
                <w:color w:val="000000" w:themeColor="text1"/>
                <w:szCs w:val="21"/>
              </w:rPr>
            </w:pPr>
          </w:p>
        </w:tc>
        <w:tc>
          <w:tcPr>
            <w:tcW w:w="77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c>
          <w:tcPr>
            <w:tcW w:w="84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c>
          <w:tcPr>
            <w:tcW w:w="78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r>
      <w:tr>
        <w:tblPrEx>
          <w:tblCellMar>
            <w:top w:w="0" w:type="dxa"/>
            <w:left w:w="10" w:type="dxa"/>
            <w:bottom w:w="0" w:type="dxa"/>
            <w:right w:w="10" w:type="dxa"/>
          </w:tblCellMar>
        </w:tblPrEx>
        <w:trPr>
          <w:trHeight w:val="954" w:hRule="atLeast"/>
          <w:jc w:val="center"/>
        </w:trPr>
        <w:tc>
          <w:tcPr>
            <w:tcW w:w="442" w:type="pct"/>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宋体"/>
                <w:b/>
                <w:color w:val="000000" w:themeColor="text1"/>
                <w:szCs w:val="21"/>
              </w:rPr>
            </w:pPr>
          </w:p>
        </w:tc>
        <w:tc>
          <w:tcPr>
            <w:tcW w:w="1090" w:type="pct"/>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spacing w:line="480" w:lineRule="exact"/>
              <w:jc w:val="center"/>
              <w:rPr>
                <w:rFonts w:ascii="微软雅黑" w:hAnsi="微软雅黑" w:eastAsia="微软雅黑"/>
                <w:b/>
                <w:color w:val="000000" w:themeColor="text1"/>
                <w:szCs w:val="21"/>
              </w:rPr>
            </w:pPr>
          </w:p>
        </w:tc>
        <w:tc>
          <w:tcPr>
            <w:tcW w:w="1048" w:type="pct"/>
            <w:tcBorders>
              <w:top w:val="single" w:color="000000" w:sz="6" w:space="0"/>
              <w:left w:val="single" w:color="auto" w:sz="4"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b/>
                <w:color w:val="000000" w:themeColor="text1"/>
                <w:szCs w:val="21"/>
              </w:rPr>
            </w:pPr>
          </w:p>
        </w:tc>
        <w:tc>
          <w:tcPr>
            <w:tcW w:w="77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c>
          <w:tcPr>
            <w:tcW w:w="84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c>
          <w:tcPr>
            <w:tcW w:w="78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r>
      <w:tr>
        <w:tblPrEx>
          <w:tblCellMar>
            <w:top w:w="0" w:type="dxa"/>
            <w:left w:w="10" w:type="dxa"/>
            <w:bottom w:w="0" w:type="dxa"/>
            <w:right w:w="10" w:type="dxa"/>
          </w:tblCellMar>
        </w:tblPrEx>
        <w:trPr>
          <w:trHeight w:val="954" w:hRule="atLeast"/>
          <w:jc w:val="center"/>
        </w:trPr>
        <w:tc>
          <w:tcPr>
            <w:tcW w:w="442" w:type="pct"/>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宋体"/>
                <w:b/>
                <w:color w:val="000000" w:themeColor="text1"/>
                <w:szCs w:val="21"/>
              </w:rPr>
            </w:pPr>
          </w:p>
        </w:tc>
        <w:tc>
          <w:tcPr>
            <w:tcW w:w="1090" w:type="pct"/>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spacing w:line="480" w:lineRule="exact"/>
              <w:jc w:val="center"/>
              <w:rPr>
                <w:rFonts w:ascii="微软雅黑" w:hAnsi="微软雅黑" w:eastAsia="微软雅黑"/>
                <w:b/>
                <w:color w:val="000000" w:themeColor="text1"/>
                <w:szCs w:val="21"/>
              </w:rPr>
            </w:pPr>
          </w:p>
        </w:tc>
        <w:tc>
          <w:tcPr>
            <w:tcW w:w="1048" w:type="pct"/>
            <w:tcBorders>
              <w:top w:val="single" w:color="000000" w:sz="6" w:space="0"/>
              <w:left w:val="single" w:color="auto" w:sz="4"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b/>
                <w:color w:val="000000" w:themeColor="text1"/>
                <w:szCs w:val="21"/>
              </w:rPr>
            </w:pPr>
          </w:p>
        </w:tc>
        <w:tc>
          <w:tcPr>
            <w:tcW w:w="77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c>
          <w:tcPr>
            <w:tcW w:w="84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c>
          <w:tcPr>
            <w:tcW w:w="78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r>
      <w:tr>
        <w:tblPrEx>
          <w:tblCellMar>
            <w:top w:w="0" w:type="dxa"/>
            <w:left w:w="10" w:type="dxa"/>
            <w:bottom w:w="0" w:type="dxa"/>
            <w:right w:w="10" w:type="dxa"/>
          </w:tblCellMar>
        </w:tblPrEx>
        <w:trPr>
          <w:trHeight w:val="954" w:hRule="atLeast"/>
          <w:jc w:val="center"/>
        </w:trPr>
        <w:tc>
          <w:tcPr>
            <w:tcW w:w="442" w:type="pct"/>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宋体"/>
                <w:b/>
                <w:color w:val="000000" w:themeColor="text1"/>
                <w:szCs w:val="21"/>
              </w:rPr>
            </w:pPr>
          </w:p>
        </w:tc>
        <w:tc>
          <w:tcPr>
            <w:tcW w:w="1090" w:type="pct"/>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spacing w:line="480" w:lineRule="exact"/>
              <w:jc w:val="center"/>
              <w:rPr>
                <w:rFonts w:ascii="微软雅黑" w:hAnsi="微软雅黑" w:eastAsia="微软雅黑"/>
                <w:b/>
                <w:color w:val="000000" w:themeColor="text1"/>
                <w:szCs w:val="21"/>
              </w:rPr>
            </w:pPr>
          </w:p>
        </w:tc>
        <w:tc>
          <w:tcPr>
            <w:tcW w:w="1048" w:type="pct"/>
            <w:tcBorders>
              <w:top w:val="single" w:color="000000" w:sz="6" w:space="0"/>
              <w:left w:val="single" w:color="auto" w:sz="4"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b/>
                <w:color w:val="000000" w:themeColor="text1"/>
                <w:szCs w:val="21"/>
              </w:rPr>
            </w:pPr>
          </w:p>
        </w:tc>
        <w:tc>
          <w:tcPr>
            <w:tcW w:w="77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c>
          <w:tcPr>
            <w:tcW w:w="84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c>
          <w:tcPr>
            <w:tcW w:w="78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r>
      <w:tr>
        <w:tblPrEx>
          <w:tblCellMar>
            <w:top w:w="0" w:type="dxa"/>
            <w:left w:w="10" w:type="dxa"/>
            <w:bottom w:w="0" w:type="dxa"/>
            <w:right w:w="10" w:type="dxa"/>
          </w:tblCellMar>
        </w:tblPrEx>
        <w:trPr>
          <w:trHeight w:val="954" w:hRule="atLeast"/>
          <w:jc w:val="center"/>
        </w:trPr>
        <w:tc>
          <w:tcPr>
            <w:tcW w:w="442" w:type="pct"/>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宋体"/>
                <w:b/>
                <w:color w:val="000000" w:themeColor="text1"/>
                <w:szCs w:val="21"/>
              </w:rPr>
            </w:pPr>
          </w:p>
        </w:tc>
        <w:tc>
          <w:tcPr>
            <w:tcW w:w="1090" w:type="pct"/>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spacing w:line="480" w:lineRule="exact"/>
              <w:jc w:val="center"/>
              <w:rPr>
                <w:rFonts w:ascii="微软雅黑" w:hAnsi="微软雅黑" w:eastAsia="微软雅黑"/>
                <w:b/>
                <w:color w:val="000000" w:themeColor="text1"/>
                <w:szCs w:val="21"/>
              </w:rPr>
            </w:pPr>
          </w:p>
        </w:tc>
        <w:tc>
          <w:tcPr>
            <w:tcW w:w="1048" w:type="pct"/>
            <w:tcBorders>
              <w:top w:val="single" w:color="000000" w:sz="6" w:space="0"/>
              <w:left w:val="single" w:color="auto" w:sz="4"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b/>
                <w:color w:val="000000" w:themeColor="text1"/>
                <w:szCs w:val="21"/>
              </w:rPr>
            </w:pPr>
          </w:p>
        </w:tc>
        <w:tc>
          <w:tcPr>
            <w:tcW w:w="77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c>
          <w:tcPr>
            <w:tcW w:w="84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c>
          <w:tcPr>
            <w:tcW w:w="789"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line="480" w:lineRule="exact"/>
              <w:jc w:val="center"/>
              <w:rPr>
                <w:rFonts w:ascii="微软雅黑" w:hAnsi="微软雅黑" w:eastAsia="微软雅黑" w:cs="仿宋_GB2312"/>
                <w:b/>
                <w:color w:val="000000" w:themeColor="text1"/>
                <w:szCs w:val="21"/>
              </w:rPr>
            </w:pPr>
          </w:p>
        </w:tc>
      </w:tr>
      <w:tr>
        <w:tblPrEx>
          <w:tblCellMar>
            <w:top w:w="0" w:type="dxa"/>
            <w:left w:w="10" w:type="dxa"/>
            <w:bottom w:w="0" w:type="dxa"/>
            <w:right w:w="10" w:type="dxa"/>
          </w:tblCellMar>
        </w:tblPrEx>
        <w:trPr>
          <w:trHeight w:val="985" w:hRule="atLeast"/>
          <w:jc w:val="center"/>
        </w:trPr>
        <w:tc>
          <w:tcPr>
            <w:tcW w:w="5000" w:type="pct"/>
            <w:gridSpan w:val="6"/>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exact"/>
              <w:ind w:firstLine="200" w:firstLineChars="100"/>
              <w:jc w:val="left"/>
              <w:rPr>
                <w:rFonts w:ascii="微软雅黑" w:hAnsi="微软雅黑" w:eastAsia="微软雅黑" w:cs="仿宋_GB2312"/>
                <w:color w:val="000000" w:themeColor="text1"/>
                <w:szCs w:val="21"/>
              </w:rPr>
            </w:pPr>
            <w:r>
              <w:rPr>
                <w:rFonts w:ascii="微软雅黑" w:hAnsi="微软雅黑" w:eastAsia="微软雅黑" w:cs="仿宋_GB2312"/>
                <w:color w:val="000000" w:themeColor="text1"/>
                <w:sz w:val="20"/>
                <w:szCs w:val="21"/>
              </w:rPr>
              <w:t>登记人</w:t>
            </w:r>
            <w:r>
              <w:rPr>
                <w:rFonts w:hint="eastAsia" w:ascii="微软雅黑" w:hAnsi="微软雅黑" w:eastAsia="微软雅黑" w:cs="仿宋_GB2312"/>
                <w:color w:val="000000" w:themeColor="text1"/>
                <w:sz w:val="20"/>
                <w:szCs w:val="21"/>
              </w:rPr>
              <w:t>：                     发布人/审核人：             登记时间：</w:t>
            </w:r>
          </w:p>
        </w:tc>
      </w:tr>
    </w:tbl>
    <w:p>
      <w:pPr>
        <w:widowControl w:val="0"/>
        <w:spacing w:after="0" w:line="480" w:lineRule="exact"/>
        <w:ind w:left="0" w:firstLine="480"/>
        <w:jc w:val="center"/>
        <w:rPr>
          <w:rFonts w:cs="仿宋_GB2312" w:asciiTheme="minorEastAsia" w:hAnsiTheme="minorEastAsia" w:eastAsiaTheme="minorEastAsia"/>
          <w:b/>
          <w:color w:val="auto"/>
          <w:sz w:val="21"/>
          <w:szCs w:val="21"/>
          <w:highlight w:val="none"/>
        </w:rPr>
      </w:pPr>
    </w:p>
    <w:p>
      <w:pPr>
        <w:spacing w:after="0" w:line="240" w:lineRule="auto"/>
        <w:ind w:left="0" w:firstLine="0"/>
        <w:rPr>
          <w:rFonts w:cs="宋体" w:asciiTheme="minorEastAsia" w:hAnsiTheme="minorEastAsia" w:eastAsiaTheme="minorEastAsia"/>
          <w:b/>
          <w:color w:val="auto"/>
          <w:szCs w:val="24"/>
          <w:highlight w:val="none"/>
        </w:rPr>
      </w:pPr>
      <w:r>
        <w:rPr>
          <w:rFonts w:cs="宋体" w:asciiTheme="minorEastAsia" w:hAnsiTheme="minorEastAsia" w:eastAsiaTheme="minorEastAsia"/>
          <w:b/>
          <w:color w:val="auto"/>
          <w:szCs w:val="24"/>
          <w:highlight w:val="none"/>
        </w:rPr>
        <w:br w:type="page"/>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cs="宋体" w:asciiTheme="minorEastAsia" w:hAnsiTheme="minorEastAsia" w:eastAsiaTheme="minorEastAsia"/>
          <w:b/>
          <w:color w:val="auto"/>
          <w:szCs w:val="24"/>
          <w:highlight w:val="none"/>
        </w:rPr>
        <w:t>3</w:t>
      </w:r>
      <w:r>
        <w:rPr>
          <w:rFonts w:hint="eastAsia" w:cs="宋体" w:asciiTheme="minorEastAsia" w:hAnsiTheme="minorEastAsia" w:eastAsiaTheme="minorEastAsia"/>
          <w:b/>
          <w:color w:val="auto"/>
          <w:szCs w:val="24"/>
          <w:highlight w:val="none"/>
        </w:rPr>
        <w:t>.1</w:t>
      </w:r>
      <w:r>
        <w:rPr>
          <w:rFonts w:cs="宋体" w:asciiTheme="minorEastAsia" w:hAnsiTheme="minorEastAsia" w:eastAsiaTheme="minorEastAsia"/>
          <w:b/>
          <w:color w:val="auto"/>
          <w:szCs w:val="24"/>
          <w:highlight w:val="none"/>
        </w:rPr>
        <w:t>2</w:t>
      </w:r>
      <w:r>
        <w:rPr>
          <w:rFonts w:hint="eastAsia" w:cs="宋体" w:asciiTheme="minorEastAsia" w:hAnsiTheme="minorEastAsia" w:eastAsiaTheme="minorEastAsia"/>
          <w:b/>
          <w:color w:val="auto"/>
          <w:szCs w:val="24"/>
          <w:highlight w:val="none"/>
        </w:rPr>
        <w:t>.3较大及以上风险信息登记</w:t>
      </w:r>
    </w:p>
    <w:p>
      <w:pPr>
        <w:widowControl w:val="0"/>
        <w:spacing w:after="0" w:line="480" w:lineRule="exact"/>
        <w:ind w:left="0" w:firstLine="0"/>
        <w:jc w:val="center"/>
        <w:rPr>
          <w:rFonts w:cs="仿宋_GB2312" w:asciiTheme="minorEastAsia" w:hAnsiTheme="minorEastAsia" w:eastAsiaTheme="minorEastAsia"/>
          <w:b/>
          <w:color w:val="auto"/>
          <w:sz w:val="21"/>
          <w:szCs w:val="21"/>
          <w:highlight w:val="none"/>
        </w:rPr>
      </w:pPr>
      <w:r>
        <w:rPr>
          <w:rFonts w:cs="仿宋_GB2312" w:asciiTheme="minorEastAsia" w:hAnsiTheme="minorEastAsia" w:eastAsiaTheme="minorEastAsia"/>
          <w:b/>
          <w:color w:val="auto"/>
          <w:sz w:val="21"/>
          <w:szCs w:val="21"/>
          <w:highlight w:val="none"/>
        </w:rPr>
        <w:t>表</w:t>
      </w:r>
      <w:r>
        <w:rPr>
          <w:rFonts w:hint="eastAsia" w:cs="仿宋_GB2312" w:asciiTheme="minorEastAsia" w:hAnsiTheme="minorEastAsia" w:eastAsiaTheme="minorEastAsia"/>
          <w:b/>
          <w:color w:val="auto"/>
          <w:sz w:val="21"/>
          <w:szCs w:val="21"/>
          <w:highlight w:val="none"/>
        </w:rPr>
        <w:t>3-</w:t>
      </w:r>
      <w:r>
        <w:rPr>
          <w:rFonts w:cs="仿宋_GB2312" w:asciiTheme="minorEastAsia" w:hAnsiTheme="minorEastAsia" w:eastAsiaTheme="minorEastAsia"/>
          <w:b/>
          <w:color w:val="auto"/>
          <w:sz w:val="21"/>
          <w:szCs w:val="21"/>
          <w:highlight w:val="none"/>
        </w:rPr>
        <w:t>21</w:t>
      </w:r>
      <w:r>
        <w:rPr>
          <w:rFonts w:hint="eastAsia" w:cs="仿宋_GB2312" w:asciiTheme="minorEastAsia" w:hAnsiTheme="minorEastAsia" w:eastAsiaTheme="minorEastAsia"/>
          <w:b/>
          <w:color w:val="auto"/>
          <w:sz w:val="21"/>
          <w:szCs w:val="21"/>
          <w:highlight w:val="none"/>
        </w:rPr>
        <w:t xml:space="preserve"> </w:t>
      </w:r>
      <w:r>
        <w:rPr>
          <w:rFonts w:cs="仿宋_GB2312" w:asciiTheme="minorEastAsia" w:hAnsiTheme="minorEastAsia" w:eastAsiaTheme="minorEastAsia"/>
          <w:b/>
          <w:color w:val="auto"/>
          <w:sz w:val="21"/>
          <w:szCs w:val="21"/>
          <w:highlight w:val="none"/>
        </w:rPr>
        <w:t>较大及以上风险信息</w:t>
      </w:r>
      <w:r>
        <w:rPr>
          <w:rFonts w:hint="eastAsia" w:cs="仿宋_GB2312" w:asciiTheme="minorEastAsia" w:hAnsiTheme="minorEastAsia" w:eastAsiaTheme="minorEastAsia"/>
          <w:b/>
          <w:color w:val="auto"/>
          <w:sz w:val="21"/>
          <w:szCs w:val="21"/>
          <w:highlight w:val="none"/>
        </w:rPr>
        <w:t>登记</w:t>
      </w:r>
      <w:r>
        <w:rPr>
          <w:rFonts w:cs="仿宋_GB2312" w:asciiTheme="minorEastAsia" w:hAnsiTheme="minorEastAsia" w:eastAsiaTheme="minorEastAsia"/>
          <w:b/>
          <w:color w:val="auto"/>
          <w:sz w:val="21"/>
          <w:szCs w:val="21"/>
          <w:highlight w:val="none"/>
        </w:rPr>
        <w:t>表</w:t>
      </w:r>
    </w:p>
    <w:tbl>
      <w:tblPr>
        <w:tblStyle w:val="27"/>
        <w:tblW w:w="8197" w:type="dxa"/>
        <w:tblInd w:w="0" w:type="dxa"/>
        <w:tblLayout w:type="fixed"/>
        <w:tblCellMar>
          <w:top w:w="0" w:type="dxa"/>
          <w:left w:w="108" w:type="dxa"/>
          <w:bottom w:w="0" w:type="dxa"/>
          <w:right w:w="108" w:type="dxa"/>
        </w:tblCellMar>
      </w:tblPr>
      <w:tblGrid>
        <w:gridCol w:w="538"/>
        <w:gridCol w:w="1352"/>
        <w:gridCol w:w="228"/>
        <w:gridCol w:w="1011"/>
        <w:gridCol w:w="1149"/>
        <w:gridCol w:w="1003"/>
        <w:gridCol w:w="1294"/>
        <w:gridCol w:w="1622"/>
      </w:tblGrid>
      <w:tr>
        <w:tblPrEx>
          <w:tblCellMar>
            <w:top w:w="0" w:type="dxa"/>
            <w:left w:w="108" w:type="dxa"/>
            <w:bottom w:w="0" w:type="dxa"/>
            <w:right w:w="108" w:type="dxa"/>
          </w:tblCellMar>
        </w:tblPrEx>
        <w:trPr>
          <w:trHeight w:val="283" w:hRule="atLeast"/>
        </w:trPr>
        <w:tc>
          <w:tcPr>
            <w:tcW w:w="189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单位名称</w:t>
            </w:r>
          </w:p>
        </w:tc>
        <w:tc>
          <w:tcPr>
            <w:tcW w:w="1239" w:type="dxa"/>
            <w:gridSpan w:val="2"/>
            <w:tcBorders>
              <w:top w:val="single" w:color="auto" w:sz="4" w:space="0"/>
              <w:left w:val="nil"/>
              <w:bottom w:val="single" w:color="auto" w:sz="4" w:space="0"/>
              <w:right w:val="single" w:color="auto" w:sz="4" w:space="0"/>
            </w:tcBorders>
            <w:vAlign w:val="center"/>
          </w:tcPr>
          <w:p>
            <w:pPr>
              <w:rPr>
                <w:rFonts w:ascii="微软雅黑" w:hAnsi="微软雅黑" w:eastAsia="微软雅黑"/>
                <w:color w:val="000000" w:themeColor="text1"/>
                <w:sz w:val="18"/>
                <w:szCs w:val="18"/>
              </w:rPr>
            </w:pPr>
          </w:p>
        </w:tc>
        <w:tc>
          <w:tcPr>
            <w:tcW w:w="1149" w:type="dxa"/>
            <w:tcBorders>
              <w:top w:val="single" w:color="auto" w:sz="4" w:space="0"/>
              <w:left w:val="nil"/>
              <w:bottom w:val="single" w:color="auto" w:sz="4" w:space="0"/>
              <w:right w:val="single" w:color="auto" w:sz="4" w:space="0"/>
            </w:tcBorders>
            <w:vAlign w:val="center"/>
          </w:tcPr>
          <w:p>
            <w:pPr>
              <w:jc w:val="center"/>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联系人</w:t>
            </w:r>
          </w:p>
        </w:tc>
        <w:tc>
          <w:tcPr>
            <w:tcW w:w="1003" w:type="dxa"/>
            <w:tcBorders>
              <w:top w:val="single" w:color="auto" w:sz="4" w:space="0"/>
              <w:left w:val="nil"/>
              <w:bottom w:val="single" w:color="auto" w:sz="4" w:space="0"/>
              <w:right w:val="single" w:color="auto" w:sz="4" w:space="0"/>
            </w:tcBorders>
            <w:vAlign w:val="center"/>
          </w:tcPr>
          <w:p>
            <w:pPr>
              <w:jc w:val="center"/>
              <w:rPr>
                <w:rFonts w:ascii="微软雅黑" w:hAnsi="微软雅黑" w:eastAsia="微软雅黑"/>
                <w:color w:val="000000" w:themeColor="text1"/>
                <w:sz w:val="18"/>
                <w:szCs w:val="18"/>
              </w:rPr>
            </w:pPr>
          </w:p>
        </w:tc>
        <w:tc>
          <w:tcPr>
            <w:tcW w:w="1294" w:type="dxa"/>
            <w:tcBorders>
              <w:top w:val="single" w:color="auto" w:sz="4" w:space="0"/>
              <w:left w:val="nil"/>
              <w:bottom w:val="single" w:color="auto" w:sz="4" w:space="0"/>
              <w:right w:val="single" w:color="auto" w:sz="4" w:space="0"/>
            </w:tcBorders>
            <w:vAlign w:val="center"/>
          </w:tcPr>
          <w:p>
            <w:pPr>
              <w:jc w:val="center"/>
              <w:rPr>
                <w:rFonts w:ascii="微软雅黑" w:hAnsi="微软雅黑" w:eastAsia="微软雅黑"/>
                <w:color w:val="000000" w:themeColor="text1"/>
                <w:sz w:val="18"/>
                <w:szCs w:val="18"/>
              </w:rPr>
            </w:pPr>
            <w:r>
              <w:rPr>
                <w:rFonts w:ascii="微软雅黑" w:hAnsi="微软雅黑" w:eastAsia="微软雅黑"/>
                <w:color w:val="000000" w:themeColor="text1"/>
                <w:sz w:val="18"/>
                <w:szCs w:val="18"/>
              </w:rPr>
              <w:t>登记编号</w:t>
            </w:r>
          </w:p>
        </w:tc>
        <w:tc>
          <w:tcPr>
            <w:tcW w:w="1622" w:type="dxa"/>
            <w:tcBorders>
              <w:top w:val="single" w:color="auto" w:sz="4" w:space="0"/>
              <w:left w:val="nil"/>
              <w:bottom w:val="single" w:color="auto" w:sz="4" w:space="0"/>
              <w:right w:val="single" w:color="auto" w:sz="4" w:space="0"/>
            </w:tcBorders>
            <w:vAlign w:val="center"/>
          </w:tcPr>
          <w:p>
            <w:pPr>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189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风险名称</w:t>
            </w:r>
          </w:p>
        </w:tc>
        <w:tc>
          <w:tcPr>
            <w:tcW w:w="1239" w:type="dxa"/>
            <w:gridSpan w:val="2"/>
            <w:tcBorders>
              <w:top w:val="single" w:color="auto" w:sz="4" w:space="0"/>
              <w:left w:val="nil"/>
              <w:bottom w:val="single" w:color="auto" w:sz="4" w:space="0"/>
              <w:right w:val="single" w:color="auto" w:sz="4" w:space="0"/>
            </w:tcBorders>
            <w:vAlign w:val="center"/>
          </w:tcPr>
          <w:p>
            <w:pPr>
              <w:rPr>
                <w:rFonts w:ascii="微软雅黑" w:hAnsi="微软雅黑" w:eastAsia="微软雅黑"/>
                <w:color w:val="000000" w:themeColor="text1"/>
                <w:sz w:val="18"/>
                <w:szCs w:val="18"/>
              </w:rPr>
            </w:pPr>
          </w:p>
        </w:tc>
        <w:tc>
          <w:tcPr>
            <w:tcW w:w="1149" w:type="dxa"/>
            <w:tcBorders>
              <w:top w:val="single" w:color="auto" w:sz="4" w:space="0"/>
              <w:left w:val="nil"/>
              <w:bottom w:val="single" w:color="auto" w:sz="4" w:space="0"/>
              <w:right w:val="single" w:color="auto" w:sz="4" w:space="0"/>
            </w:tcBorders>
            <w:vAlign w:val="center"/>
          </w:tcPr>
          <w:p>
            <w:pPr>
              <w:jc w:val="center"/>
              <w:rPr>
                <w:rFonts w:ascii="微软雅黑" w:hAnsi="微软雅黑" w:eastAsia="微软雅黑"/>
                <w:color w:val="000000" w:themeColor="text1"/>
                <w:sz w:val="18"/>
                <w:szCs w:val="18"/>
              </w:rPr>
            </w:pPr>
            <w:r>
              <w:rPr>
                <w:rFonts w:ascii="微软雅黑" w:hAnsi="微软雅黑" w:eastAsia="微软雅黑"/>
                <w:color w:val="000000" w:themeColor="text1"/>
                <w:sz w:val="18"/>
                <w:szCs w:val="18"/>
              </w:rPr>
              <w:t>风险等级</w:t>
            </w:r>
          </w:p>
        </w:tc>
        <w:tc>
          <w:tcPr>
            <w:tcW w:w="1003" w:type="dxa"/>
            <w:tcBorders>
              <w:top w:val="single" w:color="auto" w:sz="4" w:space="0"/>
              <w:left w:val="nil"/>
              <w:bottom w:val="single" w:color="auto" w:sz="4" w:space="0"/>
              <w:right w:val="single" w:color="auto" w:sz="4" w:space="0"/>
            </w:tcBorders>
            <w:vAlign w:val="center"/>
          </w:tcPr>
          <w:p>
            <w:pPr>
              <w:rPr>
                <w:rFonts w:ascii="微软雅黑" w:hAnsi="微软雅黑" w:eastAsia="微软雅黑"/>
                <w:color w:val="000000" w:themeColor="text1"/>
                <w:sz w:val="18"/>
                <w:szCs w:val="18"/>
              </w:rPr>
            </w:pPr>
          </w:p>
        </w:tc>
        <w:tc>
          <w:tcPr>
            <w:tcW w:w="1294" w:type="dxa"/>
            <w:tcBorders>
              <w:top w:val="single" w:color="auto" w:sz="4" w:space="0"/>
              <w:left w:val="nil"/>
              <w:bottom w:val="single" w:color="auto" w:sz="4" w:space="0"/>
              <w:right w:val="single" w:color="auto" w:sz="4" w:space="0"/>
            </w:tcBorders>
            <w:vAlign w:val="center"/>
          </w:tcPr>
          <w:p>
            <w:pPr>
              <w:jc w:val="center"/>
              <w:rPr>
                <w:rFonts w:ascii="微软雅黑" w:hAnsi="微软雅黑" w:eastAsia="微软雅黑"/>
                <w:color w:val="000000" w:themeColor="text1"/>
                <w:sz w:val="18"/>
                <w:szCs w:val="18"/>
              </w:rPr>
            </w:pPr>
            <w:r>
              <w:rPr>
                <w:rFonts w:ascii="微软雅黑" w:hAnsi="微软雅黑" w:eastAsia="微软雅黑"/>
                <w:color w:val="000000" w:themeColor="text1"/>
                <w:sz w:val="18"/>
                <w:szCs w:val="18"/>
              </w:rPr>
              <w:t>管控级别</w:t>
            </w:r>
          </w:p>
        </w:tc>
        <w:tc>
          <w:tcPr>
            <w:tcW w:w="1622" w:type="dxa"/>
            <w:tcBorders>
              <w:top w:val="single" w:color="auto" w:sz="4" w:space="0"/>
              <w:left w:val="nil"/>
              <w:bottom w:val="single" w:color="auto" w:sz="4" w:space="0"/>
              <w:right w:val="single" w:color="auto" w:sz="4" w:space="0"/>
            </w:tcBorders>
            <w:vAlign w:val="center"/>
          </w:tcPr>
          <w:p>
            <w:pPr>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466" w:hRule="atLeast"/>
        </w:trPr>
        <w:tc>
          <w:tcPr>
            <w:tcW w:w="189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存在单元/部位/作业</w:t>
            </w:r>
          </w:p>
        </w:tc>
        <w:tc>
          <w:tcPr>
            <w:tcW w:w="1239" w:type="dxa"/>
            <w:gridSpan w:val="2"/>
            <w:tcBorders>
              <w:top w:val="single" w:color="auto" w:sz="4" w:space="0"/>
              <w:left w:val="nil"/>
              <w:bottom w:val="single" w:color="auto" w:sz="4" w:space="0"/>
              <w:right w:val="single" w:color="auto" w:sz="4" w:space="0"/>
            </w:tcBorders>
            <w:vAlign w:val="center"/>
          </w:tcPr>
          <w:p>
            <w:pPr>
              <w:rPr>
                <w:rFonts w:ascii="微软雅黑" w:hAnsi="微软雅黑" w:eastAsia="微软雅黑"/>
                <w:color w:val="000000" w:themeColor="text1"/>
                <w:sz w:val="18"/>
                <w:szCs w:val="18"/>
              </w:rPr>
            </w:pPr>
          </w:p>
        </w:tc>
        <w:tc>
          <w:tcPr>
            <w:tcW w:w="1149" w:type="dxa"/>
            <w:tcBorders>
              <w:top w:val="single" w:color="auto" w:sz="4" w:space="0"/>
              <w:left w:val="nil"/>
              <w:bottom w:val="single" w:color="auto" w:sz="4" w:space="0"/>
              <w:right w:val="single" w:color="auto" w:sz="4" w:space="0"/>
            </w:tcBorders>
            <w:vAlign w:val="center"/>
          </w:tcPr>
          <w:p>
            <w:pPr>
              <w:jc w:val="center"/>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致险因素</w:t>
            </w:r>
          </w:p>
        </w:tc>
        <w:tc>
          <w:tcPr>
            <w:tcW w:w="3919" w:type="dxa"/>
            <w:gridSpan w:val="3"/>
            <w:tcBorders>
              <w:top w:val="single" w:color="auto" w:sz="4" w:space="0"/>
              <w:left w:val="nil"/>
              <w:bottom w:val="single" w:color="auto" w:sz="4" w:space="0"/>
              <w:right w:val="single" w:color="auto" w:sz="4" w:space="0"/>
            </w:tcBorders>
            <w:vAlign w:val="center"/>
          </w:tcPr>
          <w:p>
            <w:pPr>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restart"/>
            <w:tcBorders>
              <w:top w:val="nil"/>
              <w:left w:val="single" w:color="auto" w:sz="4" w:space="0"/>
              <w:bottom w:val="single" w:color="auto" w:sz="4" w:space="0"/>
              <w:right w:val="single" w:color="auto" w:sz="4" w:space="0"/>
            </w:tcBorders>
            <w:vAlign w:val="center"/>
          </w:tcPr>
          <w:p>
            <w:pPr>
              <w:jc w:val="center"/>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管控措施</w:t>
            </w: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工程技术措施</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管理措施</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管理教育措施</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个体防护措施</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应急处置措施</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restart"/>
            <w:tcBorders>
              <w:top w:val="nil"/>
              <w:left w:val="single" w:color="auto" w:sz="4" w:space="0"/>
              <w:bottom w:val="single" w:color="auto" w:sz="4" w:space="0"/>
              <w:right w:val="single" w:color="auto" w:sz="4" w:space="0"/>
            </w:tcBorders>
            <w:vAlign w:val="center"/>
          </w:tcPr>
          <w:p>
            <w:pPr>
              <w:jc w:val="center"/>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预警信息</w:t>
            </w: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事故类型</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级别</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影响区域范围</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持续时间</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发布范围</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应对措施</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restart"/>
            <w:tcBorders>
              <w:top w:val="nil"/>
              <w:left w:val="single" w:color="auto" w:sz="4" w:space="0"/>
              <w:bottom w:val="single" w:color="auto" w:sz="4" w:space="0"/>
              <w:right w:val="single" w:color="auto" w:sz="4" w:space="0"/>
            </w:tcBorders>
            <w:vAlign w:val="center"/>
          </w:tcPr>
          <w:p>
            <w:pPr>
              <w:jc w:val="center"/>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事故信息</w:t>
            </w: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事故名称</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类型</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级别</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发生时间</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死亡人数</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受伤人数</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经济损失</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应急处置情况</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283" w:hRule="atLeast"/>
        </w:trPr>
        <w:tc>
          <w:tcPr>
            <w:tcW w:w="53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olor w:val="000000" w:themeColor="text1"/>
                <w:sz w:val="18"/>
                <w:szCs w:val="18"/>
              </w:rPr>
            </w:pPr>
          </w:p>
        </w:tc>
        <w:tc>
          <w:tcPr>
            <w:tcW w:w="1580" w:type="dxa"/>
            <w:gridSpan w:val="2"/>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处理情况</w:t>
            </w:r>
          </w:p>
        </w:tc>
        <w:tc>
          <w:tcPr>
            <w:tcW w:w="6079" w:type="dxa"/>
            <w:gridSpan w:val="5"/>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00" w:lineRule="exact"/>
              <w:ind w:left="221" w:hanging="11"/>
              <w:jc w:val="center"/>
              <w:textAlignment w:val="auto"/>
              <w:rPr>
                <w:rFonts w:ascii="微软雅黑" w:hAnsi="微软雅黑" w:eastAsia="微软雅黑"/>
                <w:color w:val="000000" w:themeColor="text1"/>
                <w:sz w:val="18"/>
                <w:szCs w:val="18"/>
              </w:rPr>
            </w:pPr>
          </w:p>
        </w:tc>
      </w:tr>
      <w:tr>
        <w:tblPrEx>
          <w:tblCellMar>
            <w:top w:w="0" w:type="dxa"/>
            <w:left w:w="108" w:type="dxa"/>
            <w:bottom w:w="0" w:type="dxa"/>
            <w:right w:w="108" w:type="dxa"/>
          </w:tblCellMar>
        </w:tblPrEx>
        <w:trPr>
          <w:trHeight w:val="1352" w:hRule="atLeast"/>
        </w:trPr>
        <w:tc>
          <w:tcPr>
            <w:tcW w:w="538" w:type="dxa"/>
            <w:tcBorders>
              <w:top w:val="single" w:color="auto" w:sz="4" w:space="0"/>
              <w:left w:val="single" w:color="auto" w:sz="4" w:space="0"/>
              <w:bottom w:val="single" w:color="auto" w:sz="4" w:space="0"/>
              <w:right w:val="single" w:color="auto" w:sz="4" w:space="0"/>
            </w:tcBorders>
            <w:vAlign w:val="center"/>
          </w:tcPr>
          <w:p>
            <w:pPr>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备注</w:t>
            </w:r>
          </w:p>
        </w:tc>
        <w:tc>
          <w:tcPr>
            <w:tcW w:w="7659" w:type="dxa"/>
            <w:gridSpan w:val="7"/>
            <w:tcBorders>
              <w:top w:val="single" w:color="auto" w:sz="4" w:space="0"/>
              <w:left w:val="nil"/>
              <w:bottom w:val="single" w:color="auto" w:sz="4" w:space="0"/>
              <w:right w:val="single" w:color="auto" w:sz="4" w:space="0"/>
            </w:tcBorders>
            <w:vAlign w:val="center"/>
          </w:tcPr>
          <w:p>
            <w:pPr>
              <w:rPr>
                <w:rFonts w:ascii="微软雅黑" w:hAnsi="微软雅黑" w:eastAsia="微软雅黑"/>
                <w:b/>
                <w:color w:val="000000" w:themeColor="text1"/>
                <w:szCs w:val="21"/>
              </w:rPr>
            </w:pPr>
            <w:r>
              <w:rPr>
                <w:rFonts w:hint="eastAsia" w:ascii="微软雅黑" w:hAnsi="微软雅黑" w:eastAsia="微软雅黑"/>
                <w:b/>
                <w:color w:val="000000" w:themeColor="text1"/>
                <w:szCs w:val="21"/>
              </w:rPr>
              <w:t>注1：管控措施：结合企业实际情况按5种措施分类填写。</w:t>
            </w:r>
          </w:p>
          <w:p>
            <w:pPr>
              <w:rPr>
                <w:rFonts w:ascii="微软雅黑" w:hAnsi="微软雅黑" w:eastAsia="微软雅黑"/>
                <w:b/>
                <w:color w:val="000000" w:themeColor="text1"/>
                <w:szCs w:val="21"/>
              </w:rPr>
            </w:pPr>
            <w:r>
              <w:rPr>
                <w:rFonts w:hint="eastAsia" w:ascii="微软雅黑" w:hAnsi="微软雅黑" w:eastAsia="微软雅黑"/>
                <w:b/>
                <w:color w:val="000000" w:themeColor="text1"/>
                <w:szCs w:val="21"/>
              </w:rPr>
              <w:t>注2：致险因素：依据辨识结果简化填写。</w:t>
            </w:r>
          </w:p>
          <w:p>
            <w:pPr>
              <w:rPr>
                <w:rFonts w:ascii="微软雅黑" w:hAnsi="微软雅黑" w:eastAsia="微软雅黑"/>
                <w:color w:val="000000" w:themeColor="text1"/>
                <w:sz w:val="18"/>
                <w:szCs w:val="18"/>
              </w:rPr>
            </w:pPr>
            <w:r>
              <w:rPr>
                <w:rFonts w:hint="eastAsia" w:ascii="微软雅黑" w:hAnsi="微软雅黑" w:eastAsia="微软雅黑"/>
                <w:b/>
                <w:color w:val="000000" w:themeColor="text1"/>
                <w:szCs w:val="21"/>
              </w:rPr>
              <w:t>注3：预警信息和事故信息在应急和事故发生后登记。</w:t>
            </w:r>
          </w:p>
        </w:tc>
      </w:tr>
    </w:tbl>
    <w:p>
      <w:pPr>
        <w:widowControl w:val="0"/>
        <w:spacing w:after="0" w:line="480" w:lineRule="exact"/>
        <w:ind w:left="0" w:firstLine="0"/>
        <w:jc w:val="center"/>
        <w:rPr>
          <w:rFonts w:cs="宋体" w:asciiTheme="minorEastAsia" w:hAnsiTheme="minorEastAsia" w:eastAsiaTheme="minorEastAsia"/>
          <w:color w:val="auto"/>
          <w:szCs w:val="24"/>
          <w:highlight w:val="none"/>
        </w:rPr>
      </w:pPr>
    </w:p>
    <w:p>
      <w:pPr>
        <w:spacing w:after="0" w:line="240" w:lineRule="auto"/>
        <w:ind w:left="0" w:firstLine="0"/>
        <w:rPr>
          <w:rFonts w:cs="宋体" w:asciiTheme="minorEastAsia" w:hAnsiTheme="minorEastAsia" w:eastAsiaTheme="minorEastAsia"/>
          <w:b/>
          <w:color w:val="auto"/>
          <w:szCs w:val="24"/>
          <w:highlight w:val="none"/>
        </w:rPr>
      </w:pPr>
      <w:r>
        <w:rPr>
          <w:rFonts w:cs="宋体" w:asciiTheme="minorEastAsia" w:hAnsiTheme="minorEastAsia" w:eastAsiaTheme="minorEastAsia"/>
          <w:b/>
          <w:color w:val="auto"/>
          <w:szCs w:val="24"/>
          <w:highlight w:val="none"/>
        </w:rPr>
        <w:br w:type="page"/>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3.1</w:t>
      </w:r>
      <w:r>
        <w:rPr>
          <w:rFonts w:cs="宋体" w:asciiTheme="minorEastAsia" w:hAnsiTheme="minorEastAsia" w:eastAsiaTheme="minorEastAsia"/>
          <w:b/>
          <w:color w:val="auto"/>
          <w:szCs w:val="24"/>
          <w:highlight w:val="none"/>
        </w:rPr>
        <w:t>2</w:t>
      </w:r>
      <w:r>
        <w:rPr>
          <w:rFonts w:hint="eastAsia" w:cs="宋体" w:asciiTheme="minorEastAsia" w:hAnsiTheme="minorEastAsia" w:eastAsiaTheme="minorEastAsia"/>
          <w:b/>
          <w:color w:val="auto"/>
          <w:szCs w:val="24"/>
          <w:highlight w:val="none"/>
        </w:rPr>
        <w:t>.4较大及以上风险动态监控</w:t>
      </w:r>
    </w:p>
    <w:p>
      <w:pPr>
        <w:widowControl w:val="0"/>
        <w:spacing w:after="0" w:line="480" w:lineRule="exact"/>
        <w:ind w:left="0" w:firstLine="0"/>
        <w:jc w:val="center"/>
        <w:rPr>
          <w:rFonts w:cs="仿宋_GB2312" w:asciiTheme="minorEastAsia" w:hAnsiTheme="minorEastAsia" w:eastAsiaTheme="minorEastAsia"/>
          <w:b/>
          <w:color w:val="auto"/>
          <w:sz w:val="21"/>
          <w:szCs w:val="21"/>
          <w:highlight w:val="none"/>
        </w:rPr>
      </w:pPr>
      <w:r>
        <w:rPr>
          <w:rFonts w:hint="eastAsia" w:cs="仿宋_GB2312" w:asciiTheme="minorEastAsia" w:hAnsiTheme="minorEastAsia" w:eastAsiaTheme="minorEastAsia"/>
          <w:b/>
          <w:color w:val="auto"/>
          <w:sz w:val="21"/>
          <w:szCs w:val="21"/>
          <w:highlight w:val="none"/>
        </w:rPr>
        <w:t>表3-</w:t>
      </w:r>
      <w:r>
        <w:rPr>
          <w:rFonts w:cs="仿宋_GB2312" w:asciiTheme="minorEastAsia" w:hAnsiTheme="minorEastAsia" w:eastAsiaTheme="minorEastAsia"/>
          <w:b/>
          <w:color w:val="auto"/>
          <w:sz w:val="21"/>
          <w:szCs w:val="21"/>
          <w:highlight w:val="none"/>
        </w:rPr>
        <w:t>22</w:t>
      </w:r>
      <w:r>
        <w:rPr>
          <w:rFonts w:hint="eastAsia" w:cs="仿宋_GB2312" w:asciiTheme="minorEastAsia" w:hAnsiTheme="minorEastAsia" w:eastAsiaTheme="minorEastAsia"/>
          <w:b/>
          <w:color w:val="auto"/>
          <w:sz w:val="21"/>
          <w:szCs w:val="21"/>
          <w:highlight w:val="none"/>
        </w:rPr>
        <w:t>较大及以上风险监测记录表</w:t>
      </w:r>
    </w:p>
    <w:tbl>
      <w:tblPr>
        <w:tblStyle w:val="27"/>
        <w:tblW w:w="5000" w:type="pct"/>
        <w:tblInd w:w="0" w:type="dxa"/>
        <w:tblLayout w:type="autofit"/>
        <w:tblCellMar>
          <w:top w:w="0" w:type="dxa"/>
          <w:left w:w="10" w:type="dxa"/>
          <w:bottom w:w="0" w:type="dxa"/>
          <w:right w:w="10" w:type="dxa"/>
        </w:tblCellMar>
      </w:tblPr>
      <w:tblGrid>
        <w:gridCol w:w="757"/>
        <w:gridCol w:w="1904"/>
        <w:gridCol w:w="1842"/>
        <w:gridCol w:w="850"/>
        <w:gridCol w:w="1842"/>
        <w:gridCol w:w="1327"/>
      </w:tblGrid>
      <w:tr>
        <w:tblPrEx>
          <w:tblCellMar>
            <w:top w:w="0" w:type="dxa"/>
            <w:left w:w="10" w:type="dxa"/>
            <w:bottom w:w="0" w:type="dxa"/>
            <w:right w:w="10" w:type="dxa"/>
          </w:tblCellMar>
        </w:tblPrEx>
        <w:trPr>
          <w:trHeight w:val="567" w:hRule="atLeast"/>
        </w:trPr>
        <w:tc>
          <w:tcPr>
            <w:tcW w:w="444" w:type="pct"/>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风险名称</w:t>
            </w:r>
          </w:p>
        </w:tc>
        <w:tc>
          <w:tcPr>
            <w:tcW w:w="4556" w:type="pct"/>
            <w:gridSpan w:val="5"/>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监测项目</w:t>
            </w:r>
          </w:p>
        </w:tc>
      </w:tr>
      <w:tr>
        <w:tblPrEx>
          <w:tblCellMar>
            <w:top w:w="0" w:type="dxa"/>
            <w:left w:w="10" w:type="dxa"/>
            <w:bottom w:w="0" w:type="dxa"/>
            <w:right w:w="10" w:type="dxa"/>
          </w:tblCellMar>
        </w:tblPrEx>
        <w:trPr>
          <w:trHeight w:val="567" w:hRule="atLeast"/>
        </w:trPr>
        <w:tc>
          <w:tcPr>
            <w:tcW w:w="444" w:type="pct"/>
            <w:vMerge w:val="restart"/>
            <w:tcBorders>
              <w:top w:val="single" w:color="000000" w:sz="6" w:space="0"/>
              <w:left w:val="single" w:color="000000" w:sz="4"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东坡隧道</w:t>
            </w:r>
          </w:p>
        </w:tc>
        <w:tc>
          <w:tcPr>
            <w:tcW w:w="2198" w:type="pct"/>
            <w:gridSpan w:val="2"/>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致险</w:t>
            </w:r>
            <w:r>
              <w:rPr>
                <w:rFonts w:asciiTheme="minorEastAsia" w:hAnsiTheme="minorEastAsia" w:eastAsiaTheme="minorEastAsia"/>
                <w:color w:val="auto"/>
                <w:sz w:val="21"/>
                <w:szCs w:val="21"/>
                <w:highlight w:val="none"/>
              </w:rPr>
              <w:t>因素变化情况</w:t>
            </w:r>
          </w:p>
        </w:tc>
        <w:tc>
          <w:tcPr>
            <w:tcW w:w="1580" w:type="pct"/>
            <w:gridSpan w:val="2"/>
            <w:tcBorders>
              <w:top w:val="single" w:color="000000" w:sz="6" w:space="0"/>
              <w:left w:val="single" w:color="auto" w:sz="4" w:space="0"/>
              <w:bottom w:val="single" w:color="000000" w:sz="6" w:space="0"/>
              <w:right w:val="single" w:color="000000"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管控措施落实情况</w:t>
            </w:r>
          </w:p>
        </w:tc>
        <w:tc>
          <w:tcPr>
            <w:tcW w:w="778" w:type="pct"/>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风险等级变化情况</w:t>
            </w:r>
          </w:p>
        </w:tc>
      </w:tr>
      <w:tr>
        <w:tblPrEx>
          <w:tblCellMar>
            <w:top w:w="0" w:type="dxa"/>
            <w:left w:w="10" w:type="dxa"/>
            <w:bottom w:w="0" w:type="dxa"/>
            <w:right w:w="10" w:type="dxa"/>
          </w:tblCellMar>
        </w:tblPrEx>
        <w:trPr>
          <w:trHeight w:val="567" w:hRule="atLeast"/>
        </w:trPr>
        <w:tc>
          <w:tcPr>
            <w:tcW w:w="444" w:type="pct"/>
            <w:vMerge w:val="continue"/>
            <w:tcBorders>
              <w:left w:val="single" w:color="000000" w:sz="4"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1117" w:type="pct"/>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隧道</w:t>
            </w:r>
            <w:r>
              <w:rPr>
                <w:rFonts w:asciiTheme="minorEastAsia" w:hAnsiTheme="minorEastAsia" w:eastAsiaTheme="minorEastAsia"/>
                <w:color w:val="auto"/>
                <w:sz w:val="21"/>
                <w:szCs w:val="21"/>
                <w:highlight w:val="none"/>
              </w:rPr>
              <w:t>主体结构及</w:t>
            </w:r>
            <w:r>
              <w:rPr>
                <w:rFonts w:hint="eastAsia" w:asciiTheme="minorEastAsia" w:hAnsiTheme="minorEastAsia" w:eastAsiaTheme="minorEastAsia"/>
                <w:color w:val="auto"/>
                <w:sz w:val="21"/>
                <w:szCs w:val="21"/>
                <w:highlight w:val="none"/>
              </w:rPr>
              <w:t>附属</w:t>
            </w:r>
            <w:r>
              <w:rPr>
                <w:rFonts w:asciiTheme="minorEastAsia" w:hAnsiTheme="minorEastAsia" w:eastAsiaTheme="minorEastAsia"/>
                <w:color w:val="auto"/>
                <w:sz w:val="21"/>
                <w:szCs w:val="21"/>
                <w:highlight w:val="none"/>
              </w:rPr>
              <w:t>设施情况</w:t>
            </w:r>
          </w:p>
        </w:tc>
        <w:tc>
          <w:tcPr>
            <w:tcW w:w="1081" w:type="pct"/>
            <w:tcBorders>
              <w:top w:val="single" w:color="000000" w:sz="6" w:space="0"/>
              <w:left w:val="single" w:color="auto" w:sz="4" w:space="0"/>
              <w:bottom w:val="single" w:color="000000" w:sz="6" w:space="0"/>
              <w:right w:val="single" w:color="auto"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499" w:type="pct"/>
            <w:tcBorders>
              <w:top w:val="single" w:color="000000" w:sz="6" w:space="0"/>
              <w:left w:val="single" w:color="auto" w:sz="4" w:space="0"/>
              <w:bottom w:val="single" w:color="000000" w:sz="6" w:space="0"/>
              <w:right w:val="single" w:color="auto"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工程技术措施</w:t>
            </w:r>
          </w:p>
        </w:tc>
        <w:tc>
          <w:tcPr>
            <w:tcW w:w="1081" w:type="pct"/>
            <w:tcBorders>
              <w:top w:val="single" w:color="000000" w:sz="6" w:space="0"/>
              <w:left w:val="single" w:color="auto" w:sz="4" w:space="0"/>
              <w:bottom w:val="single" w:color="000000" w:sz="6" w:space="0"/>
              <w:right w:val="single" w:color="000000"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778" w:type="pct"/>
            <w:vMerge w:val="restart"/>
            <w:tcBorders>
              <w:top w:val="single" w:color="000000" w:sz="6" w:space="0"/>
              <w:left w:val="single" w:color="000000" w:sz="6"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p>
        </w:tc>
      </w:tr>
      <w:tr>
        <w:trPr>
          <w:trHeight w:val="567" w:hRule="atLeast"/>
        </w:trPr>
        <w:tc>
          <w:tcPr>
            <w:tcW w:w="444" w:type="pct"/>
            <w:vMerge w:val="continue"/>
            <w:tcBorders>
              <w:left w:val="single" w:color="000000" w:sz="4"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1117" w:type="pct"/>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隧道机电设备设施</w:t>
            </w:r>
          </w:p>
        </w:tc>
        <w:tc>
          <w:tcPr>
            <w:tcW w:w="1081" w:type="pct"/>
            <w:tcBorders>
              <w:top w:val="single" w:color="000000" w:sz="6" w:space="0"/>
              <w:left w:val="single" w:color="auto" w:sz="4" w:space="0"/>
              <w:bottom w:val="single" w:color="000000" w:sz="6" w:space="0"/>
              <w:right w:val="single" w:color="auto"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499" w:type="pct"/>
            <w:tcBorders>
              <w:top w:val="single" w:color="000000" w:sz="6" w:space="0"/>
              <w:left w:val="single" w:color="auto" w:sz="4" w:space="0"/>
              <w:bottom w:val="single" w:color="000000" w:sz="6" w:space="0"/>
              <w:right w:val="single" w:color="auto"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管理措施</w:t>
            </w:r>
          </w:p>
        </w:tc>
        <w:tc>
          <w:tcPr>
            <w:tcW w:w="1081" w:type="pct"/>
            <w:tcBorders>
              <w:top w:val="single" w:color="000000" w:sz="6" w:space="0"/>
              <w:left w:val="single" w:color="auto" w:sz="4" w:space="0"/>
              <w:bottom w:val="single" w:color="000000" w:sz="6" w:space="0"/>
              <w:right w:val="single" w:color="000000"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778" w:type="pct"/>
            <w:vMerge w:val="continue"/>
            <w:tcBorders>
              <w:left w:val="single" w:color="000000" w:sz="6"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p>
        </w:tc>
      </w:tr>
      <w:tr>
        <w:trPr>
          <w:trHeight w:val="567" w:hRule="atLeast"/>
        </w:trPr>
        <w:tc>
          <w:tcPr>
            <w:tcW w:w="444" w:type="pct"/>
            <w:vMerge w:val="continue"/>
            <w:tcBorders>
              <w:left w:val="single" w:color="000000" w:sz="4"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1117" w:type="pct"/>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周边环境</w:t>
            </w:r>
          </w:p>
        </w:tc>
        <w:tc>
          <w:tcPr>
            <w:tcW w:w="1081" w:type="pct"/>
            <w:tcBorders>
              <w:top w:val="single" w:color="000000" w:sz="6" w:space="0"/>
              <w:left w:val="single" w:color="auto" w:sz="4" w:space="0"/>
              <w:bottom w:val="single" w:color="000000" w:sz="6" w:space="0"/>
              <w:right w:val="single" w:color="auto"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499" w:type="pct"/>
            <w:tcBorders>
              <w:top w:val="single" w:color="000000" w:sz="6" w:space="0"/>
              <w:left w:val="single" w:color="auto" w:sz="4" w:space="0"/>
              <w:bottom w:val="single" w:color="000000" w:sz="6" w:space="0"/>
              <w:right w:val="single" w:color="auto"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教育培训措施</w:t>
            </w:r>
          </w:p>
        </w:tc>
        <w:tc>
          <w:tcPr>
            <w:tcW w:w="1081" w:type="pct"/>
            <w:tcBorders>
              <w:top w:val="single" w:color="000000" w:sz="6" w:space="0"/>
              <w:left w:val="single" w:color="auto" w:sz="4" w:space="0"/>
              <w:bottom w:val="single" w:color="000000" w:sz="6" w:space="0"/>
              <w:right w:val="single" w:color="000000"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778" w:type="pct"/>
            <w:vMerge w:val="continue"/>
            <w:tcBorders>
              <w:left w:val="single" w:color="000000" w:sz="6"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p>
        </w:tc>
      </w:tr>
      <w:tr>
        <w:trPr>
          <w:trHeight w:val="567" w:hRule="atLeast"/>
        </w:trPr>
        <w:tc>
          <w:tcPr>
            <w:tcW w:w="444" w:type="pct"/>
            <w:vMerge w:val="continue"/>
            <w:tcBorders>
              <w:left w:val="single" w:color="000000" w:sz="4"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1117" w:type="pct"/>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交通量与交通组成</w:t>
            </w:r>
          </w:p>
          <w:p>
            <w:pPr>
              <w:spacing w:after="0" w:line="360" w:lineRule="exact"/>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交通运行与违章</w:t>
            </w:r>
          </w:p>
        </w:tc>
        <w:tc>
          <w:tcPr>
            <w:tcW w:w="1081" w:type="pct"/>
            <w:tcBorders>
              <w:top w:val="single" w:color="000000" w:sz="6" w:space="0"/>
              <w:left w:val="single" w:color="auto" w:sz="4" w:space="0"/>
              <w:bottom w:val="single" w:color="000000" w:sz="6" w:space="0"/>
              <w:right w:val="single" w:color="auto"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499" w:type="pct"/>
            <w:tcBorders>
              <w:top w:val="single" w:color="000000" w:sz="6" w:space="0"/>
              <w:left w:val="single" w:color="auto" w:sz="4" w:space="0"/>
              <w:bottom w:val="single" w:color="000000" w:sz="6" w:space="0"/>
              <w:right w:val="single" w:color="auto"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个体防护措施</w:t>
            </w:r>
          </w:p>
        </w:tc>
        <w:tc>
          <w:tcPr>
            <w:tcW w:w="1081" w:type="pct"/>
            <w:tcBorders>
              <w:top w:val="single" w:color="000000" w:sz="6" w:space="0"/>
              <w:left w:val="single" w:color="auto" w:sz="4" w:space="0"/>
              <w:bottom w:val="single" w:color="000000" w:sz="6" w:space="0"/>
              <w:right w:val="single" w:color="000000"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778" w:type="pct"/>
            <w:vMerge w:val="continue"/>
            <w:tcBorders>
              <w:left w:val="single" w:color="000000" w:sz="6"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p>
        </w:tc>
      </w:tr>
      <w:tr>
        <w:trPr>
          <w:trHeight w:val="567" w:hRule="atLeast"/>
        </w:trPr>
        <w:tc>
          <w:tcPr>
            <w:tcW w:w="444" w:type="pct"/>
            <w:vMerge w:val="continue"/>
            <w:tcBorders>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1117" w:type="pct"/>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其他致险因素</w:t>
            </w:r>
          </w:p>
        </w:tc>
        <w:tc>
          <w:tcPr>
            <w:tcW w:w="1081" w:type="pct"/>
            <w:tcBorders>
              <w:top w:val="single" w:color="000000" w:sz="6" w:space="0"/>
              <w:left w:val="single" w:color="auto" w:sz="4" w:space="0"/>
              <w:bottom w:val="single" w:color="000000" w:sz="6" w:space="0"/>
              <w:right w:val="single" w:color="auto"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499" w:type="pct"/>
            <w:tcBorders>
              <w:top w:val="single" w:color="000000" w:sz="6" w:space="0"/>
              <w:left w:val="single" w:color="auto" w:sz="4" w:space="0"/>
              <w:bottom w:val="single" w:color="000000" w:sz="6" w:space="0"/>
              <w:right w:val="single" w:color="auto"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应急处置措施</w:t>
            </w:r>
          </w:p>
        </w:tc>
        <w:tc>
          <w:tcPr>
            <w:tcW w:w="1081" w:type="pct"/>
            <w:tcBorders>
              <w:top w:val="single" w:color="000000" w:sz="6" w:space="0"/>
              <w:left w:val="single" w:color="auto" w:sz="4" w:space="0"/>
              <w:bottom w:val="single" w:color="000000" w:sz="6" w:space="0"/>
              <w:right w:val="single" w:color="000000" w:sz="4" w:space="0"/>
            </w:tcBorders>
            <w:shd w:val="clear" w:color="000000" w:fill="FFFFFF"/>
            <w:vAlign w:val="center"/>
          </w:tcPr>
          <w:p>
            <w:pPr>
              <w:spacing w:after="0" w:line="360" w:lineRule="exact"/>
              <w:ind w:left="0"/>
              <w:jc w:val="center"/>
              <w:rPr>
                <w:rFonts w:asciiTheme="minorEastAsia" w:hAnsiTheme="minorEastAsia" w:eastAsiaTheme="minorEastAsia"/>
                <w:color w:val="auto"/>
                <w:sz w:val="21"/>
                <w:szCs w:val="21"/>
                <w:highlight w:val="none"/>
              </w:rPr>
            </w:pPr>
          </w:p>
        </w:tc>
        <w:tc>
          <w:tcPr>
            <w:tcW w:w="778" w:type="pct"/>
            <w:vMerge w:val="continue"/>
            <w:tcBorders>
              <w:left w:val="single" w:color="000000" w:sz="6" w:space="0"/>
              <w:bottom w:val="single" w:color="000000" w:sz="6"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p>
        </w:tc>
      </w:tr>
      <w:tr>
        <w:trPr>
          <w:trHeight w:val="567" w:hRule="atLeast"/>
        </w:trPr>
        <w:tc>
          <w:tcPr>
            <w:tcW w:w="5000" w:type="pct"/>
            <w:gridSpan w:val="6"/>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after="0" w:line="360" w:lineRule="exact"/>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填表人</w:t>
            </w:r>
            <w:r>
              <w:rPr>
                <w:rFonts w:hint="eastAsia" w:asciiTheme="minorEastAsia" w:hAnsiTheme="minorEastAsia" w:eastAsiaTheme="minorEastAsia"/>
                <w:color w:val="auto"/>
                <w:sz w:val="21"/>
                <w:szCs w:val="21"/>
                <w:highlight w:val="none"/>
              </w:rPr>
              <w:t>：                              填表日期：</w:t>
            </w:r>
          </w:p>
        </w:tc>
      </w:tr>
    </w:tbl>
    <w:p>
      <w:pPr>
        <w:widowControl w:val="0"/>
        <w:spacing w:after="0" w:line="480" w:lineRule="exact"/>
        <w:ind w:left="0" w:firstLine="0"/>
        <w:jc w:val="center"/>
        <w:rPr>
          <w:rFonts w:cs="仿宋_GB2312" w:asciiTheme="minorEastAsia" w:hAnsiTheme="minorEastAsia" w:eastAsiaTheme="minorEastAsia"/>
          <w:b/>
          <w:color w:val="auto"/>
          <w:sz w:val="21"/>
          <w:szCs w:val="21"/>
          <w:highlight w:val="none"/>
        </w:rPr>
      </w:pPr>
    </w:p>
    <w:p>
      <w:pPr>
        <w:spacing w:after="0" w:line="240" w:lineRule="auto"/>
        <w:ind w:left="0" w:firstLine="0"/>
        <w:rPr>
          <w:rFonts w:cs="仿宋_GB2312" w:asciiTheme="minorEastAsia" w:hAnsiTheme="minorEastAsia" w:eastAsiaTheme="minorEastAsia"/>
          <w:b/>
          <w:color w:val="auto"/>
          <w:sz w:val="21"/>
          <w:szCs w:val="21"/>
          <w:highlight w:val="none"/>
        </w:rPr>
      </w:pPr>
      <w:r>
        <w:rPr>
          <w:rFonts w:cs="仿宋_GB2312" w:asciiTheme="minorEastAsia" w:hAnsiTheme="minorEastAsia" w:eastAsiaTheme="minorEastAsia"/>
          <w:b/>
          <w:color w:val="auto"/>
          <w:sz w:val="21"/>
          <w:szCs w:val="21"/>
          <w:highlight w:val="none"/>
        </w:rPr>
        <w:br w:type="page"/>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3.1</w:t>
      </w:r>
      <w:r>
        <w:rPr>
          <w:rFonts w:cs="宋体" w:asciiTheme="minorEastAsia" w:hAnsiTheme="minorEastAsia" w:eastAsiaTheme="minorEastAsia"/>
          <w:b/>
          <w:color w:val="auto"/>
          <w:szCs w:val="24"/>
          <w:highlight w:val="none"/>
        </w:rPr>
        <w:t>2</w:t>
      </w:r>
      <w:r>
        <w:rPr>
          <w:rFonts w:hint="eastAsia" w:cs="宋体" w:asciiTheme="minorEastAsia" w:hAnsiTheme="minorEastAsia" w:eastAsiaTheme="minorEastAsia"/>
          <w:b/>
          <w:color w:val="auto"/>
          <w:szCs w:val="24"/>
          <w:highlight w:val="none"/>
        </w:rPr>
        <w:t>.5专项管控方案</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针对较大及以上风险，公司应组织编制专项管控方案和应急措施，其内容主要包括风险基本情况描述、风险管控组织机构和人员职责、具体管控方案（包括工程技术、教育培训、个体防护、管理等）、保障措施（技术保障、人员保障、资金保障）、监督管理和专项应急措施等。</w:t>
      </w:r>
    </w:p>
    <w:p>
      <w:pPr>
        <w:spacing w:after="0" w:line="240" w:lineRule="auto"/>
        <w:ind w:left="0" w:firstLine="0"/>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br w:type="page"/>
      </w:r>
    </w:p>
    <w:p>
      <w:pPr>
        <w:framePr w:hSpace="180" w:wrap="around" w:vAnchor="page" w:hAnchor="margin" w:xAlign="center" w:y="2051"/>
        <w:widowControl w:val="0"/>
        <w:spacing w:after="0" w:line="480" w:lineRule="exact"/>
        <w:ind w:left="0" w:firstLine="0"/>
        <w:jc w:val="center"/>
        <w:rPr>
          <w:rFonts w:cs="宋体" w:asciiTheme="minorEastAsia" w:hAnsiTheme="minorEastAsia" w:eastAsiaTheme="minorEastAsia"/>
          <w:b/>
          <w:color w:val="auto"/>
          <w:sz w:val="48"/>
          <w:szCs w:val="32"/>
          <w:highlight w:val="none"/>
        </w:rPr>
      </w:pPr>
    </w:p>
    <w:p>
      <w:pPr>
        <w:framePr w:hSpace="180" w:wrap="around" w:vAnchor="page" w:hAnchor="margin" w:xAlign="center" w:y="2051"/>
        <w:widowControl w:val="0"/>
        <w:spacing w:after="0" w:line="480" w:lineRule="exact"/>
        <w:ind w:left="0" w:firstLine="0"/>
        <w:jc w:val="center"/>
        <w:rPr>
          <w:rFonts w:cs="宋体" w:asciiTheme="minorEastAsia" w:hAnsiTheme="minorEastAsia" w:eastAsiaTheme="minorEastAsia"/>
          <w:b/>
          <w:color w:val="auto"/>
          <w:sz w:val="44"/>
          <w:szCs w:val="32"/>
          <w:highlight w:val="none"/>
        </w:rPr>
      </w:pPr>
      <w:r>
        <w:rPr>
          <w:rFonts w:hint="eastAsia" w:cs="宋体" w:asciiTheme="minorEastAsia" w:hAnsiTheme="minorEastAsia" w:eastAsiaTheme="minorEastAsia"/>
          <w:b/>
          <w:color w:val="auto"/>
          <w:sz w:val="44"/>
          <w:szCs w:val="32"/>
          <w:highlight w:val="none"/>
        </w:rPr>
        <w:t>_______风险专项管控方案</w:t>
      </w:r>
    </w:p>
    <w:p>
      <w:pPr>
        <w:framePr w:hSpace="180" w:wrap="around" w:vAnchor="page" w:hAnchor="margin" w:xAlign="center" w:y="2051"/>
        <w:widowControl w:val="0"/>
        <w:spacing w:after="0" w:line="480" w:lineRule="exact"/>
        <w:ind w:left="0" w:firstLine="0"/>
        <w:jc w:val="center"/>
        <w:rPr>
          <w:rFonts w:cs="宋体" w:asciiTheme="minorEastAsia" w:hAnsiTheme="minorEastAsia" w:eastAsiaTheme="minorEastAsia"/>
          <w:b/>
          <w:color w:val="auto"/>
          <w:sz w:val="32"/>
          <w:szCs w:val="32"/>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360" w:lineRule="auto"/>
        <w:ind w:left="0" w:firstLine="0"/>
        <w:jc w:val="center"/>
        <w:rPr>
          <w:rFonts w:cs="宋体" w:asciiTheme="minorEastAsia" w:hAnsiTheme="minorEastAsia" w:eastAsiaTheme="minorEastAsia"/>
          <w:color w:val="auto"/>
          <w:sz w:val="36"/>
          <w:szCs w:val="24"/>
          <w:highlight w:val="none"/>
        </w:rPr>
      </w:pPr>
      <w:r>
        <w:rPr>
          <w:rFonts w:hint="eastAsia" w:cs="宋体" w:asciiTheme="minorEastAsia" w:hAnsiTheme="minorEastAsia" w:eastAsiaTheme="minorEastAsia"/>
          <w:color w:val="auto"/>
          <w:sz w:val="36"/>
          <w:szCs w:val="24"/>
          <w:highlight w:val="none"/>
        </w:rPr>
        <w:t>编制：</w:t>
      </w:r>
    </w:p>
    <w:p>
      <w:pPr>
        <w:framePr w:hSpace="180" w:wrap="around" w:vAnchor="page" w:hAnchor="margin" w:xAlign="center" w:y="2051"/>
        <w:widowControl w:val="0"/>
        <w:spacing w:after="0" w:line="360" w:lineRule="auto"/>
        <w:ind w:left="0" w:firstLine="0"/>
        <w:jc w:val="center"/>
        <w:rPr>
          <w:rFonts w:cs="宋体" w:asciiTheme="minorEastAsia" w:hAnsiTheme="minorEastAsia" w:eastAsiaTheme="minorEastAsia"/>
          <w:color w:val="auto"/>
          <w:sz w:val="36"/>
          <w:szCs w:val="24"/>
          <w:highlight w:val="none"/>
        </w:rPr>
      </w:pPr>
      <w:r>
        <w:rPr>
          <w:rFonts w:hint="eastAsia" w:cs="宋体" w:asciiTheme="minorEastAsia" w:hAnsiTheme="minorEastAsia" w:eastAsiaTheme="minorEastAsia"/>
          <w:color w:val="auto"/>
          <w:sz w:val="36"/>
          <w:szCs w:val="24"/>
          <w:highlight w:val="none"/>
        </w:rPr>
        <w:t>审核：</w:t>
      </w:r>
    </w:p>
    <w:p>
      <w:pPr>
        <w:framePr w:hSpace="180" w:wrap="around" w:vAnchor="page" w:hAnchor="margin" w:xAlign="center" w:y="2051"/>
        <w:widowControl w:val="0"/>
        <w:spacing w:after="0" w:line="360" w:lineRule="auto"/>
        <w:ind w:left="0" w:firstLine="0"/>
        <w:jc w:val="center"/>
        <w:rPr>
          <w:rFonts w:cs="宋体" w:asciiTheme="minorEastAsia" w:hAnsiTheme="minorEastAsia" w:eastAsiaTheme="minorEastAsia"/>
          <w:color w:val="auto"/>
          <w:sz w:val="36"/>
          <w:szCs w:val="24"/>
          <w:highlight w:val="none"/>
        </w:rPr>
      </w:pPr>
      <w:r>
        <w:rPr>
          <w:rFonts w:hint="eastAsia" w:cs="宋体" w:asciiTheme="minorEastAsia" w:hAnsiTheme="minorEastAsia" w:eastAsiaTheme="minorEastAsia"/>
          <w:color w:val="auto"/>
          <w:sz w:val="36"/>
          <w:szCs w:val="24"/>
          <w:highlight w:val="none"/>
        </w:rPr>
        <w:t>发布：</w:t>
      </w: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highlight w:val="none"/>
        </w:rPr>
      </w:pPr>
    </w:p>
    <w:p>
      <w:pPr>
        <w:framePr w:hSpace="180" w:wrap="around" w:vAnchor="page" w:hAnchor="margin" w:xAlign="center" w:y="2051"/>
        <w:widowControl w:val="0"/>
        <w:spacing w:after="0" w:line="360" w:lineRule="auto"/>
        <w:ind w:left="0" w:firstLine="0"/>
        <w:jc w:val="center"/>
        <w:rPr>
          <w:rFonts w:cs="宋体" w:asciiTheme="minorEastAsia" w:hAnsiTheme="minorEastAsia" w:eastAsiaTheme="minorEastAsia"/>
          <w:color w:val="auto"/>
          <w:sz w:val="28"/>
          <w:szCs w:val="24"/>
          <w:highlight w:val="none"/>
        </w:rPr>
      </w:pPr>
      <w:r>
        <w:rPr>
          <w:rFonts w:hint="eastAsia" w:cs="宋体" w:asciiTheme="minorEastAsia" w:hAnsiTheme="minorEastAsia" w:eastAsiaTheme="minorEastAsia"/>
          <w:color w:val="auto"/>
          <w:sz w:val="28"/>
          <w:szCs w:val="24"/>
          <w:highlight w:val="none"/>
        </w:rPr>
        <w:t>编制单位：</w:t>
      </w:r>
    </w:p>
    <w:p>
      <w:pPr>
        <w:framePr w:hSpace="180" w:wrap="around" w:vAnchor="page" w:hAnchor="margin" w:xAlign="center" w:y="2051"/>
        <w:widowControl w:val="0"/>
        <w:spacing w:after="0" w:line="360" w:lineRule="auto"/>
        <w:ind w:left="0" w:firstLine="0"/>
        <w:jc w:val="center"/>
        <w:rPr>
          <w:rFonts w:cs="宋体" w:asciiTheme="minorEastAsia" w:hAnsiTheme="minorEastAsia" w:eastAsiaTheme="minorEastAsia"/>
          <w:color w:val="auto"/>
          <w:sz w:val="28"/>
          <w:szCs w:val="24"/>
          <w:highlight w:val="none"/>
        </w:rPr>
      </w:pPr>
      <w:r>
        <w:rPr>
          <w:rFonts w:hint="eastAsia" w:cs="宋体" w:asciiTheme="minorEastAsia" w:hAnsiTheme="minorEastAsia" w:eastAsiaTheme="minorEastAsia"/>
          <w:color w:val="auto"/>
          <w:sz w:val="28"/>
          <w:szCs w:val="24"/>
          <w:highlight w:val="none"/>
        </w:rPr>
        <w:t>________年______月_______日</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br w:type="page"/>
      </w:r>
    </w:p>
    <w:p>
      <w:pPr>
        <w:framePr w:hSpace="180" w:wrap="around" w:vAnchor="page" w:hAnchor="margin" w:xAlign="center" w:y="2051"/>
        <w:widowControl w:val="0"/>
        <w:numPr>
          <w:ilvl w:val="0"/>
          <w:numId w:val="4"/>
        </w:numPr>
        <w:spacing w:after="0" w:line="360" w:lineRule="auto"/>
        <w:jc w:val="both"/>
        <w:rPr>
          <w:rFonts w:cs="宋体" w:asciiTheme="minorEastAsia" w:hAnsiTheme="minorEastAsia" w:eastAsiaTheme="minorEastAsia"/>
          <w:b/>
          <w:color w:val="auto"/>
          <w:sz w:val="28"/>
          <w:szCs w:val="24"/>
          <w:highlight w:val="none"/>
        </w:rPr>
      </w:pPr>
      <w:r>
        <w:rPr>
          <w:rFonts w:cs="宋体" w:asciiTheme="minorEastAsia" w:hAnsiTheme="minorEastAsia" w:eastAsiaTheme="minorEastAsia"/>
          <w:b/>
          <w:color w:val="auto"/>
          <w:sz w:val="28"/>
          <w:szCs w:val="24"/>
          <w:highlight w:val="none"/>
        </w:rPr>
        <w:t>风险基本情况描述</w:t>
      </w:r>
    </w:p>
    <w:p>
      <w:pPr>
        <w:framePr w:hSpace="180" w:wrap="around" w:vAnchor="page" w:hAnchor="margin" w:xAlign="center" w:y="2051"/>
        <w:widowControl w:val="0"/>
        <w:spacing w:after="0" w:line="360" w:lineRule="auto"/>
        <w:ind w:left="0" w:firstLine="0"/>
        <w:jc w:val="both"/>
        <w:rPr>
          <w:rFonts w:cs="宋体" w:asciiTheme="minorEastAsia" w:hAnsiTheme="minorEastAsia" w:eastAsiaTheme="minorEastAsia"/>
          <w:b/>
          <w:color w:val="auto"/>
          <w:sz w:val="28"/>
          <w:szCs w:val="24"/>
          <w:highlight w:val="none"/>
        </w:rPr>
      </w:pPr>
    </w:p>
    <w:p>
      <w:pPr>
        <w:framePr w:hSpace="180" w:wrap="around" w:vAnchor="page" w:hAnchor="margin" w:xAlign="center" w:y="2051"/>
        <w:widowControl w:val="0"/>
        <w:spacing w:after="0" w:line="360" w:lineRule="auto"/>
        <w:ind w:left="0" w:firstLine="0"/>
        <w:jc w:val="both"/>
        <w:rPr>
          <w:rFonts w:cs="宋体" w:asciiTheme="minorEastAsia" w:hAnsiTheme="minorEastAsia" w:eastAsiaTheme="minorEastAsia"/>
          <w:b/>
          <w:color w:val="auto"/>
          <w:sz w:val="28"/>
          <w:szCs w:val="24"/>
          <w:highlight w:val="none"/>
        </w:rPr>
      </w:pPr>
    </w:p>
    <w:p>
      <w:pPr>
        <w:framePr w:hSpace="180" w:wrap="around" w:vAnchor="page" w:hAnchor="margin" w:xAlign="center" w:y="2051"/>
        <w:widowControl w:val="0"/>
        <w:numPr>
          <w:ilvl w:val="0"/>
          <w:numId w:val="4"/>
        </w:numPr>
        <w:spacing w:after="0" w:line="360" w:lineRule="auto"/>
        <w:jc w:val="both"/>
        <w:rPr>
          <w:rFonts w:cs="宋体" w:asciiTheme="minorEastAsia" w:hAnsiTheme="minorEastAsia" w:eastAsiaTheme="minorEastAsia"/>
          <w:b/>
          <w:color w:val="auto"/>
          <w:sz w:val="28"/>
          <w:szCs w:val="24"/>
          <w:highlight w:val="none"/>
        </w:rPr>
      </w:pPr>
      <w:r>
        <w:rPr>
          <w:rFonts w:hint="eastAsia" w:cs="宋体" w:asciiTheme="minorEastAsia" w:hAnsiTheme="minorEastAsia" w:eastAsiaTheme="minorEastAsia"/>
          <w:b/>
          <w:color w:val="auto"/>
          <w:sz w:val="28"/>
          <w:szCs w:val="24"/>
          <w:highlight w:val="none"/>
        </w:rPr>
        <w:t>管控组织及职责</w:t>
      </w:r>
    </w:p>
    <w:p>
      <w:pPr>
        <w:framePr w:hSpace="180" w:wrap="around" w:vAnchor="page" w:hAnchor="margin" w:xAlign="center" w:y="2051"/>
        <w:widowControl w:val="0"/>
        <w:spacing w:after="0" w:line="360" w:lineRule="auto"/>
        <w:ind w:left="0" w:firstLine="562" w:firstLineChars="200"/>
        <w:jc w:val="both"/>
        <w:rPr>
          <w:rFonts w:cs="宋体" w:asciiTheme="minorEastAsia" w:hAnsiTheme="minorEastAsia" w:eastAsiaTheme="minorEastAsia"/>
          <w:b/>
          <w:color w:val="auto"/>
          <w:sz w:val="28"/>
          <w:szCs w:val="24"/>
          <w:highlight w:val="none"/>
        </w:rPr>
      </w:pPr>
    </w:p>
    <w:p>
      <w:pPr>
        <w:framePr w:hSpace="180" w:wrap="around" w:vAnchor="page" w:hAnchor="margin" w:xAlign="center" w:y="2051"/>
        <w:widowControl w:val="0"/>
        <w:spacing w:after="0" w:line="360" w:lineRule="auto"/>
        <w:ind w:left="0" w:firstLine="562" w:firstLineChars="200"/>
        <w:jc w:val="both"/>
        <w:rPr>
          <w:rFonts w:cs="宋体" w:asciiTheme="minorEastAsia" w:hAnsiTheme="minorEastAsia" w:eastAsiaTheme="minorEastAsia"/>
          <w:b/>
          <w:color w:val="auto"/>
          <w:sz w:val="28"/>
          <w:szCs w:val="24"/>
          <w:highlight w:val="none"/>
        </w:rPr>
      </w:pPr>
    </w:p>
    <w:p>
      <w:pPr>
        <w:framePr w:hSpace="180" w:wrap="around" w:vAnchor="page" w:hAnchor="margin" w:xAlign="center" w:y="2051"/>
        <w:widowControl w:val="0"/>
        <w:numPr>
          <w:ilvl w:val="0"/>
          <w:numId w:val="4"/>
        </w:numPr>
        <w:spacing w:after="0" w:line="360" w:lineRule="auto"/>
        <w:jc w:val="both"/>
        <w:rPr>
          <w:rFonts w:cs="宋体" w:asciiTheme="minorEastAsia" w:hAnsiTheme="minorEastAsia" w:eastAsiaTheme="minorEastAsia"/>
          <w:b/>
          <w:color w:val="auto"/>
          <w:sz w:val="28"/>
          <w:szCs w:val="24"/>
          <w:highlight w:val="none"/>
        </w:rPr>
      </w:pPr>
      <w:r>
        <w:rPr>
          <w:rFonts w:hint="eastAsia" w:cs="宋体" w:asciiTheme="minorEastAsia" w:hAnsiTheme="minorEastAsia" w:eastAsiaTheme="minorEastAsia"/>
          <w:b/>
          <w:color w:val="auto"/>
          <w:sz w:val="28"/>
          <w:szCs w:val="24"/>
          <w:highlight w:val="none"/>
        </w:rPr>
        <w:t>具体管控方案</w:t>
      </w:r>
    </w:p>
    <w:p>
      <w:pPr>
        <w:framePr w:hSpace="180" w:wrap="around" w:vAnchor="page" w:hAnchor="margin" w:xAlign="center" w:y="2051"/>
        <w:widowControl w:val="0"/>
        <w:spacing w:after="0" w:line="360" w:lineRule="auto"/>
        <w:ind w:left="0" w:firstLine="562" w:firstLineChars="200"/>
        <w:jc w:val="both"/>
        <w:rPr>
          <w:rFonts w:cs="宋体" w:asciiTheme="minorEastAsia" w:hAnsiTheme="minorEastAsia" w:eastAsiaTheme="minorEastAsia"/>
          <w:b/>
          <w:color w:val="auto"/>
          <w:sz w:val="28"/>
          <w:szCs w:val="24"/>
          <w:highlight w:val="none"/>
        </w:rPr>
      </w:pPr>
    </w:p>
    <w:p>
      <w:pPr>
        <w:framePr w:hSpace="180" w:wrap="around" w:vAnchor="page" w:hAnchor="margin" w:xAlign="center" w:y="2051"/>
        <w:widowControl w:val="0"/>
        <w:spacing w:after="0" w:line="360" w:lineRule="auto"/>
        <w:ind w:left="0" w:firstLine="562" w:firstLineChars="200"/>
        <w:jc w:val="both"/>
        <w:rPr>
          <w:rFonts w:cs="宋体" w:asciiTheme="minorEastAsia" w:hAnsiTheme="minorEastAsia" w:eastAsiaTheme="minorEastAsia"/>
          <w:b/>
          <w:color w:val="auto"/>
          <w:sz w:val="28"/>
          <w:szCs w:val="24"/>
          <w:highlight w:val="none"/>
        </w:rPr>
      </w:pPr>
    </w:p>
    <w:p>
      <w:pPr>
        <w:framePr w:hSpace="180" w:wrap="around" w:vAnchor="page" w:hAnchor="margin" w:xAlign="center" w:y="2051"/>
        <w:widowControl w:val="0"/>
        <w:numPr>
          <w:ilvl w:val="0"/>
          <w:numId w:val="4"/>
        </w:numPr>
        <w:spacing w:after="0" w:line="360" w:lineRule="auto"/>
        <w:jc w:val="both"/>
        <w:rPr>
          <w:rFonts w:cs="宋体" w:asciiTheme="minorEastAsia" w:hAnsiTheme="minorEastAsia" w:eastAsiaTheme="minorEastAsia"/>
          <w:b/>
          <w:color w:val="auto"/>
          <w:sz w:val="28"/>
          <w:szCs w:val="24"/>
          <w:highlight w:val="none"/>
        </w:rPr>
      </w:pPr>
      <w:r>
        <w:rPr>
          <w:rFonts w:cs="宋体" w:asciiTheme="minorEastAsia" w:hAnsiTheme="minorEastAsia" w:eastAsiaTheme="minorEastAsia"/>
          <w:b/>
          <w:color w:val="auto"/>
          <w:sz w:val="28"/>
          <w:szCs w:val="24"/>
          <w:highlight w:val="none"/>
        </w:rPr>
        <w:t>保障措施</w:t>
      </w:r>
    </w:p>
    <w:p>
      <w:pPr>
        <w:framePr w:hSpace="180" w:wrap="around" w:vAnchor="page" w:hAnchor="margin" w:xAlign="center" w:y="2051"/>
        <w:widowControl w:val="0"/>
        <w:spacing w:after="0" w:line="360" w:lineRule="auto"/>
        <w:ind w:left="0" w:firstLine="562" w:firstLineChars="200"/>
        <w:jc w:val="both"/>
        <w:rPr>
          <w:rFonts w:cs="宋体" w:asciiTheme="minorEastAsia" w:hAnsiTheme="minorEastAsia" w:eastAsiaTheme="minorEastAsia"/>
          <w:b/>
          <w:color w:val="auto"/>
          <w:sz w:val="28"/>
          <w:szCs w:val="24"/>
          <w:highlight w:val="none"/>
        </w:rPr>
      </w:pPr>
    </w:p>
    <w:p>
      <w:pPr>
        <w:framePr w:hSpace="180" w:wrap="around" w:vAnchor="page" w:hAnchor="margin" w:xAlign="center" w:y="2051"/>
        <w:widowControl w:val="0"/>
        <w:spacing w:after="0" w:line="360" w:lineRule="auto"/>
        <w:ind w:left="0" w:firstLine="562" w:firstLineChars="200"/>
        <w:jc w:val="both"/>
        <w:rPr>
          <w:rFonts w:cs="宋体" w:asciiTheme="minorEastAsia" w:hAnsiTheme="minorEastAsia" w:eastAsiaTheme="minorEastAsia"/>
          <w:b/>
          <w:color w:val="auto"/>
          <w:sz w:val="28"/>
          <w:szCs w:val="24"/>
          <w:highlight w:val="none"/>
        </w:rPr>
      </w:pPr>
    </w:p>
    <w:p>
      <w:pPr>
        <w:framePr w:hSpace="180" w:wrap="around" w:vAnchor="page" w:hAnchor="margin" w:xAlign="center" w:y="2051"/>
        <w:widowControl w:val="0"/>
        <w:numPr>
          <w:ilvl w:val="0"/>
          <w:numId w:val="4"/>
        </w:numPr>
        <w:spacing w:after="0" w:line="360" w:lineRule="auto"/>
        <w:jc w:val="both"/>
        <w:rPr>
          <w:rFonts w:cs="宋体" w:asciiTheme="minorEastAsia" w:hAnsiTheme="minorEastAsia" w:eastAsiaTheme="minorEastAsia"/>
          <w:b/>
          <w:color w:val="auto"/>
          <w:sz w:val="28"/>
          <w:szCs w:val="24"/>
          <w:highlight w:val="none"/>
        </w:rPr>
      </w:pPr>
      <w:r>
        <w:rPr>
          <w:rFonts w:hint="eastAsia" w:cs="宋体" w:asciiTheme="minorEastAsia" w:hAnsiTheme="minorEastAsia" w:eastAsiaTheme="minorEastAsia"/>
          <w:b/>
          <w:color w:val="auto"/>
          <w:sz w:val="28"/>
          <w:szCs w:val="24"/>
          <w:highlight w:val="none"/>
        </w:rPr>
        <w:t>监督管理</w:t>
      </w:r>
    </w:p>
    <w:p>
      <w:pPr>
        <w:framePr w:hSpace="180" w:wrap="around" w:vAnchor="page" w:hAnchor="margin" w:xAlign="center" w:y="2051"/>
        <w:widowControl w:val="0"/>
        <w:spacing w:after="0" w:line="360" w:lineRule="auto"/>
        <w:ind w:left="480" w:firstLine="0"/>
        <w:jc w:val="both"/>
        <w:rPr>
          <w:rFonts w:cs="宋体" w:asciiTheme="minorEastAsia" w:hAnsiTheme="minorEastAsia" w:eastAsiaTheme="minorEastAsia"/>
          <w:b/>
          <w:color w:val="auto"/>
          <w:sz w:val="28"/>
          <w:szCs w:val="24"/>
          <w:highlight w:val="none"/>
        </w:rPr>
      </w:pPr>
    </w:p>
    <w:p>
      <w:pPr>
        <w:framePr w:hSpace="180" w:wrap="around" w:vAnchor="page" w:hAnchor="margin" w:xAlign="center" w:y="2051"/>
        <w:widowControl w:val="0"/>
        <w:spacing w:after="0" w:line="360" w:lineRule="auto"/>
        <w:ind w:left="480" w:firstLine="0"/>
        <w:jc w:val="both"/>
        <w:rPr>
          <w:rFonts w:cs="宋体" w:asciiTheme="minorEastAsia" w:hAnsiTheme="minorEastAsia" w:eastAsiaTheme="minorEastAsia"/>
          <w:b/>
          <w:color w:val="auto"/>
          <w:sz w:val="28"/>
          <w:szCs w:val="24"/>
          <w:highlight w:val="none"/>
        </w:rPr>
      </w:pPr>
    </w:p>
    <w:p>
      <w:pPr>
        <w:pStyle w:val="49"/>
        <w:framePr w:hSpace="180" w:wrap="around" w:vAnchor="page" w:hAnchor="margin" w:xAlign="center" w:y="2051"/>
        <w:widowControl w:val="0"/>
        <w:numPr>
          <w:ilvl w:val="0"/>
          <w:numId w:val="4"/>
        </w:numPr>
        <w:spacing w:after="0" w:line="360" w:lineRule="auto"/>
        <w:ind w:firstLineChars="0"/>
        <w:jc w:val="both"/>
        <w:rPr>
          <w:rFonts w:cs="宋体" w:asciiTheme="minorEastAsia" w:hAnsiTheme="minorEastAsia" w:eastAsiaTheme="minorEastAsia"/>
          <w:b/>
          <w:color w:val="auto"/>
          <w:sz w:val="28"/>
          <w:szCs w:val="24"/>
          <w:highlight w:val="none"/>
        </w:rPr>
      </w:pPr>
      <w:r>
        <w:rPr>
          <w:rFonts w:hint="eastAsia" w:cs="宋体" w:asciiTheme="minorEastAsia" w:hAnsiTheme="minorEastAsia" w:eastAsiaTheme="minorEastAsia"/>
          <w:b/>
          <w:color w:val="auto"/>
          <w:sz w:val="28"/>
          <w:szCs w:val="24"/>
          <w:highlight w:val="none"/>
        </w:rPr>
        <w:t>应急措施</w:t>
      </w:r>
    </w:p>
    <w:p>
      <w:pPr>
        <w:rPr>
          <w:rFonts w:asciiTheme="minorEastAsia" w:hAnsiTheme="minorEastAsia" w:eastAsiaTheme="minorEastAsia"/>
          <w:color w:val="auto"/>
          <w:highlight w:val="none"/>
        </w:rPr>
      </w:pPr>
    </w:p>
    <w:p>
      <w:pPr>
        <w:spacing w:after="0" w:line="240" w:lineRule="auto"/>
        <w:ind w:left="0" w:firstLine="0"/>
        <w:rPr>
          <w:rFonts w:asciiTheme="minorEastAsia" w:hAnsiTheme="minorEastAsia" w:eastAsiaTheme="minorEastAsia"/>
          <w:color w:val="auto"/>
          <w:highlight w:val="none"/>
        </w:rPr>
      </w:pPr>
      <w:r>
        <w:rPr>
          <w:rFonts w:asciiTheme="minorEastAsia" w:hAnsiTheme="minorEastAsia" w:eastAsiaTheme="minorEastAsia"/>
          <w:color w:val="auto"/>
          <w:highlight w:val="none"/>
        </w:rPr>
        <w:br w:type="page"/>
      </w:r>
    </w:p>
    <w:p>
      <w:pPr>
        <w:widowControl w:val="0"/>
        <w:adjustRightInd w:val="0"/>
        <w:spacing w:beforeLines="200" w:after="0" w:line="360" w:lineRule="auto"/>
        <w:ind w:left="0" w:firstLine="0"/>
        <w:jc w:val="center"/>
        <w:outlineLvl w:val="0"/>
        <w:rPr>
          <w:rFonts w:cs="Calibri" w:asciiTheme="minorEastAsia" w:hAnsiTheme="minorEastAsia" w:eastAsiaTheme="minorEastAsia"/>
          <w:b/>
          <w:color w:val="auto"/>
          <w:sz w:val="40"/>
          <w:szCs w:val="24"/>
          <w:highlight w:val="none"/>
        </w:rPr>
      </w:pPr>
      <w:bookmarkStart w:id="39" w:name="_Toc104735774"/>
      <w:r>
        <w:rPr>
          <w:rFonts w:hint="eastAsia" w:cs="Calibri" w:asciiTheme="minorEastAsia" w:hAnsiTheme="minorEastAsia" w:eastAsiaTheme="minorEastAsia"/>
          <w:b/>
          <w:color w:val="auto"/>
          <w:sz w:val="40"/>
          <w:szCs w:val="24"/>
          <w:highlight w:val="none"/>
        </w:rPr>
        <w:t>第四部分</w:t>
      </w:r>
      <w:r>
        <w:rPr>
          <w:rFonts w:cs="Calibri" w:asciiTheme="minorEastAsia" w:hAnsiTheme="minorEastAsia" w:eastAsiaTheme="minorEastAsia"/>
          <w:b/>
          <w:color w:val="auto"/>
          <w:sz w:val="40"/>
          <w:szCs w:val="24"/>
          <w:highlight w:val="none"/>
        </w:rPr>
        <w:t xml:space="preserve"> </w:t>
      </w:r>
      <w:r>
        <w:rPr>
          <w:rFonts w:hint="eastAsia" w:cs="Calibri" w:asciiTheme="minorEastAsia" w:hAnsiTheme="minorEastAsia" w:eastAsiaTheme="minorEastAsia"/>
          <w:b/>
          <w:color w:val="auto"/>
          <w:sz w:val="40"/>
          <w:szCs w:val="24"/>
          <w:highlight w:val="none"/>
        </w:rPr>
        <w:t>隐患排查治理</w:t>
      </w:r>
      <w:bookmarkEnd w:id="39"/>
    </w:p>
    <w:p>
      <w:pPr>
        <w:widowControl w:val="0"/>
        <w:spacing w:beforeLines="100" w:afterLines="50" w:line="360" w:lineRule="auto"/>
        <w:ind w:left="0" w:hanging="11"/>
        <w:outlineLvl w:val="1"/>
        <w:rPr>
          <w:rFonts w:cs="Calibri" w:asciiTheme="minorEastAsia" w:hAnsiTheme="minorEastAsia" w:eastAsiaTheme="minorEastAsia"/>
          <w:b/>
          <w:color w:val="auto"/>
          <w:sz w:val="28"/>
          <w:szCs w:val="24"/>
          <w:highlight w:val="none"/>
        </w:rPr>
      </w:pPr>
      <w:bookmarkStart w:id="40" w:name="_Toc104735775"/>
      <w:r>
        <w:rPr>
          <w:rFonts w:hint="eastAsia" w:cs="Calibri" w:asciiTheme="minorEastAsia" w:hAnsiTheme="minorEastAsia" w:eastAsiaTheme="minorEastAsia"/>
          <w:b/>
          <w:color w:val="auto"/>
          <w:sz w:val="28"/>
          <w:szCs w:val="24"/>
          <w:highlight w:val="none"/>
        </w:rPr>
        <w:t>4.1术语和定义</w:t>
      </w:r>
      <w:bookmarkEnd w:id="40"/>
    </w:p>
    <w:p>
      <w:pPr>
        <w:widowControl w:val="0"/>
        <w:spacing w:beforeLines="50" w:afterLines="50" w:line="360" w:lineRule="auto"/>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4.</w:t>
      </w:r>
      <w:r>
        <w:rPr>
          <w:rFonts w:cs="Calibri" w:asciiTheme="minorEastAsia" w:hAnsiTheme="minorEastAsia" w:eastAsiaTheme="minorEastAsia"/>
          <w:b/>
          <w:color w:val="auto"/>
          <w:szCs w:val="24"/>
          <w:highlight w:val="none"/>
        </w:rPr>
        <w:t>1.1安全生产事故隐患</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cs="Calibri" w:asciiTheme="minorEastAsia" w:hAnsiTheme="minorEastAsia" w:eastAsiaTheme="minorEastAsia"/>
          <w:color w:val="auto"/>
          <w:szCs w:val="24"/>
          <w:highlight w:val="none"/>
        </w:rPr>
        <w:t>安全生产事故隐患（以下简称隐患、事故隐患或安全隐患）</w:t>
      </w:r>
      <w:r>
        <w:rPr>
          <w:rFonts w:hint="eastAsia" w:cs="Calibri" w:asciiTheme="minorEastAsia" w:hAnsiTheme="minorEastAsia" w:eastAsiaTheme="minorEastAsia"/>
          <w:color w:val="auto"/>
          <w:szCs w:val="24"/>
          <w:highlight w:val="none"/>
        </w:rPr>
        <w:t>，是指生产经营单位因违反安全生产法律、法规、规章、标准、规程和安全生产管理制度的规定，或者因其他因素在运营过程中存在可能导致事故发生的物的危险状态、人的不安全行为和管理上的缺陷。</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在隐患的三种表现包括物的危险状态、人的不安全行为和管理上的缺陷。</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（1）</w:t>
      </w:r>
      <w:r>
        <w:rPr>
          <w:rFonts w:cs="Calibri" w:asciiTheme="minorEastAsia" w:hAnsiTheme="minorEastAsia" w:eastAsiaTheme="minorEastAsia"/>
          <w:color w:val="auto"/>
          <w:szCs w:val="24"/>
          <w:highlight w:val="none"/>
        </w:rPr>
        <w:t>物的危险状态是指</w:t>
      </w:r>
      <w:r>
        <w:rPr>
          <w:rFonts w:hint="eastAsia" w:cs="Calibri" w:asciiTheme="minorEastAsia" w:hAnsiTheme="minorEastAsia" w:eastAsiaTheme="minorEastAsia"/>
          <w:color w:val="auto"/>
          <w:szCs w:val="24"/>
          <w:highlight w:val="none"/>
        </w:rPr>
        <w:t>运营</w:t>
      </w:r>
      <w:r>
        <w:rPr>
          <w:rFonts w:cs="Calibri" w:asciiTheme="minorEastAsia" w:hAnsiTheme="minorEastAsia" w:eastAsiaTheme="minorEastAsia"/>
          <w:color w:val="auto"/>
          <w:szCs w:val="24"/>
          <w:highlight w:val="none"/>
        </w:rPr>
        <w:t>过程或</w:t>
      </w:r>
      <w:r>
        <w:rPr>
          <w:rFonts w:hint="eastAsia" w:cs="Calibri" w:asciiTheme="minorEastAsia" w:hAnsiTheme="minorEastAsia" w:eastAsiaTheme="minorEastAsia"/>
          <w:color w:val="auto"/>
          <w:szCs w:val="24"/>
          <w:highlight w:val="none"/>
        </w:rPr>
        <w:t>运营</w:t>
      </w:r>
      <w:r>
        <w:rPr>
          <w:rFonts w:cs="Calibri" w:asciiTheme="minorEastAsia" w:hAnsiTheme="minorEastAsia" w:eastAsiaTheme="minorEastAsia"/>
          <w:color w:val="auto"/>
          <w:szCs w:val="24"/>
          <w:highlight w:val="none"/>
        </w:rPr>
        <w:t>区域内的物质条件（如材料、工具、设备、设施、成品、半成品）处于危险状态；</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（2）</w:t>
      </w:r>
      <w:r>
        <w:rPr>
          <w:rFonts w:cs="Calibri" w:asciiTheme="minorEastAsia" w:hAnsiTheme="minorEastAsia" w:eastAsiaTheme="minorEastAsia"/>
          <w:color w:val="auto"/>
          <w:szCs w:val="24"/>
          <w:highlight w:val="none"/>
        </w:rPr>
        <w:t>人的不安全行为是指人在工作过程中的操作、指示或其他具体行为不符合安全规定；</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（3）</w:t>
      </w:r>
      <w:r>
        <w:rPr>
          <w:rFonts w:cs="Calibri" w:asciiTheme="minorEastAsia" w:hAnsiTheme="minorEastAsia" w:eastAsiaTheme="minorEastAsia"/>
          <w:color w:val="auto"/>
          <w:szCs w:val="24"/>
          <w:highlight w:val="none"/>
        </w:rPr>
        <w:t>管理上的缺陷是指在开展各种</w:t>
      </w:r>
      <w:r>
        <w:rPr>
          <w:rFonts w:hint="eastAsia" w:cs="Calibri" w:asciiTheme="minorEastAsia" w:hAnsiTheme="minorEastAsia" w:eastAsiaTheme="minorEastAsia"/>
          <w:color w:val="auto"/>
          <w:szCs w:val="24"/>
          <w:highlight w:val="none"/>
        </w:rPr>
        <w:t>运营作业</w:t>
      </w:r>
      <w:r>
        <w:rPr>
          <w:rFonts w:cs="Calibri" w:asciiTheme="minorEastAsia" w:hAnsiTheme="minorEastAsia" w:eastAsiaTheme="minorEastAsia"/>
          <w:color w:val="auto"/>
          <w:szCs w:val="24"/>
          <w:highlight w:val="none"/>
        </w:rPr>
        <w:t>活动中所必须的各种组织、协调等行动存在缺陷。</w:t>
      </w:r>
    </w:p>
    <w:p>
      <w:pPr>
        <w:widowControl w:val="0"/>
        <w:spacing w:beforeLines="50" w:afterLines="50" w:line="360" w:lineRule="auto"/>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4.</w:t>
      </w:r>
      <w:r>
        <w:rPr>
          <w:rFonts w:cs="Calibri" w:asciiTheme="minorEastAsia" w:hAnsiTheme="minorEastAsia" w:eastAsiaTheme="minorEastAsia"/>
          <w:b/>
          <w:color w:val="auto"/>
          <w:szCs w:val="24"/>
          <w:highlight w:val="none"/>
        </w:rPr>
        <w:t>1.2隐患分级</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以隐患的整改、治理和排除的难度及其影响范围为标准，确定隐患级别的过程。</w:t>
      </w:r>
    </w:p>
    <w:p>
      <w:pPr>
        <w:widowControl w:val="0"/>
        <w:spacing w:beforeLines="50" w:afterLines="50" w:line="360" w:lineRule="auto"/>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4.</w:t>
      </w:r>
      <w:r>
        <w:rPr>
          <w:rFonts w:cs="Calibri" w:asciiTheme="minorEastAsia" w:hAnsiTheme="minorEastAsia" w:eastAsiaTheme="minorEastAsia"/>
          <w:b/>
          <w:color w:val="auto"/>
          <w:szCs w:val="24"/>
          <w:highlight w:val="none"/>
        </w:rPr>
        <w:t>1.3隐患分类</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以隐患的表现形式确定隐患类别的过程。</w:t>
      </w:r>
    </w:p>
    <w:p>
      <w:pPr>
        <w:widowControl w:val="0"/>
        <w:spacing w:beforeLines="50" w:afterLines="50" w:line="360" w:lineRule="auto"/>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4.</w:t>
      </w:r>
      <w:r>
        <w:rPr>
          <w:rFonts w:cs="Calibri" w:asciiTheme="minorEastAsia" w:hAnsiTheme="minorEastAsia" w:eastAsiaTheme="minorEastAsia"/>
          <w:b/>
          <w:color w:val="auto"/>
          <w:szCs w:val="24"/>
          <w:highlight w:val="none"/>
        </w:rPr>
        <w:t>1.4隐患排查</w:t>
      </w:r>
    </w:p>
    <w:p>
      <w:pPr>
        <w:widowControl w:val="0"/>
        <w:spacing w:after="0" w:line="560" w:lineRule="exact"/>
        <w:ind w:left="0" w:firstLine="480" w:firstLineChars="200"/>
        <w:rPr>
          <w:rFonts w:cs="Calibri" w:asciiTheme="minorEastAsia" w:hAnsiTheme="minorEastAsia" w:eastAsiaTheme="minorEastAsia"/>
          <w:color w:val="auto"/>
          <w:szCs w:val="24"/>
          <w:highlight w:val="none"/>
        </w:rPr>
      </w:pPr>
      <w:r>
        <w:rPr>
          <w:rFonts w:hint="eastAsia" w:cs="Calibri" w:asciiTheme="minorEastAsia" w:hAnsiTheme="minorEastAsia" w:eastAsiaTheme="minorEastAsia"/>
          <w:color w:val="auto"/>
          <w:szCs w:val="24"/>
          <w:highlight w:val="none"/>
        </w:rPr>
        <w:t>指公司及各单位组织安全生产管理人员、工程技术人员和其他相关人员对高速公路运营过程中事故隐患进行排查的过程。</w:t>
      </w:r>
    </w:p>
    <w:p>
      <w:pPr>
        <w:widowControl w:val="0"/>
        <w:spacing w:beforeLines="50" w:afterLines="50" w:line="360" w:lineRule="auto"/>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4.</w:t>
      </w:r>
      <w:r>
        <w:rPr>
          <w:rFonts w:cs="Calibri" w:asciiTheme="minorEastAsia" w:hAnsiTheme="minorEastAsia" w:eastAsiaTheme="minorEastAsia"/>
          <w:b/>
          <w:color w:val="auto"/>
          <w:szCs w:val="24"/>
          <w:highlight w:val="none"/>
        </w:rPr>
        <w:t>1.5隐患治理</w:t>
      </w:r>
    </w:p>
    <w:p>
      <w:pPr>
        <w:widowControl w:val="0"/>
        <w:spacing w:after="0" w:line="560" w:lineRule="exact"/>
        <w:ind w:left="0" w:firstLine="480" w:firstLineChars="200"/>
        <w:rPr>
          <w:rFonts w:asciiTheme="minorEastAsia" w:hAnsiTheme="minorEastAsia" w:eastAsiaTheme="minorEastAsia"/>
          <w:color w:val="auto"/>
          <w:highlight w:val="none"/>
        </w:rPr>
      </w:pPr>
      <w:r>
        <w:rPr>
          <w:rFonts w:hint="eastAsia" w:cs="Calibri" w:asciiTheme="minorEastAsia" w:hAnsiTheme="minorEastAsia" w:eastAsiaTheme="minorEastAsia"/>
          <w:color w:val="auto"/>
          <w:szCs w:val="24"/>
          <w:highlight w:val="none"/>
        </w:rPr>
        <w:t>指消除或控制隐患的活动或过程。</w:t>
      </w:r>
      <w:r>
        <w:rPr>
          <w:rFonts w:asciiTheme="minorEastAsia" w:hAnsiTheme="minorEastAsia" w:eastAsiaTheme="minorEastAsia"/>
          <w:color w:val="auto"/>
          <w:highlight w:val="none"/>
        </w:rPr>
        <w:tab/>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41" w:name="_Toc104735776"/>
      <w:r>
        <w:rPr>
          <w:rFonts w:hint="eastAsia" w:cs="Calibri" w:asciiTheme="minorEastAsia" w:hAnsiTheme="minorEastAsia" w:eastAsiaTheme="minorEastAsia"/>
          <w:b/>
          <w:color w:val="auto"/>
          <w:sz w:val="28"/>
          <w:szCs w:val="24"/>
          <w:highlight w:val="none"/>
        </w:rPr>
        <w:t>4.2隐患排查治理职责</w:t>
      </w:r>
      <w:bookmarkEnd w:id="41"/>
    </w:p>
    <w:p>
      <w:pPr>
        <w:widowControl w:val="0"/>
        <w:spacing w:beforeLines="50" w:afterLines="50" w:line="360" w:lineRule="auto"/>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4.2.1职责规定</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w:t>
      </w:r>
      <w:r>
        <w:rPr>
          <w:rFonts w:cs="宋体" w:asciiTheme="minorEastAsia" w:hAnsiTheme="minorEastAsia" w:eastAsiaTheme="minorEastAsia"/>
          <w:color w:val="auto"/>
          <w:szCs w:val="24"/>
          <w:highlight w:val="none"/>
        </w:rPr>
        <w:t>公司安委会为</w:t>
      </w:r>
      <w:r>
        <w:rPr>
          <w:rFonts w:hint="eastAsia" w:cs="宋体" w:asciiTheme="minorEastAsia" w:hAnsiTheme="minorEastAsia" w:eastAsiaTheme="minorEastAsia"/>
          <w:color w:val="auto"/>
          <w:szCs w:val="24"/>
          <w:highlight w:val="none"/>
        </w:rPr>
        <w:t>隐患</w:t>
      </w:r>
      <w:r>
        <w:rPr>
          <w:rFonts w:cs="宋体" w:asciiTheme="minorEastAsia" w:hAnsiTheme="minorEastAsia" w:eastAsiaTheme="minorEastAsia"/>
          <w:color w:val="auto"/>
          <w:szCs w:val="24"/>
          <w:highlight w:val="none"/>
        </w:rPr>
        <w:t>排查治理的组织领导机构</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（2）安全管理部</w:t>
      </w:r>
      <w:r>
        <w:rPr>
          <w:rFonts w:cs="宋体" w:asciiTheme="minorEastAsia" w:hAnsiTheme="minorEastAsia" w:eastAsiaTheme="minorEastAsia"/>
          <w:color w:val="auto"/>
          <w:szCs w:val="24"/>
          <w:highlight w:val="none"/>
        </w:rPr>
        <w:t>承担</w:t>
      </w:r>
      <w:r>
        <w:rPr>
          <w:rFonts w:hint="eastAsia" w:cs="宋体" w:asciiTheme="minorEastAsia" w:hAnsiTheme="minorEastAsia" w:eastAsiaTheme="minorEastAsia"/>
          <w:color w:val="auto"/>
          <w:szCs w:val="24"/>
          <w:highlight w:val="none"/>
        </w:rPr>
        <w:t>公司隐患排查治理工作的</w:t>
      </w:r>
      <w:r>
        <w:rPr>
          <w:rFonts w:cs="宋体" w:asciiTheme="minorEastAsia" w:hAnsiTheme="minorEastAsia" w:eastAsiaTheme="minorEastAsia"/>
          <w:color w:val="auto"/>
          <w:szCs w:val="24"/>
          <w:highlight w:val="none"/>
        </w:rPr>
        <w:t>指导监督和总体管理工作，组织编制隐患排查治理</w:t>
      </w:r>
      <w:r>
        <w:rPr>
          <w:rFonts w:hint="eastAsia" w:cs="宋体" w:asciiTheme="minorEastAsia" w:hAnsiTheme="minorEastAsia" w:eastAsiaTheme="minorEastAsia"/>
          <w:color w:val="auto"/>
          <w:szCs w:val="24"/>
          <w:highlight w:val="none"/>
          <w:lang w:eastAsia="zh-CN"/>
        </w:rPr>
        <w:t>实施手册</w:t>
      </w:r>
      <w:r>
        <w:rPr>
          <w:rFonts w:cs="宋体" w:asciiTheme="minorEastAsia" w:hAnsiTheme="minorEastAsia" w:eastAsiaTheme="minorEastAsia"/>
          <w:color w:val="auto"/>
          <w:szCs w:val="24"/>
          <w:highlight w:val="none"/>
        </w:rPr>
        <w:t>（总则篇）</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明确</w:t>
      </w:r>
      <w:r>
        <w:rPr>
          <w:rFonts w:hint="eastAsia" w:cs="宋体" w:asciiTheme="minorEastAsia" w:hAnsiTheme="minorEastAsia" w:eastAsiaTheme="minorEastAsia"/>
          <w:color w:val="auto"/>
          <w:szCs w:val="24"/>
          <w:highlight w:val="none"/>
        </w:rPr>
        <w:t>隐患</w:t>
      </w:r>
      <w:r>
        <w:rPr>
          <w:rFonts w:cs="宋体" w:asciiTheme="minorEastAsia" w:hAnsiTheme="minorEastAsia" w:eastAsiaTheme="minorEastAsia"/>
          <w:color w:val="auto"/>
          <w:szCs w:val="24"/>
          <w:highlight w:val="none"/>
        </w:rPr>
        <w:t>排查治理职责清单</w:t>
      </w:r>
      <w:r>
        <w:rPr>
          <w:rFonts w:hint="eastAsia" w:cs="宋体" w:asciiTheme="minorEastAsia" w:hAnsiTheme="minorEastAsia" w:eastAsiaTheme="minorEastAsia"/>
          <w:color w:val="auto"/>
          <w:szCs w:val="24"/>
          <w:highlight w:val="none"/>
        </w:rPr>
        <w:t>、隐患排查治理清单，定期汇总分析并上报公司隐患排查治理工作，指导监督各部室、单位按规定开展隐患排查治理工作。</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（3）公司</w:t>
      </w:r>
      <w:r>
        <w:rPr>
          <w:rFonts w:cs="宋体" w:asciiTheme="minorEastAsia" w:hAnsiTheme="minorEastAsia" w:eastAsiaTheme="minorEastAsia"/>
          <w:color w:val="auto"/>
          <w:szCs w:val="24"/>
          <w:highlight w:val="none"/>
        </w:rPr>
        <w:t>各部室组织开展业务范围内的</w:t>
      </w:r>
      <w:r>
        <w:rPr>
          <w:rFonts w:hint="eastAsia" w:cs="宋体" w:asciiTheme="minorEastAsia" w:hAnsiTheme="minorEastAsia" w:eastAsiaTheme="minorEastAsia"/>
          <w:color w:val="auto"/>
          <w:szCs w:val="24"/>
          <w:highlight w:val="none"/>
        </w:rPr>
        <w:t>隐患排查治理工作，建立相关业务隐患排查治理清单，开展安全检查（定期隐患排查）工作，对发现的隐患及时组织整改或督促整改；做好安全检查记录留存，定期上报隐患排查治理台账。</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w:t>
      </w:r>
      <w:r>
        <w:rPr>
          <w:rFonts w:cs="宋体" w:asciiTheme="minorEastAsia" w:hAnsiTheme="minorEastAsia" w:eastAsiaTheme="minorEastAsia"/>
          <w:color w:val="auto"/>
          <w:szCs w:val="24"/>
          <w:highlight w:val="none"/>
        </w:rPr>
        <w:t>各站区组织开展</w:t>
      </w:r>
      <w:r>
        <w:rPr>
          <w:rFonts w:hint="eastAsia" w:cs="宋体" w:asciiTheme="minorEastAsia" w:hAnsiTheme="minorEastAsia" w:eastAsiaTheme="minorEastAsia"/>
          <w:color w:val="auto"/>
          <w:szCs w:val="24"/>
          <w:highlight w:val="none"/>
        </w:rPr>
        <w:t>管辖</w:t>
      </w:r>
      <w:r>
        <w:rPr>
          <w:rFonts w:cs="宋体" w:asciiTheme="minorEastAsia" w:hAnsiTheme="minorEastAsia" w:eastAsiaTheme="minorEastAsia"/>
          <w:color w:val="auto"/>
          <w:szCs w:val="24"/>
          <w:highlight w:val="none"/>
        </w:rPr>
        <w:t>范围内的</w:t>
      </w:r>
      <w:r>
        <w:rPr>
          <w:rFonts w:hint="eastAsia" w:cs="宋体" w:asciiTheme="minorEastAsia" w:hAnsiTheme="minorEastAsia" w:eastAsiaTheme="minorEastAsia"/>
          <w:color w:val="auto"/>
          <w:szCs w:val="24"/>
          <w:highlight w:val="none"/>
        </w:rPr>
        <w:t>隐患排查治理工作，按规定开展隐患排查工作，对发现的隐患及时组织整改；做好隐患排查治理记录留存，定期上报隐患排查治理台账。</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（4）</w:t>
      </w:r>
      <w:r>
        <w:rPr>
          <w:rFonts w:cs="宋体" w:asciiTheme="minorEastAsia" w:hAnsiTheme="minorEastAsia" w:eastAsiaTheme="minorEastAsia"/>
          <w:color w:val="auto"/>
          <w:szCs w:val="24"/>
          <w:highlight w:val="none"/>
        </w:rPr>
        <w:t>公司主要负责人全面负责</w:t>
      </w:r>
      <w:r>
        <w:rPr>
          <w:rFonts w:hint="eastAsia" w:cs="宋体" w:asciiTheme="minorEastAsia" w:hAnsiTheme="minorEastAsia" w:eastAsiaTheme="minorEastAsia"/>
          <w:color w:val="auto"/>
          <w:szCs w:val="24"/>
          <w:highlight w:val="none"/>
        </w:rPr>
        <w:t>公司</w:t>
      </w:r>
      <w:r>
        <w:rPr>
          <w:rFonts w:cs="宋体" w:asciiTheme="minorEastAsia" w:hAnsiTheme="minorEastAsia" w:eastAsiaTheme="minorEastAsia"/>
          <w:color w:val="auto"/>
          <w:szCs w:val="24"/>
          <w:highlight w:val="none"/>
        </w:rPr>
        <w:t>隐患排查治理工作，保证人、财、物的投入，组织重大</w:t>
      </w:r>
      <w:r>
        <w:rPr>
          <w:rFonts w:hint="eastAsia" w:cs="宋体" w:asciiTheme="minorEastAsia" w:hAnsiTheme="minorEastAsia" w:eastAsiaTheme="minorEastAsia"/>
          <w:color w:val="auto"/>
          <w:szCs w:val="24"/>
          <w:highlight w:val="none"/>
        </w:rPr>
        <w:t>隐患治理</w:t>
      </w:r>
      <w:r>
        <w:rPr>
          <w:rFonts w:cs="宋体" w:asciiTheme="minorEastAsia" w:hAnsiTheme="minorEastAsia" w:eastAsiaTheme="minorEastAsia"/>
          <w:color w:val="auto"/>
          <w:szCs w:val="24"/>
          <w:highlight w:val="none"/>
        </w:rPr>
        <w:t>工作</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公司分管安全</w:t>
      </w:r>
      <w:r>
        <w:rPr>
          <w:rFonts w:hint="eastAsia" w:cs="宋体" w:asciiTheme="minorEastAsia" w:hAnsiTheme="minorEastAsia" w:eastAsiaTheme="minorEastAsia"/>
          <w:color w:val="auto"/>
          <w:szCs w:val="24"/>
          <w:highlight w:val="none"/>
        </w:rPr>
        <w:t>副总经理</w:t>
      </w:r>
      <w:r>
        <w:rPr>
          <w:rFonts w:cs="宋体" w:asciiTheme="minorEastAsia" w:hAnsiTheme="minorEastAsia" w:eastAsiaTheme="minorEastAsia"/>
          <w:color w:val="auto"/>
          <w:szCs w:val="24"/>
          <w:highlight w:val="none"/>
        </w:rPr>
        <w:t>具体负责组织建立健全公司</w:t>
      </w:r>
      <w:r>
        <w:rPr>
          <w:rFonts w:hint="eastAsia" w:cs="宋体" w:asciiTheme="minorEastAsia" w:hAnsiTheme="minorEastAsia" w:eastAsiaTheme="minorEastAsia"/>
          <w:color w:val="auto"/>
          <w:szCs w:val="24"/>
          <w:highlight w:val="none"/>
        </w:rPr>
        <w:t>隐患</w:t>
      </w:r>
      <w:r>
        <w:rPr>
          <w:rFonts w:cs="宋体" w:asciiTheme="minorEastAsia" w:hAnsiTheme="minorEastAsia" w:eastAsiaTheme="minorEastAsia"/>
          <w:color w:val="auto"/>
          <w:szCs w:val="24"/>
          <w:highlight w:val="none"/>
        </w:rPr>
        <w:t>排查治理机制，监督检查各部室</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站区的</w:t>
      </w:r>
      <w:r>
        <w:rPr>
          <w:rFonts w:hint="eastAsia" w:cs="宋体" w:asciiTheme="minorEastAsia" w:hAnsiTheme="minorEastAsia" w:eastAsiaTheme="minorEastAsia"/>
          <w:color w:val="auto"/>
          <w:szCs w:val="24"/>
          <w:highlight w:val="none"/>
        </w:rPr>
        <w:t>隐患</w:t>
      </w:r>
      <w:r>
        <w:rPr>
          <w:rFonts w:cs="宋体" w:asciiTheme="minorEastAsia" w:hAnsiTheme="minorEastAsia" w:eastAsiaTheme="minorEastAsia"/>
          <w:color w:val="auto"/>
          <w:szCs w:val="24"/>
          <w:highlight w:val="none"/>
        </w:rPr>
        <w:t>排查治理工作</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协助主要负责人做好重大</w:t>
      </w:r>
      <w:r>
        <w:rPr>
          <w:rFonts w:hint="eastAsia" w:cs="宋体" w:asciiTheme="minorEastAsia" w:hAnsiTheme="minorEastAsia" w:eastAsiaTheme="minorEastAsia"/>
          <w:color w:val="auto"/>
          <w:szCs w:val="24"/>
          <w:highlight w:val="none"/>
        </w:rPr>
        <w:t>隐患</w:t>
      </w:r>
      <w:r>
        <w:rPr>
          <w:rFonts w:cs="宋体" w:asciiTheme="minorEastAsia" w:hAnsiTheme="minorEastAsia" w:eastAsiaTheme="minorEastAsia"/>
          <w:color w:val="auto"/>
          <w:szCs w:val="24"/>
          <w:highlight w:val="none"/>
        </w:rPr>
        <w:t>排查治理工作</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安全总监协助分管安全副总经理做好上述工作</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公司分管业务</w:t>
      </w:r>
      <w:r>
        <w:rPr>
          <w:rFonts w:hint="eastAsia" w:cs="宋体" w:asciiTheme="minorEastAsia" w:hAnsiTheme="minorEastAsia" w:eastAsiaTheme="minorEastAsia"/>
          <w:color w:val="auto"/>
          <w:szCs w:val="24"/>
          <w:highlight w:val="none"/>
        </w:rPr>
        <w:t>副总经理</w:t>
      </w:r>
      <w:r>
        <w:rPr>
          <w:rFonts w:cs="宋体" w:asciiTheme="minorEastAsia" w:hAnsiTheme="minorEastAsia" w:eastAsiaTheme="minorEastAsia"/>
          <w:color w:val="auto"/>
          <w:szCs w:val="24"/>
          <w:highlight w:val="none"/>
        </w:rPr>
        <w:t>在抓好分管业务范围内工作的同时，组织分管业务范围</w:t>
      </w:r>
      <w:r>
        <w:rPr>
          <w:rFonts w:hint="eastAsia" w:cs="宋体" w:asciiTheme="minorEastAsia" w:hAnsiTheme="minorEastAsia" w:eastAsiaTheme="minorEastAsia"/>
          <w:color w:val="auto"/>
          <w:szCs w:val="24"/>
          <w:highlight w:val="none"/>
        </w:rPr>
        <w:t>和站区按规定开展隐患排查治理</w:t>
      </w:r>
      <w:r>
        <w:rPr>
          <w:rFonts w:cs="宋体" w:asciiTheme="minorEastAsia" w:hAnsiTheme="minorEastAsia" w:eastAsiaTheme="minorEastAsia"/>
          <w:color w:val="auto"/>
          <w:szCs w:val="24"/>
          <w:highlight w:val="none"/>
        </w:rPr>
        <w:t>工作</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监督检查</w:t>
      </w:r>
      <w:r>
        <w:rPr>
          <w:rFonts w:hint="eastAsia" w:cs="宋体" w:asciiTheme="minorEastAsia" w:hAnsiTheme="minorEastAsia" w:eastAsiaTheme="minorEastAsia"/>
          <w:color w:val="auto"/>
          <w:szCs w:val="24"/>
          <w:highlight w:val="none"/>
        </w:rPr>
        <w:t>分管</w:t>
      </w:r>
      <w:r>
        <w:rPr>
          <w:rFonts w:cs="宋体" w:asciiTheme="minorEastAsia" w:hAnsiTheme="minorEastAsia" w:eastAsiaTheme="minorEastAsia"/>
          <w:color w:val="auto"/>
          <w:szCs w:val="24"/>
          <w:highlight w:val="none"/>
        </w:rPr>
        <w:t>业务</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站区的</w:t>
      </w:r>
      <w:r>
        <w:rPr>
          <w:rFonts w:hint="eastAsia" w:cs="宋体" w:asciiTheme="minorEastAsia" w:hAnsiTheme="minorEastAsia" w:eastAsiaTheme="minorEastAsia"/>
          <w:color w:val="auto"/>
          <w:szCs w:val="24"/>
          <w:highlight w:val="none"/>
        </w:rPr>
        <w:t>隐患</w:t>
      </w:r>
      <w:r>
        <w:rPr>
          <w:rFonts w:cs="宋体" w:asciiTheme="minorEastAsia" w:hAnsiTheme="minorEastAsia" w:eastAsiaTheme="minorEastAsia"/>
          <w:color w:val="auto"/>
          <w:szCs w:val="24"/>
          <w:highlight w:val="none"/>
        </w:rPr>
        <w:t>排查治理工作</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协助主要负责人做好重大</w:t>
      </w:r>
      <w:r>
        <w:rPr>
          <w:rFonts w:hint="eastAsia" w:cs="宋体" w:asciiTheme="minorEastAsia" w:hAnsiTheme="minorEastAsia" w:eastAsiaTheme="minorEastAsia"/>
          <w:color w:val="auto"/>
          <w:szCs w:val="24"/>
          <w:highlight w:val="none"/>
        </w:rPr>
        <w:t>隐患</w:t>
      </w:r>
      <w:r>
        <w:rPr>
          <w:rFonts w:cs="宋体" w:asciiTheme="minorEastAsia" w:hAnsiTheme="minorEastAsia" w:eastAsiaTheme="minorEastAsia"/>
          <w:color w:val="auto"/>
          <w:szCs w:val="24"/>
          <w:highlight w:val="none"/>
        </w:rPr>
        <w:t>排查治理工作</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工程总监</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运营总监协助分管副总经理做好上述工作</w:t>
      </w:r>
      <w:r>
        <w:rPr>
          <w:rFonts w:hint="eastAsia" w:cs="宋体" w:asciiTheme="minorEastAsia" w:hAnsiTheme="minorEastAsia" w:eastAsiaTheme="minorEastAsia"/>
          <w:color w:val="auto"/>
          <w:szCs w:val="24"/>
          <w:highlight w:val="none"/>
        </w:rPr>
        <w:t>。</w:t>
      </w:r>
    </w:p>
    <w:p>
      <w:pPr>
        <w:spacing w:after="0" w:line="240" w:lineRule="auto"/>
        <w:ind w:left="0" w:firstLine="0"/>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br w:type="page"/>
      </w:r>
    </w:p>
    <w:p>
      <w:pPr>
        <w:widowControl w:val="0"/>
        <w:spacing w:beforeLines="50" w:afterLines="50" w:line="360" w:lineRule="auto"/>
        <w:ind w:left="0" w:firstLine="482" w:firstLineChars="200"/>
        <w:rPr>
          <w:rFonts w:cs="Calibri" w:asciiTheme="minorEastAsia" w:hAnsiTheme="minorEastAsia" w:eastAsiaTheme="minorEastAsia"/>
          <w:b/>
          <w:color w:val="auto"/>
          <w:szCs w:val="24"/>
          <w:highlight w:val="none"/>
        </w:rPr>
      </w:pPr>
      <w:r>
        <w:rPr>
          <w:rFonts w:hint="eastAsia" w:cs="Calibri" w:asciiTheme="minorEastAsia" w:hAnsiTheme="minorEastAsia" w:eastAsiaTheme="minorEastAsia"/>
          <w:b/>
          <w:color w:val="auto"/>
          <w:szCs w:val="24"/>
          <w:highlight w:val="none"/>
        </w:rPr>
        <w:t>4.2.2职责清单</w:t>
      </w:r>
    </w:p>
    <w:p>
      <w:pPr>
        <w:widowControl w:val="0"/>
        <w:spacing w:after="0" w:line="480" w:lineRule="exact"/>
        <w:ind w:left="0" w:firstLine="480"/>
        <w:jc w:val="both"/>
        <w:rPr>
          <w:rFonts w:cs="宋体" w:asciiTheme="minorEastAsia" w:hAnsiTheme="minorEastAsia" w:eastAsiaTheme="minorEastAsia"/>
          <w:color w:val="auto"/>
          <w:szCs w:val="24"/>
          <w:highlight w:val="none"/>
        </w:rPr>
        <w:sectPr>
          <w:headerReference r:id="rId5" w:type="default"/>
          <w:footerReference r:id="rId6" w:type="default"/>
          <w:pgSz w:w="11906" w:h="16838"/>
          <w:pgMar w:top="1440" w:right="1800" w:bottom="1440" w:left="1800" w:header="1247" w:footer="1134" w:gutter="0"/>
          <w:cols w:space="425" w:num="1"/>
          <w:docGrid w:type="lines" w:linePitch="326" w:charSpace="0"/>
        </w:sectPr>
      </w:pPr>
      <w:r>
        <w:rPr>
          <w:rFonts w:cs="宋体" w:asciiTheme="minorEastAsia" w:hAnsiTheme="minorEastAsia" w:eastAsiaTheme="minorEastAsia"/>
          <w:color w:val="auto"/>
          <w:szCs w:val="24"/>
          <w:highlight w:val="none"/>
        </w:rPr>
        <w:t>按照</w:t>
      </w:r>
      <w:r>
        <w:rPr>
          <w:rFonts w:hint="eastAsia" w:cs="宋体" w:asciiTheme="minorEastAsia" w:hAnsiTheme="minorEastAsia" w:eastAsiaTheme="minorEastAsia"/>
          <w:color w:val="auto"/>
          <w:szCs w:val="24"/>
          <w:highlight w:val="none"/>
        </w:rPr>
        <w:t>《公路水路行业安全生产风险管理暂行办法》《公路水路行业安全生产事故隐患治理暂行办法》、《河北省安全生产风险管控与隐患治理规定》，以及河北省交通运输厅关于印发《河北省交通运输安全生产风险管理实施办法（试行）》和《河北省交通运输安全生产隐患治理实施办法（试行）》的通知、《贯彻落实党政领导干部安全生产责任制实施办法》等相关规定，结合公司实际制定隐患排查治理职责清单。</w:t>
      </w:r>
    </w:p>
    <w:p>
      <w:pPr>
        <w:widowControl w:val="0"/>
        <w:spacing w:after="0" w:line="480" w:lineRule="exact"/>
        <w:ind w:left="0" w:firstLine="480"/>
        <w:jc w:val="center"/>
        <w:rPr>
          <w:rFonts w:cs="宋体" w:asciiTheme="minorEastAsia" w:hAnsiTheme="minorEastAsia" w:eastAsiaTheme="minorEastAsia"/>
          <w:b/>
          <w:color w:val="auto"/>
          <w:sz w:val="22"/>
          <w:szCs w:val="24"/>
          <w:highlight w:val="none"/>
        </w:rPr>
      </w:pPr>
      <w:r>
        <w:rPr>
          <w:rFonts w:cs="宋体" w:asciiTheme="minorEastAsia" w:hAnsiTheme="minorEastAsia" w:eastAsiaTheme="minorEastAsia"/>
          <w:b/>
          <w:color w:val="auto"/>
          <w:sz w:val="22"/>
          <w:szCs w:val="24"/>
          <w:highlight w:val="none"/>
        </w:rPr>
        <w:t>表</w:t>
      </w:r>
      <w:r>
        <w:rPr>
          <w:rFonts w:hint="eastAsia" w:cs="宋体" w:asciiTheme="minorEastAsia" w:hAnsiTheme="minorEastAsia" w:eastAsiaTheme="minorEastAsia"/>
          <w:b/>
          <w:color w:val="auto"/>
          <w:sz w:val="22"/>
          <w:szCs w:val="24"/>
          <w:highlight w:val="none"/>
        </w:rPr>
        <w:t>4-1 隐患排查治理责任清单收费站</w:t>
      </w:r>
    </w:p>
    <w:p>
      <w:pPr>
        <w:widowControl w:val="0"/>
        <w:spacing w:after="0" w:line="480" w:lineRule="exact"/>
        <w:ind w:left="0" w:firstLine="480"/>
        <w:jc w:val="center"/>
        <w:rPr>
          <w:rFonts w:cs="宋体" w:asciiTheme="minorEastAsia" w:hAnsiTheme="minorEastAsia" w:eastAsiaTheme="minorEastAsia"/>
          <w:b/>
          <w:color w:val="auto"/>
          <w:sz w:val="22"/>
          <w:szCs w:val="24"/>
          <w:highlight w:val="none"/>
        </w:rPr>
      </w:pPr>
      <w:r>
        <w:rPr>
          <w:rFonts w:hint="eastAsia" w:cs="宋体" w:asciiTheme="minorEastAsia" w:hAnsiTheme="minorEastAsia" w:eastAsiaTheme="minorEastAsia"/>
          <w:b/>
          <w:color w:val="auto"/>
          <w:sz w:val="22"/>
          <w:szCs w:val="24"/>
          <w:highlight w:val="none"/>
        </w:rPr>
        <w:t>公司机关</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0"/>
        <w:gridCol w:w="1367"/>
        <w:gridCol w:w="2959"/>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场所部位</w:t>
            </w:r>
            <w:r>
              <w:rPr>
                <w:rFonts w:hint="eastAsia" w:asciiTheme="minorEastAsia" w:hAnsiTheme="minorEastAsia" w:eastAsiaTheme="minorEastAsia"/>
                <w:color w:val="auto"/>
                <w:sz w:val="21"/>
                <w:szCs w:val="21"/>
                <w:highlight w:val="none"/>
              </w:rPr>
              <w:t>/设备设施</w:t>
            </w:r>
          </w:p>
        </w:tc>
        <w:tc>
          <w:tcPr>
            <w:tcW w:w="2037" w:type="dxa"/>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排查频次</w:t>
            </w:r>
          </w:p>
        </w:tc>
        <w:tc>
          <w:tcPr>
            <w:tcW w:w="4611" w:type="dxa"/>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排查人</w:t>
            </w:r>
          </w:p>
        </w:tc>
        <w:tc>
          <w:tcPr>
            <w:tcW w:w="3004" w:type="dxa"/>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排查要求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食堂</w:t>
            </w:r>
          </w:p>
        </w:tc>
        <w:tc>
          <w:tcPr>
            <w:tcW w:w="2037" w:type="dxa"/>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每日一次</w:t>
            </w:r>
          </w:p>
        </w:tc>
        <w:tc>
          <w:tcPr>
            <w:tcW w:w="4611" w:type="dxa"/>
            <w:vMerge w:val="restart"/>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综合</w:t>
            </w:r>
            <w:r>
              <w:rPr>
                <w:rFonts w:asciiTheme="minorEastAsia" w:hAnsiTheme="minorEastAsia" w:eastAsiaTheme="minorEastAsia"/>
                <w:color w:val="auto"/>
                <w:sz w:val="21"/>
                <w:szCs w:val="21"/>
                <w:highlight w:val="none"/>
              </w:rPr>
              <w:t>办公室根据</w:t>
            </w:r>
            <w:r>
              <w:rPr>
                <w:rFonts w:hint="eastAsia" w:asciiTheme="minorEastAsia" w:hAnsiTheme="minorEastAsia" w:eastAsiaTheme="minorEastAsia"/>
                <w:color w:val="auto"/>
                <w:sz w:val="21"/>
                <w:szCs w:val="21"/>
                <w:highlight w:val="none"/>
              </w:rPr>
              <w:t>人员</w:t>
            </w:r>
            <w:r>
              <w:rPr>
                <w:rFonts w:asciiTheme="minorEastAsia" w:hAnsiTheme="minorEastAsia" w:eastAsiaTheme="minorEastAsia"/>
                <w:color w:val="auto"/>
                <w:sz w:val="21"/>
                <w:szCs w:val="21"/>
                <w:highlight w:val="none"/>
              </w:rPr>
              <w:t>分工确定</w:t>
            </w:r>
            <w:r>
              <w:rPr>
                <w:rFonts w:hint="eastAsia" w:asciiTheme="minorEastAsia" w:hAnsiTheme="minorEastAsia" w:eastAsiaTheme="minorEastAsia"/>
                <w:color w:val="auto"/>
                <w:sz w:val="21"/>
                <w:szCs w:val="21"/>
                <w:highlight w:val="none"/>
              </w:rPr>
              <w:t>。</w:t>
            </w:r>
          </w:p>
        </w:tc>
        <w:tc>
          <w:tcPr>
            <w:tcW w:w="3004" w:type="dxa"/>
            <w:vMerge w:val="restart"/>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隐患排查记录表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车辆</w:t>
            </w:r>
          </w:p>
        </w:tc>
        <w:tc>
          <w:tcPr>
            <w:tcW w:w="2037" w:type="dxa"/>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出车前</w:t>
            </w:r>
          </w:p>
        </w:tc>
        <w:tc>
          <w:tcPr>
            <w:tcW w:w="4611" w:type="dxa"/>
            <w:vMerge w:val="continue"/>
            <w:vAlign w:val="center"/>
          </w:tcPr>
          <w:p>
            <w:pPr>
              <w:widowControl/>
              <w:spacing w:after="0" w:line="240" w:lineRule="auto"/>
              <w:ind w:left="0"/>
              <w:jc w:val="both"/>
              <w:rPr>
                <w:rFonts w:asciiTheme="minorEastAsia" w:hAnsiTheme="minorEastAsia" w:eastAsiaTheme="minorEastAsia"/>
                <w:color w:val="auto"/>
                <w:sz w:val="21"/>
                <w:szCs w:val="21"/>
                <w:highlight w:val="none"/>
              </w:rPr>
            </w:pPr>
          </w:p>
        </w:tc>
        <w:tc>
          <w:tcPr>
            <w:tcW w:w="3004" w:type="dxa"/>
            <w:vMerge w:val="continue"/>
            <w:vAlign w:val="center"/>
          </w:tcPr>
          <w:p>
            <w:pPr>
              <w:widowControl/>
              <w:spacing w:after="0" w:line="240" w:lineRule="auto"/>
              <w:ind w:left="0"/>
              <w:jc w:val="both"/>
              <w:rPr>
                <w:rFonts w:asciiTheme="minorEastAsia" w:hAnsiTheme="minorEastAsia"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机关消防、用电、车辆</w:t>
            </w:r>
          </w:p>
        </w:tc>
        <w:tc>
          <w:tcPr>
            <w:tcW w:w="2037" w:type="dxa"/>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每周一次</w:t>
            </w:r>
          </w:p>
        </w:tc>
        <w:tc>
          <w:tcPr>
            <w:tcW w:w="4611" w:type="dxa"/>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综合</w:t>
            </w:r>
            <w:r>
              <w:rPr>
                <w:rFonts w:asciiTheme="minorEastAsia" w:hAnsiTheme="minorEastAsia" w:eastAsiaTheme="minorEastAsia"/>
                <w:color w:val="auto"/>
                <w:sz w:val="21"/>
                <w:szCs w:val="21"/>
                <w:highlight w:val="none"/>
              </w:rPr>
              <w:t>办公室主要负责人</w:t>
            </w:r>
            <w:r>
              <w:rPr>
                <w:rFonts w:hint="eastAsia" w:asciiTheme="minorEastAsia" w:hAnsiTheme="minorEastAsia" w:eastAsiaTheme="minorEastAsia"/>
                <w:color w:val="auto"/>
                <w:sz w:val="21"/>
                <w:szCs w:val="21"/>
                <w:highlight w:val="none"/>
              </w:rPr>
              <w:t>。</w:t>
            </w:r>
          </w:p>
        </w:tc>
        <w:tc>
          <w:tcPr>
            <w:tcW w:w="3004" w:type="dxa"/>
            <w:vMerge w:val="continue"/>
            <w:vAlign w:val="center"/>
          </w:tcPr>
          <w:p>
            <w:pPr>
              <w:widowControl/>
              <w:spacing w:after="0" w:line="240" w:lineRule="auto"/>
              <w:ind w:left="0"/>
              <w:jc w:val="both"/>
              <w:rPr>
                <w:rFonts w:asciiTheme="minorEastAsia" w:hAnsiTheme="minorEastAsia"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0" w:type="dxa"/>
            <w:gridSpan w:val="3"/>
            <w:vAlign w:val="center"/>
          </w:tcPr>
          <w:p>
            <w:pPr>
              <w:widowControl/>
              <w:spacing w:after="0" w:line="240" w:lineRule="auto"/>
              <w:ind w:left="0"/>
              <w:jc w:val="left"/>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注</w:t>
            </w:r>
            <w:r>
              <w:rPr>
                <w:rFonts w:hint="eastAsia" w:asciiTheme="minorEastAsia" w:hAnsiTheme="minorEastAsia" w:eastAsiaTheme="minorEastAsia"/>
                <w:color w:val="auto"/>
                <w:sz w:val="21"/>
                <w:szCs w:val="21"/>
                <w:highlight w:val="none"/>
              </w:rPr>
              <w:t>：综合</w:t>
            </w:r>
            <w:r>
              <w:rPr>
                <w:rFonts w:asciiTheme="minorEastAsia" w:hAnsiTheme="minorEastAsia" w:eastAsiaTheme="minorEastAsia"/>
                <w:color w:val="auto"/>
                <w:sz w:val="21"/>
                <w:szCs w:val="21"/>
                <w:highlight w:val="none"/>
              </w:rPr>
              <w:t>办公室</w:t>
            </w:r>
            <w:r>
              <w:rPr>
                <w:rFonts w:hint="eastAsia" w:asciiTheme="minorEastAsia" w:hAnsiTheme="minorEastAsia" w:eastAsiaTheme="minorEastAsia"/>
                <w:color w:val="auto"/>
                <w:sz w:val="21"/>
                <w:szCs w:val="21"/>
                <w:highlight w:val="none"/>
              </w:rPr>
              <w:t>每月</w:t>
            </w:r>
            <w:r>
              <w:rPr>
                <w:rFonts w:asciiTheme="minorEastAsia" w:hAnsiTheme="minorEastAsia" w:eastAsiaTheme="minorEastAsia"/>
                <w:color w:val="auto"/>
                <w:sz w:val="21"/>
                <w:szCs w:val="21"/>
                <w:highlight w:val="none"/>
              </w:rPr>
              <w:t>上报隐患排查治理台账</w:t>
            </w:r>
          </w:p>
        </w:tc>
        <w:tc>
          <w:tcPr>
            <w:tcW w:w="3004" w:type="dxa"/>
            <w:vAlign w:val="center"/>
          </w:tcPr>
          <w:p>
            <w:pPr>
              <w:widowControl/>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隐患排查治理台账</w:t>
            </w:r>
          </w:p>
        </w:tc>
      </w:tr>
    </w:tbl>
    <w:p>
      <w:pPr>
        <w:spacing w:after="0" w:line="240" w:lineRule="auto"/>
        <w:ind w:left="0" w:firstLine="0"/>
        <w:rPr>
          <w:rFonts w:cs="宋体" w:asciiTheme="minorEastAsia" w:hAnsiTheme="minorEastAsia" w:eastAsiaTheme="minorEastAsia"/>
          <w:b/>
          <w:color w:val="auto"/>
          <w:sz w:val="22"/>
          <w:szCs w:val="24"/>
          <w:highlight w:val="none"/>
        </w:rPr>
      </w:pPr>
    </w:p>
    <w:p>
      <w:pPr>
        <w:spacing w:after="0" w:line="240" w:lineRule="auto"/>
        <w:ind w:left="0" w:firstLine="0"/>
        <w:rPr>
          <w:rFonts w:cs="宋体" w:asciiTheme="minorEastAsia" w:hAnsiTheme="minorEastAsia" w:eastAsiaTheme="minorEastAsia"/>
          <w:b/>
          <w:color w:val="auto"/>
          <w:sz w:val="22"/>
          <w:szCs w:val="24"/>
          <w:highlight w:val="none"/>
        </w:rPr>
      </w:pPr>
      <w:r>
        <w:rPr>
          <w:rFonts w:cs="宋体" w:asciiTheme="minorEastAsia" w:hAnsiTheme="minorEastAsia" w:eastAsiaTheme="minorEastAsia"/>
          <w:b/>
          <w:color w:val="auto"/>
          <w:sz w:val="22"/>
          <w:szCs w:val="24"/>
          <w:highlight w:val="none"/>
        </w:rPr>
        <w:br w:type="page"/>
      </w:r>
    </w:p>
    <w:p>
      <w:pPr>
        <w:widowControl w:val="0"/>
        <w:spacing w:after="0" w:line="480" w:lineRule="exact"/>
        <w:ind w:left="0" w:firstLine="480"/>
        <w:jc w:val="center"/>
        <w:rPr>
          <w:rFonts w:cs="宋体" w:asciiTheme="minorEastAsia" w:hAnsiTheme="minorEastAsia" w:eastAsiaTheme="minorEastAsia"/>
          <w:b/>
          <w:color w:val="auto"/>
          <w:sz w:val="22"/>
          <w:szCs w:val="24"/>
          <w:highlight w:val="none"/>
        </w:rPr>
      </w:pPr>
      <w:r>
        <w:rPr>
          <w:rFonts w:hint="eastAsia" w:cs="宋体" w:asciiTheme="minorEastAsia" w:hAnsiTheme="minorEastAsia" w:eastAsiaTheme="minorEastAsia"/>
          <w:b/>
          <w:color w:val="auto"/>
          <w:sz w:val="22"/>
          <w:szCs w:val="24"/>
          <w:highlight w:val="none"/>
        </w:rPr>
        <w:t>收费站</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1384"/>
        <w:gridCol w:w="2998"/>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场所部位</w:t>
            </w:r>
            <w:r>
              <w:rPr>
                <w:rFonts w:hint="eastAsia" w:cs="Calibri" w:asciiTheme="minorEastAsia" w:hAnsiTheme="minorEastAsia" w:eastAsiaTheme="minorEastAsia"/>
                <w:color w:val="auto"/>
                <w:sz w:val="21"/>
                <w:szCs w:val="24"/>
                <w:highlight w:val="none"/>
              </w:rPr>
              <w:t>/设备设施</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排查频次</w:t>
            </w:r>
          </w:p>
        </w:tc>
        <w:tc>
          <w:tcPr>
            <w:tcW w:w="5528"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排查人</w:t>
            </w:r>
          </w:p>
        </w:tc>
        <w:tc>
          <w:tcPr>
            <w:tcW w:w="3599"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排查要求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发电机房</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5528" w:type="dxa"/>
            <w:vMerge w:val="restar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各收费站根据本站人员配置情况确定</w:t>
            </w:r>
            <w:r>
              <w:rPr>
                <w:rFonts w:hint="eastAsia" w:cs="Calibri" w:asciiTheme="minorEastAsia" w:hAnsiTheme="minorEastAsia" w:eastAsiaTheme="minorEastAsia"/>
                <w:color w:val="auto"/>
                <w:sz w:val="21"/>
                <w:szCs w:val="24"/>
                <w:highlight w:val="none"/>
              </w:rPr>
              <w:t>。</w:t>
            </w:r>
          </w:p>
        </w:tc>
        <w:tc>
          <w:tcPr>
            <w:tcW w:w="3599" w:type="dxa"/>
            <w:vMerge w:val="restar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隐患排查记录表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消防泵房</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5528"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c>
          <w:tcPr>
            <w:tcW w:w="3599"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配电室</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5528"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c>
          <w:tcPr>
            <w:tcW w:w="3599"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票证室</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5528"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c>
          <w:tcPr>
            <w:tcW w:w="3599"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通信机房</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5528"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c>
          <w:tcPr>
            <w:tcW w:w="3599"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食堂</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5528"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c>
          <w:tcPr>
            <w:tcW w:w="3599"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收费广场</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5528"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c>
          <w:tcPr>
            <w:tcW w:w="3599"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收费站所有区域</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每周一次</w:t>
            </w:r>
          </w:p>
        </w:tc>
        <w:tc>
          <w:tcPr>
            <w:tcW w:w="5528"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收费站站长</w:t>
            </w:r>
            <w:r>
              <w:rPr>
                <w:rFonts w:hint="eastAsia" w:cs="Calibri" w:asciiTheme="minorEastAsia" w:hAnsiTheme="minorEastAsia" w:eastAsiaTheme="minorEastAsia"/>
                <w:color w:val="auto"/>
                <w:sz w:val="21"/>
                <w:szCs w:val="24"/>
                <w:highlight w:val="none"/>
              </w:rPr>
              <w:t>、副站长组织，其中站长每两周至少组织一次。</w:t>
            </w:r>
          </w:p>
        </w:tc>
        <w:tc>
          <w:tcPr>
            <w:tcW w:w="3599"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5" w:type="dxa"/>
            <w:gridSpan w:val="3"/>
            <w:vAlign w:val="center"/>
          </w:tcPr>
          <w:p>
            <w:pPr>
              <w:widowControl w:val="0"/>
              <w:spacing w:after="0" w:line="560" w:lineRule="exact"/>
              <w:ind w:left="0" w:firstLine="0"/>
              <w:jc w:val="left"/>
              <w:rPr>
                <w:rFonts w:cs="Calibri" w:asciiTheme="minorEastAsia" w:hAnsiTheme="minorEastAsia" w:eastAsiaTheme="minorEastAsia"/>
                <w:b/>
                <w:color w:val="auto"/>
                <w:sz w:val="21"/>
                <w:szCs w:val="24"/>
                <w:highlight w:val="none"/>
              </w:rPr>
            </w:pPr>
            <w:r>
              <w:rPr>
                <w:rFonts w:cs="Calibri" w:asciiTheme="minorEastAsia" w:hAnsiTheme="minorEastAsia" w:eastAsiaTheme="minorEastAsia"/>
                <w:b/>
                <w:color w:val="auto"/>
                <w:sz w:val="21"/>
                <w:szCs w:val="24"/>
                <w:highlight w:val="none"/>
              </w:rPr>
              <w:t>注</w:t>
            </w:r>
            <w:r>
              <w:rPr>
                <w:rFonts w:hint="eastAsia" w:cs="Calibri" w:asciiTheme="minorEastAsia" w:hAnsiTheme="minorEastAsia" w:eastAsiaTheme="minorEastAsia"/>
                <w:b/>
                <w:color w:val="auto"/>
                <w:sz w:val="21"/>
                <w:szCs w:val="24"/>
                <w:highlight w:val="none"/>
              </w:rPr>
              <w:t>：</w:t>
            </w:r>
            <w:r>
              <w:rPr>
                <w:rFonts w:cs="Calibri" w:asciiTheme="minorEastAsia" w:hAnsiTheme="minorEastAsia" w:eastAsiaTheme="minorEastAsia"/>
                <w:b/>
                <w:color w:val="auto"/>
                <w:sz w:val="21"/>
                <w:szCs w:val="24"/>
                <w:highlight w:val="none"/>
              </w:rPr>
              <w:t>收费站</w:t>
            </w:r>
            <w:r>
              <w:rPr>
                <w:rFonts w:hint="eastAsia" w:cs="Calibri" w:asciiTheme="minorEastAsia" w:hAnsiTheme="minorEastAsia" w:eastAsiaTheme="minorEastAsia"/>
                <w:b/>
                <w:color w:val="auto"/>
                <w:sz w:val="21"/>
                <w:szCs w:val="24"/>
                <w:highlight w:val="none"/>
              </w:rPr>
              <w:t>每月</w:t>
            </w:r>
            <w:r>
              <w:rPr>
                <w:rFonts w:cs="Calibri" w:asciiTheme="minorEastAsia" w:hAnsiTheme="minorEastAsia" w:eastAsiaTheme="minorEastAsia"/>
                <w:b/>
                <w:color w:val="auto"/>
                <w:sz w:val="21"/>
                <w:szCs w:val="24"/>
                <w:highlight w:val="none"/>
              </w:rPr>
              <w:t>上报隐患排查治理台账</w:t>
            </w:r>
          </w:p>
        </w:tc>
        <w:tc>
          <w:tcPr>
            <w:tcW w:w="3599"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隐患排查治理台账</w:t>
            </w:r>
          </w:p>
        </w:tc>
      </w:tr>
    </w:tbl>
    <w:p>
      <w:pPr>
        <w:widowControl w:val="0"/>
        <w:spacing w:after="0" w:line="480" w:lineRule="exact"/>
        <w:ind w:left="0" w:firstLine="480"/>
        <w:jc w:val="center"/>
        <w:rPr>
          <w:rFonts w:cs="宋体" w:asciiTheme="minorEastAsia" w:hAnsiTheme="minorEastAsia" w:eastAsiaTheme="minorEastAsia"/>
          <w:b/>
          <w:color w:val="auto"/>
          <w:sz w:val="22"/>
          <w:szCs w:val="24"/>
          <w:highlight w:val="none"/>
        </w:rPr>
      </w:pPr>
    </w:p>
    <w:p>
      <w:pPr>
        <w:spacing w:after="0" w:line="240" w:lineRule="auto"/>
        <w:ind w:left="0" w:firstLine="0"/>
        <w:rPr>
          <w:rFonts w:cs="宋体" w:asciiTheme="minorEastAsia" w:hAnsiTheme="minorEastAsia" w:eastAsiaTheme="minorEastAsia"/>
          <w:b/>
          <w:color w:val="auto"/>
          <w:sz w:val="22"/>
          <w:szCs w:val="24"/>
          <w:highlight w:val="none"/>
        </w:rPr>
      </w:pPr>
      <w:r>
        <w:rPr>
          <w:rFonts w:cs="宋体" w:asciiTheme="minorEastAsia" w:hAnsiTheme="minorEastAsia" w:eastAsiaTheme="minorEastAsia"/>
          <w:b/>
          <w:color w:val="auto"/>
          <w:sz w:val="22"/>
          <w:szCs w:val="24"/>
          <w:highlight w:val="none"/>
        </w:rPr>
        <w:br w:type="page"/>
      </w:r>
    </w:p>
    <w:p>
      <w:pPr>
        <w:widowControl w:val="0"/>
        <w:spacing w:after="0" w:line="480" w:lineRule="exact"/>
        <w:ind w:left="0" w:firstLine="480"/>
        <w:jc w:val="center"/>
        <w:rPr>
          <w:rFonts w:cs="宋体" w:asciiTheme="minorEastAsia" w:hAnsiTheme="minorEastAsia" w:eastAsiaTheme="minorEastAsia"/>
          <w:b/>
          <w:color w:val="auto"/>
          <w:sz w:val="22"/>
          <w:szCs w:val="24"/>
          <w:highlight w:val="none"/>
        </w:rPr>
      </w:pPr>
      <w:r>
        <w:rPr>
          <w:rFonts w:cs="宋体" w:asciiTheme="minorEastAsia" w:hAnsiTheme="minorEastAsia" w:eastAsiaTheme="minorEastAsia"/>
          <w:b/>
          <w:color w:val="auto"/>
          <w:sz w:val="22"/>
          <w:szCs w:val="24"/>
          <w:highlight w:val="none"/>
        </w:rPr>
        <w:t>养护工区</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2268"/>
        <w:gridCol w:w="2683"/>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场所部位</w:t>
            </w:r>
            <w:r>
              <w:rPr>
                <w:rFonts w:hint="eastAsia" w:cs="Calibri" w:asciiTheme="minorEastAsia" w:hAnsiTheme="minorEastAsia" w:eastAsiaTheme="minorEastAsia"/>
                <w:color w:val="auto"/>
                <w:sz w:val="21"/>
                <w:szCs w:val="24"/>
                <w:highlight w:val="none"/>
              </w:rPr>
              <w:t>/设备设施</w:t>
            </w:r>
          </w:p>
        </w:tc>
        <w:tc>
          <w:tcPr>
            <w:tcW w:w="133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排查频次</w:t>
            </w:r>
          </w:p>
        </w:tc>
        <w:tc>
          <w:tcPr>
            <w:tcW w:w="1573"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排查人</w:t>
            </w:r>
          </w:p>
        </w:tc>
        <w:tc>
          <w:tcPr>
            <w:tcW w:w="787"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排查要求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发电机房</w:t>
            </w:r>
          </w:p>
        </w:tc>
        <w:tc>
          <w:tcPr>
            <w:tcW w:w="133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1573" w:type="pct"/>
            <w:vMerge w:val="restart"/>
            <w:vAlign w:val="center"/>
          </w:tcPr>
          <w:p>
            <w:pPr>
              <w:widowControl w:val="0"/>
              <w:spacing w:after="0" w:line="560" w:lineRule="exact"/>
              <w:ind w:left="0" w:firstLine="0"/>
              <w:jc w:val="left"/>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各</w:t>
            </w:r>
            <w:r>
              <w:rPr>
                <w:rFonts w:hint="eastAsia" w:cs="Calibri" w:asciiTheme="minorEastAsia" w:hAnsiTheme="minorEastAsia" w:eastAsiaTheme="minorEastAsia"/>
                <w:color w:val="auto"/>
                <w:sz w:val="21"/>
                <w:szCs w:val="24"/>
                <w:highlight w:val="none"/>
              </w:rPr>
              <w:t>养护</w:t>
            </w:r>
            <w:r>
              <w:rPr>
                <w:rFonts w:cs="Calibri" w:asciiTheme="minorEastAsia" w:hAnsiTheme="minorEastAsia" w:eastAsiaTheme="minorEastAsia"/>
                <w:color w:val="auto"/>
                <w:sz w:val="21"/>
                <w:szCs w:val="24"/>
                <w:highlight w:val="none"/>
              </w:rPr>
              <w:t>工区根据本</w:t>
            </w:r>
            <w:r>
              <w:rPr>
                <w:rFonts w:hint="eastAsia" w:cs="Calibri" w:asciiTheme="minorEastAsia" w:hAnsiTheme="minorEastAsia" w:eastAsiaTheme="minorEastAsia"/>
                <w:color w:val="auto"/>
                <w:sz w:val="21"/>
                <w:szCs w:val="24"/>
                <w:highlight w:val="none"/>
              </w:rPr>
              <w:t>工区</w:t>
            </w:r>
            <w:r>
              <w:rPr>
                <w:rFonts w:cs="Calibri" w:asciiTheme="minorEastAsia" w:hAnsiTheme="minorEastAsia" w:eastAsiaTheme="minorEastAsia"/>
                <w:color w:val="auto"/>
                <w:sz w:val="21"/>
                <w:szCs w:val="24"/>
                <w:highlight w:val="none"/>
              </w:rPr>
              <w:t>人员配置情况确定</w:t>
            </w:r>
            <w:r>
              <w:rPr>
                <w:rFonts w:hint="eastAsia" w:cs="Calibri" w:asciiTheme="minorEastAsia" w:hAnsiTheme="minorEastAsia" w:eastAsiaTheme="minorEastAsia"/>
                <w:color w:val="auto"/>
                <w:sz w:val="21"/>
                <w:szCs w:val="24"/>
                <w:highlight w:val="none"/>
              </w:rPr>
              <w:t>。</w:t>
            </w:r>
          </w:p>
        </w:tc>
        <w:tc>
          <w:tcPr>
            <w:tcW w:w="787" w:type="pct"/>
            <w:vMerge w:val="restar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隐患排查记录表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消防泵房</w:t>
            </w:r>
          </w:p>
        </w:tc>
        <w:tc>
          <w:tcPr>
            <w:tcW w:w="133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1573" w:type="pct"/>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c>
          <w:tcPr>
            <w:tcW w:w="787" w:type="pct"/>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配电室</w:t>
            </w:r>
          </w:p>
        </w:tc>
        <w:tc>
          <w:tcPr>
            <w:tcW w:w="133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1573" w:type="pct"/>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c>
          <w:tcPr>
            <w:tcW w:w="787" w:type="pct"/>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食堂</w:t>
            </w:r>
          </w:p>
        </w:tc>
        <w:tc>
          <w:tcPr>
            <w:tcW w:w="133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1573" w:type="pct"/>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c>
          <w:tcPr>
            <w:tcW w:w="787" w:type="pct"/>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hint="eastAsia" w:cs="Calibri" w:asciiTheme="minorEastAsia" w:hAnsiTheme="minorEastAsia" w:eastAsiaTheme="minorEastAsia"/>
                <w:color w:val="auto"/>
                <w:sz w:val="21"/>
                <w:szCs w:val="24"/>
                <w:highlight w:val="none"/>
              </w:rPr>
              <w:t>设备</w:t>
            </w:r>
            <w:r>
              <w:rPr>
                <w:rFonts w:cs="Calibri" w:asciiTheme="minorEastAsia" w:hAnsiTheme="minorEastAsia" w:eastAsiaTheme="minorEastAsia"/>
                <w:color w:val="auto"/>
                <w:sz w:val="21"/>
                <w:szCs w:val="24"/>
                <w:highlight w:val="none"/>
              </w:rPr>
              <w:t>物资库房</w:t>
            </w:r>
          </w:p>
        </w:tc>
        <w:tc>
          <w:tcPr>
            <w:tcW w:w="133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1573" w:type="pct"/>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c>
          <w:tcPr>
            <w:tcW w:w="787" w:type="pct"/>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hint="eastAsia" w:cs="Calibri" w:asciiTheme="minorEastAsia" w:hAnsiTheme="minorEastAsia" w:eastAsiaTheme="minorEastAsia"/>
                <w:color w:val="auto"/>
                <w:sz w:val="21"/>
                <w:szCs w:val="24"/>
                <w:highlight w:val="none"/>
              </w:rPr>
              <w:t>道路</w:t>
            </w:r>
          </w:p>
        </w:tc>
        <w:tc>
          <w:tcPr>
            <w:tcW w:w="133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1573" w:type="pct"/>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c>
          <w:tcPr>
            <w:tcW w:w="787" w:type="pct"/>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养护机械设备</w:t>
            </w:r>
          </w:p>
        </w:tc>
        <w:tc>
          <w:tcPr>
            <w:tcW w:w="133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作业前一次</w:t>
            </w:r>
            <w:r>
              <w:rPr>
                <w:rFonts w:hint="eastAsia" w:cs="Calibri" w:asciiTheme="minorEastAsia" w:hAnsiTheme="minorEastAsia" w:eastAsiaTheme="minorEastAsia"/>
                <w:color w:val="auto"/>
                <w:sz w:val="21"/>
                <w:szCs w:val="24"/>
                <w:highlight w:val="none"/>
              </w:rPr>
              <w:t>、</w:t>
            </w:r>
            <w:r>
              <w:rPr>
                <w:rFonts w:cs="Calibri" w:asciiTheme="minorEastAsia" w:hAnsiTheme="minorEastAsia" w:eastAsiaTheme="minorEastAsia"/>
                <w:color w:val="auto"/>
                <w:sz w:val="21"/>
                <w:szCs w:val="24"/>
                <w:highlight w:val="none"/>
              </w:rPr>
              <w:t>每周一次</w:t>
            </w:r>
          </w:p>
        </w:tc>
        <w:tc>
          <w:tcPr>
            <w:tcW w:w="1573" w:type="pct"/>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c>
          <w:tcPr>
            <w:tcW w:w="787" w:type="pct"/>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hint="eastAsia" w:cs="Calibri" w:asciiTheme="minorEastAsia" w:hAnsiTheme="minorEastAsia" w:eastAsiaTheme="minorEastAsia"/>
                <w:color w:val="auto"/>
                <w:sz w:val="21"/>
                <w:szCs w:val="24"/>
                <w:highlight w:val="none"/>
              </w:rPr>
              <w:t>养护</w:t>
            </w:r>
            <w:r>
              <w:rPr>
                <w:rFonts w:cs="Calibri" w:asciiTheme="minorEastAsia" w:hAnsiTheme="minorEastAsia" w:eastAsiaTheme="minorEastAsia"/>
                <w:color w:val="auto"/>
                <w:sz w:val="21"/>
                <w:szCs w:val="24"/>
                <w:highlight w:val="none"/>
              </w:rPr>
              <w:t>道路及工区院区</w:t>
            </w:r>
          </w:p>
        </w:tc>
        <w:tc>
          <w:tcPr>
            <w:tcW w:w="1330"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每周一次</w:t>
            </w:r>
          </w:p>
        </w:tc>
        <w:tc>
          <w:tcPr>
            <w:tcW w:w="1573" w:type="pct"/>
            <w:vAlign w:val="center"/>
          </w:tcPr>
          <w:p>
            <w:pPr>
              <w:widowControl w:val="0"/>
              <w:spacing w:after="0" w:line="560" w:lineRule="exact"/>
              <w:ind w:left="0" w:firstLine="0"/>
              <w:jc w:val="left"/>
              <w:rPr>
                <w:rFonts w:cs="Calibri" w:asciiTheme="minorEastAsia" w:hAnsiTheme="minorEastAsia" w:eastAsiaTheme="minorEastAsia"/>
                <w:color w:val="auto"/>
                <w:sz w:val="21"/>
                <w:szCs w:val="24"/>
                <w:highlight w:val="none"/>
              </w:rPr>
            </w:pPr>
            <w:r>
              <w:rPr>
                <w:rFonts w:hint="eastAsia" w:cs="Calibri" w:asciiTheme="minorEastAsia" w:hAnsiTheme="minorEastAsia" w:eastAsiaTheme="minorEastAsia"/>
                <w:color w:val="auto"/>
                <w:sz w:val="21"/>
                <w:szCs w:val="24"/>
                <w:highlight w:val="none"/>
              </w:rPr>
              <w:t>养护</w:t>
            </w:r>
            <w:r>
              <w:rPr>
                <w:rFonts w:cs="Calibri" w:asciiTheme="minorEastAsia" w:hAnsiTheme="minorEastAsia" w:eastAsiaTheme="minorEastAsia"/>
                <w:color w:val="auto"/>
                <w:sz w:val="21"/>
                <w:szCs w:val="24"/>
                <w:highlight w:val="none"/>
              </w:rPr>
              <w:t>工区主任</w:t>
            </w:r>
            <w:r>
              <w:rPr>
                <w:rFonts w:hint="eastAsia" w:cs="Calibri" w:asciiTheme="minorEastAsia" w:hAnsiTheme="minorEastAsia" w:eastAsiaTheme="minorEastAsia"/>
                <w:color w:val="auto"/>
                <w:sz w:val="21"/>
                <w:szCs w:val="24"/>
                <w:highlight w:val="none"/>
              </w:rPr>
              <w:t>、</w:t>
            </w:r>
            <w:r>
              <w:rPr>
                <w:rFonts w:cs="Calibri" w:asciiTheme="minorEastAsia" w:hAnsiTheme="minorEastAsia" w:eastAsiaTheme="minorEastAsia"/>
                <w:color w:val="auto"/>
                <w:sz w:val="21"/>
                <w:szCs w:val="24"/>
                <w:highlight w:val="none"/>
              </w:rPr>
              <w:t>副主任</w:t>
            </w:r>
            <w:r>
              <w:rPr>
                <w:rFonts w:hint="eastAsia" w:cs="Calibri" w:asciiTheme="minorEastAsia" w:hAnsiTheme="minorEastAsia" w:eastAsiaTheme="minorEastAsia"/>
                <w:color w:val="auto"/>
                <w:sz w:val="21"/>
                <w:szCs w:val="24"/>
                <w:highlight w:val="none"/>
              </w:rPr>
              <w:t>组织，其中主任每两周至少组织一次。</w:t>
            </w:r>
          </w:p>
        </w:tc>
        <w:tc>
          <w:tcPr>
            <w:tcW w:w="787" w:type="pct"/>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3" w:type="pct"/>
            <w:gridSpan w:val="3"/>
            <w:vAlign w:val="center"/>
          </w:tcPr>
          <w:p>
            <w:pPr>
              <w:widowControl w:val="0"/>
              <w:spacing w:after="0" w:line="560" w:lineRule="exact"/>
              <w:ind w:left="0" w:firstLine="0"/>
              <w:jc w:val="left"/>
              <w:rPr>
                <w:rFonts w:cs="Calibri" w:asciiTheme="minorEastAsia" w:hAnsiTheme="minorEastAsia" w:eastAsiaTheme="minorEastAsia"/>
                <w:b/>
                <w:color w:val="auto"/>
                <w:sz w:val="21"/>
                <w:szCs w:val="24"/>
                <w:highlight w:val="none"/>
              </w:rPr>
            </w:pPr>
            <w:r>
              <w:rPr>
                <w:rFonts w:cs="Calibri" w:asciiTheme="minorEastAsia" w:hAnsiTheme="minorEastAsia" w:eastAsiaTheme="minorEastAsia"/>
                <w:b/>
                <w:color w:val="auto"/>
                <w:sz w:val="21"/>
                <w:szCs w:val="24"/>
                <w:highlight w:val="none"/>
              </w:rPr>
              <w:t>注</w:t>
            </w:r>
            <w:r>
              <w:rPr>
                <w:rFonts w:hint="eastAsia" w:cs="Calibri" w:asciiTheme="minorEastAsia" w:hAnsiTheme="minorEastAsia" w:eastAsiaTheme="minorEastAsia"/>
                <w:b/>
                <w:color w:val="auto"/>
                <w:sz w:val="21"/>
                <w:szCs w:val="24"/>
                <w:highlight w:val="none"/>
              </w:rPr>
              <w:t>：每月</w:t>
            </w:r>
            <w:r>
              <w:rPr>
                <w:rFonts w:cs="Calibri" w:asciiTheme="minorEastAsia" w:hAnsiTheme="minorEastAsia" w:eastAsiaTheme="minorEastAsia"/>
                <w:b/>
                <w:color w:val="auto"/>
                <w:sz w:val="21"/>
                <w:szCs w:val="24"/>
                <w:highlight w:val="none"/>
              </w:rPr>
              <w:t>上报隐患排查治理台账至</w:t>
            </w:r>
            <w:r>
              <w:rPr>
                <w:rFonts w:hint="eastAsia" w:cs="Calibri" w:asciiTheme="minorEastAsia" w:hAnsiTheme="minorEastAsia" w:eastAsiaTheme="minorEastAsia"/>
                <w:b/>
                <w:color w:val="auto"/>
                <w:sz w:val="21"/>
                <w:szCs w:val="24"/>
                <w:highlight w:val="none"/>
              </w:rPr>
              <w:t>安全</w:t>
            </w:r>
            <w:r>
              <w:rPr>
                <w:rFonts w:cs="Calibri" w:asciiTheme="minorEastAsia" w:hAnsiTheme="minorEastAsia" w:eastAsiaTheme="minorEastAsia"/>
                <w:b/>
                <w:color w:val="auto"/>
                <w:sz w:val="21"/>
                <w:szCs w:val="24"/>
                <w:highlight w:val="none"/>
              </w:rPr>
              <w:t>管理部</w:t>
            </w:r>
          </w:p>
        </w:tc>
        <w:tc>
          <w:tcPr>
            <w:tcW w:w="787" w:type="pct"/>
            <w:vAlign w:val="center"/>
          </w:tcPr>
          <w:p>
            <w:pPr>
              <w:widowControl w:val="0"/>
              <w:spacing w:after="0" w:line="56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隐患排查治理台账</w:t>
            </w:r>
          </w:p>
        </w:tc>
      </w:tr>
    </w:tbl>
    <w:p>
      <w:pPr>
        <w:widowControl w:val="0"/>
        <w:spacing w:after="0" w:line="480" w:lineRule="exact"/>
        <w:ind w:left="0" w:firstLine="480"/>
        <w:jc w:val="center"/>
        <w:rPr>
          <w:rFonts w:cs="宋体" w:asciiTheme="minorEastAsia" w:hAnsiTheme="minorEastAsia" w:eastAsiaTheme="minorEastAsia"/>
          <w:b/>
          <w:color w:val="auto"/>
          <w:sz w:val="22"/>
          <w:szCs w:val="24"/>
          <w:highlight w:val="none"/>
        </w:rPr>
      </w:pPr>
    </w:p>
    <w:p>
      <w:pPr>
        <w:widowControl w:val="0"/>
        <w:spacing w:after="0" w:line="480" w:lineRule="exact"/>
        <w:ind w:left="0" w:firstLine="480"/>
        <w:jc w:val="center"/>
        <w:rPr>
          <w:rFonts w:cs="宋体" w:asciiTheme="minorEastAsia" w:hAnsiTheme="minorEastAsia" w:eastAsiaTheme="minorEastAsia"/>
          <w:b/>
          <w:color w:val="auto"/>
          <w:sz w:val="22"/>
          <w:szCs w:val="24"/>
          <w:highlight w:val="none"/>
        </w:rPr>
      </w:pPr>
    </w:p>
    <w:p>
      <w:pPr>
        <w:widowControl w:val="0"/>
        <w:spacing w:after="0" w:line="480" w:lineRule="exact"/>
        <w:ind w:left="0" w:firstLine="480"/>
        <w:jc w:val="center"/>
        <w:rPr>
          <w:rFonts w:cs="宋体" w:asciiTheme="minorEastAsia" w:hAnsiTheme="minorEastAsia" w:eastAsiaTheme="minorEastAsia"/>
          <w:b/>
          <w:color w:val="auto"/>
          <w:sz w:val="22"/>
          <w:szCs w:val="24"/>
          <w:highlight w:val="none"/>
        </w:rPr>
      </w:pPr>
    </w:p>
    <w:p>
      <w:pPr>
        <w:spacing w:after="0" w:line="240" w:lineRule="auto"/>
        <w:ind w:left="0" w:firstLine="0"/>
        <w:rPr>
          <w:rFonts w:cs="宋体" w:asciiTheme="minorEastAsia" w:hAnsiTheme="minorEastAsia" w:eastAsiaTheme="minorEastAsia"/>
          <w:b/>
          <w:color w:val="auto"/>
          <w:sz w:val="22"/>
          <w:szCs w:val="24"/>
          <w:highlight w:val="none"/>
        </w:rPr>
      </w:pPr>
      <w:r>
        <w:rPr>
          <w:rFonts w:cs="宋体" w:asciiTheme="minorEastAsia" w:hAnsiTheme="minorEastAsia" w:eastAsiaTheme="minorEastAsia"/>
          <w:b/>
          <w:color w:val="auto"/>
          <w:sz w:val="22"/>
          <w:szCs w:val="24"/>
          <w:highlight w:val="none"/>
        </w:rPr>
        <w:br w:type="page"/>
      </w:r>
    </w:p>
    <w:p>
      <w:pPr>
        <w:widowControl w:val="0"/>
        <w:spacing w:after="0" w:line="480" w:lineRule="exact"/>
        <w:ind w:left="0" w:firstLine="480"/>
        <w:jc w:val="center"/>
        <w:rPr>
          <w:rFonts w:cs="宋体" w:asciiTheme="minorEastAsia" w:hAnsiTheme="minorEastAsia" w:eastAsiaTheme="minorEastAsia"/>
          <w:b/>
          <w:color w:val="auto"/>
          <w:sz w:val="22"/>
          <w:szCs w:val="24"/>
          <w:highlight w:val="none"/>
        </w:rPr>
      </w:pPr>
      <w:r>
        <w:rPr>
          <w:rFonts w:hint="eastAsia" w:cs="宋体" w:asciiTheme="minorEastAsia" w:hAnsiTheme="minorEastAsia" w:eastAsiaTheme="minorEastAsia"/>
          <w:b/>
          <w:color w:val="auto"/>
          <w:sz w:val="22"/>
          <w:szCs w:val="24"/>
          <w:highlight w:val="none"/>
        </w:rPr>
        <w:t>指挥调度分中心</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1569"/>
        <w:gridCol w:w="2140"/>
        <w:gridCol w:w="2474"/>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2"/>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场所部位</w:t>
            </w:r>
            <w:r>
              <w:rPr>
                <w:rFonts w:hint="eastAsia" w:cs="Calibri" w:asciiTheme="minorEastAsia" w:hAnsiTheme="minorEastAsia" w:eastAsiaTheme="minorEastAsia"/>
                <w:color w:val="auto"/>
                <w:sz w:val="21"/>
                <w:szCs w:val="24"/>
                <w:highlight w:val="none"/>
              </w:rPr>
              <w:t>/设备设施</w:t>
            </w:r>
          </w:p>
        </w:tc>
        <w:tc>
          <w:tcPr>
            <w:tcW w:w="3402"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排查频次</w:t>
            </w:r>
          </w:p>
        </w:tc>
        <w:tc>
          <w:tcPr>
            <w:tcW w:w="3827"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排查人</w:t>
            </w:r>
          </w:p>
        </w:tc>
        <w:tc>
          <w:tcPr>
            <w:tcW w:w="2061"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排查要求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监控中心</w:t>
            </w:r>
          </w:p>
        </w:tc>
        <w:tc>
          <w:tcPr>
            <w:tcW w:w="2410" w:type="dxa"/>
            <w:vAlign w:val="center"/>
          </w:tcPr>
          <w:p>
            <w:pPr>
              <w:widowControl w:val="0"/>
              <w:spacing w:after="0" w:line="520" w:lineRule="exact"/>
              <w:ind w:left="0"/>
              <w:jc w:val="center"/>
              <w:rPr>
                <w:rFonts w:cs="Calibri" w:asciiTheme="minorEastAsia" w:hAnsiTheme="minorEastAsia" w:eastAsiaTheme="minorEastAsia"/>
                <w:color w:val="auto"/>
                <w:sz w:val="21"/>
                <w:szCs w:val="24"/>
                <w:highlight w:val="none"/>
              </w:rPr>
            </w:pPr>
            <w:r>
              <w:rPr>
                <w:rFonts w:hint="eastAsia" w:cs="Calibri" w:asciiTheme="minorEastAsia" w:hAnsiTheme="minorEastAsia" w:eastAsiaTheme="minorEastAsia"/>
                <w:color w:val="auto"/>
                <w:sz w:val="21"/>
                <w:szCs w:val="24"/>
                <w:highlight w:val="none"/>
              </w:rPr>
              <w:t>通信机房</w:t>
            </w:r>
          </w:p>
        </w:tc>
        <w:tc>
          <w:tcPr>
            <w:tcW w:w="3402"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3827" w:type="dxa"/>
            <w:vMerge w:val="restart"/>
            <w:vAlign w:val="center"/>
          </w:tcPr>
          <w:p>
            <w:pPr>
              <w:widowControl w:val="0"/>
              <w:spacing w:after="0" w:line="520" w:lineRule="exact"/>
              <w:ind w:left="0" w:firstLine="0"/>
              <w:jc w:val="left"/>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排查清单中所制定的排查人</w:t>
            </w:r>
            <w:r>
              <w:rPr>
                <w:rFonts w:hint="eastAsia" w:cs="Calibri" w:asciiTheme="minorEastAsia" w:hAnsiTheme="minorEastAsia" w:eastAsiaTheme="minorEastAsia"/>
                <w:color w:val="auto"/>
                <w:sz w:val="21"/>
                <w:szCs w:val="24"/>
                <w:highlight w:val="none"/>
              </w:rPr>
              <w:t>调整，但调整前需将隐患排查治理清单（责任人）填报后以正式文件上报安全管理部及主管业务部室。</w:t>
            </w:r>
          </w:p>
        </w:tc>
        <w:tc>
          <w:tcPr>
            <w:tcW w:w="2061" w:type="dxa"/>
            <w:vMerge w:val="restart"/>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隐患排查记录表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c>
          <w:tcPr>
            <w:tcW w:w="2410" w:type="dxa"/>
            <w:vAlign w:val="center"/>
          </w:tcPr>
          <w:p>
            <w:pPr>
              <w:widowControl w:val="0"/>
              <w:spacing w:after="0" w:line="520" w:lineRule="exact"/>
              <w:ind w:left="0"/>
              <w:jc w:val="center"/>
              <w:rPr>
                <w:rFonts w:cs="Calibri" w:asciiTheme="minorEastAsia" w:hAnsiTheme="minorEastAsia" w:eastAsiaTheme="minorEastAsia"/>
                <w:color w:val="auto"/>
                <w:sz w:val="21"/>
                <w:szCs w:val="24"/>
                <w:highlight w:val="none"/>
              </w:rPr>
            </w:pPr>
            <w:r>
              <w:rPr>
                <w:rFonts w:hint="eastAsia" w:cs="Calibri" w:asciiTheme="minorEastAsia" w:hAnsiTheme="minorEastAsia" w:eastAsiaTheme="minorEastAsia"/>
                <w:color w:val="auto"/>
                <w:sz w:val="21"/>
                <w:szCs w:val="24"/>
                <w:highlight w:val="none"/>
              </w:rPr>
              <w:t>监控大厅</w:t>
            </w:r>
          </w:p>
        </w:tc>
        <w:tc>
          <w:tcPr>
            <w:tcW w:w="3402"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3827"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c>
          <w:tcPr>
            <w:tcW w:w="2061"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c>
          <w:tcPr>
            <w:tcW w:w="2410" w:type="dxa"/>
            <w:vAlign w:val="center"/>
          </w:tcPr>
          <w:p>
            <w:pPr>
              <w:widowControl w:val="0"/>
              <w:spacing w:after="0" w:line="520" w:lineRule="exact"/>
              <w:ind w:left="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食堂</w:t>
            </w:r>
          </w:p>
        </w:tc>
        <w:tc>
          <w:tcPr>
            <w:tcW w:w="3402"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每日一次</w:t>
            </w:r>
          </w:p>
        </w:tc>
        <w:tc>
          <w:tcPr>
            <w:tcW w:w="3827"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c>
          <w:tcPr>
            <w:tcW w:w="2061"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路段</w:t>
            </w:r>
          </w:p>
        </w:tc>
        <w:tc>
          <w:tcPr>
            <w:tcW w:w="2410" w:type="dxa"/>
            <w:vAlign w:val="center"/>
          </w:tcPr>
          <w:p>
            <w:pPr>
              <w:widowControl w:val="0"/>
              <w:spacing w:after="0" w:line="520" w:lineRule="exact"/>
              <w:ind w:left="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隧道</w:t>
            </w:r>
            <w:r>
              <w:rPr>
                <w:rFonts w:hint="eastAsia" w:cs="Calibri" w:asciiTheme="minorEastAsia" w:hAnsiTheme="minorEastAsia" w:eastAsiaTheme="minorEastAsia"/>
                <w:color w:val="auto"/>
                <w:sz w:val="21"/>
                <w:szCs w:val="24"/>
                <w:highlight w:val="none"/>
              </w:rPr>
              <w:t>机电</w:t>
            </w:r>
            <w:r>
              <w:rPr>
                <w:rFonts w:cs="Calibri" w:asciiTheme="minorEastAsia" w:hAnsiTheme="minorEastAsia" w:eastAsiaTheme="minorEastAsia"/>
                <w:color w:val="auto"/>
                <w:sz w:val="21"/>
                <w:szCs w:val="24"/>
                <w:highlight w:val="none"/>
              </w:rPr>
              <w:t>设备用房</w:t>
            </w:r>
          </w:p>
        </w:tc>
        <w:tc>
          <w:tcPr>
            <w:tcW w:w="3402" w:type="dxa"/>
            <w:vMerge w:val="restart"/>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每周一次</w:t>
            </w:r>
          </w:p>
        </w:tc>
        <w:tc>
          <w:tcPr>
            <w:tcW w:w="3827"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c>
          <w:tcPr>
            <w:tcW w:w="2061"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c>
          <w:tcPr>
            <w:tcW w:w="2410" w:type="dxa"/>
            <w:vAlign w:val="center"/>
          </w:tcPr>
          <w:p>
            <w:pPr>
              <w:widowControl w:val="0"/>
              <w:spacing w:after="0" w:line="520" w:lineRule="exact"/>
              <w:ind w:left="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路段机电设备</w:t>
            </w:r>
          </w:p>
        </w:tc>
        <w:tc>
          <w:tcPr>
            <w:tcW w:w="3402"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c>
          <w:tcPr>
            <w:tcW w:w="3827"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c>
          <w:tcPr>
            <w:tcW w:w="2061"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c>
          <w:tcPr>
            <w:tcW w:w="2410" w:type="dxa"/>
            <w:vAlign w:val="center"/>
          </w:tcPr>
          <w:p>
            <w:pPr>
              <w:widowControl w:val="0"/>
              <w:spacing w:after="0" w:line="520" w:lineRule="exact"/>
              <w:ind w:left="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路段机电作业</w:t>
            </w:r>
          </w:p>
        </w:tc>
        <w:tc>
          <w:tcPr>
            <w:tcW w:w="3402"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c>
          <w:tcPr>
            <w:tcW w:w="3827"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c>
          <w:tcPr>
            <w:tcW w:w="2061" w:type="dxa"/>
            <w:vMerge w:val="continue"/>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2"/>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hint="eastAsia" w:cs="Calibri" w:asciiTheme="minorEastAsia" w:hAnsiTheme="minorEastAsia" w:eastAsiaTheme="minorEastAsia"/>
                <w:color w:val="auto"/>
                <w:sz w:val="21"/>
                <w:szCs w:val="24"/>
                <w:highlight w:val="none"/>
              </w:rPr>
              <w:t>中心所有部位及作业</w:t>
            </w:r>
          </w:p>
        </w:tc>
        <w:tc>
          <w:tcPr>
            <w:tcW w:w="3402"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每周一次</w:t>
            </w:r>
          </w:p>
        </w:tc>
        <w:tc>
          <w:tcPr>
            <w:tcW w:w="3827" w:type="dxa"/>
            <w:vAlign w:val="center"/>
          </w:tcPr>
          <w:p>
            <w:pPr>
              <w:widowControl w:val="0"/>
              <w:spacing w:after="0" w:line="520" w:lineRule="exact"/>
              <w:ind w:left="0" w:firstLine="0"/>
              <w:jc w:val="left"/>
              <w:rPr>
                <w:rFonts w:cs="Calibri" w:asciiTheme="minorEastAsia" w:hAnsiTheme="minorEastAsia" w:eastAsiaTheme="minorEastAsia"/>
                <w:color w:val="auto"/>
                <w:sz w:val="21"/>
                <w:szCs w:val="24"/>
                <w:highlight w:val="none"/>
              </w:rPr>
            </w:pPr>
            <w:r>
              <w:rPr>
                <w:rFonts w:hint="eastAsia" w:cs="Calibri" w:asciiTheme="minorEastAsia" w:hAnsiTheme="minorEastAsia" w:eastAsiaTheme="minorEastAsia"/>
                <w:color w:val="auto"/>
                <w:sz w:val="21"/>
                <w:szCs w:val="24"/>
                <w:highlight w:val="none"/>
              </w:rPr>
              <w:t>指挥调度中心</w:t>
            </w:r>
            <w:r>
              <w:rPr>
                <w:rFonts w:cs="Calibri" w:asciiTheme="minorEastAsia" w:hAnsiTheme="minorEastAsia" w:eastAsiaTheme="minorEastAsia"/>
                <w:color w:val="auto"/>
                <w:sz w:val="21"/>
                <w:szCs w:val="24"/>
                <w:highlight w:val="none"/>
              </w:rPr>
              <w:t>主任</w:t>
            </w:r>
            <w:r>
              <w:rPr>
                <w:rFonts w:hint="eastAsia" w:cs="Calibri" w:asciiTheme="minorEastAsia" w:hAnsiTheme="minorEastAsia" w:eastAsiaTheme="minorEastAsia"/>
                <w:color w:val="auto"/>
                <w:sz w:val="21"/>
                <w:szCs w:val="24"/>
                <w:highlight w:val="none"/>
              </w:rPr>
              <w:t>、</w:t>
            </w:r>
            <w:r>
              <w:rPr>
                <w:rFonts w:cs="Calibri" w:asciiTheme="minorEastAsia" w:hAnsiTheme="minorEastAsia" w:eastAsiaTheme="minorEastAsia"/>
                <w:color w:val="auto"/>
                <w:sz w:val="21"/>
                <w:szCs w:val="24"/>
                <w:highlight w:val="none"/>
              </w:rPr>
              <w:t>副主任</w:t>
            </w:r>
            <w:r>
              <w:rPr>
                <w:rFonts w:hint="eastAsia" w:cs="Calibri" w:asciiTheme="minorEastAsia" w:hAnsiTheme="minorEastAsia" w:eastAsiaTheme="minorEastAsia"/>
                <w:color w:val="auto"/>
                <w:sz w:val="21"/>
                <w:szCs w:val="24"/>
                <w:highlight w:val="none"/>
              </w:rPr>
              <w:t>组织，其中主任每两周至少组织一次。</w:t>
            </w:r>
          </w:p>
        </w:tc>
        <w:tc>
          <w:tcPr>
            <w:tcW w:w="2061" w:type="dxa"/>
            <w:vMerge w:val="continue"/>
            <w:vAlign w:val="center"/>
          </w:tcPr>
          <w:p>
            <w:pPr>
              <w:widowControl w:val="0"/>
              <w:spacing w:after="0" w:line="520" w:lineRule="exact"/>
              <w:ind w:left="0" w:firstLine="0"/>
              <w:jc w:val="both"/>
              <w:rPr>
                <w:rFonts w:cs="Calibri"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3" w:type="dxa"/>
            <w:gridSpan w:val="4"/>
            <w:vAlign w:val="center"/>
          </w:tcPr>
          <w:p>
            <w:pPr>
              <w:widowControl w:val="0"/>
              <w:spacing w:after="0" w:line="520" w:lineRule="exact"/>
              <w:ind w:left="0" w:firstLine="0"/>
              <w:jc w:val="both"/>
              <w:rPr>
                <w:rFonts w:cs="Calibri" w:asciiTheme="minorEastAsia" w:hAnsiTheme="minorEastAsia" w:eastAsiaTheme="minorEastAsia"/>
                <w:b/>
                <w:color w:val="auto"/>
                <w:sz w:val="21"/>
                <w:szCs w:val="24"/>
                <w:highlight w:val="none"/>
              </w:rPr>
            </w:pPr>
            <w:r>
              <w:rPr>
                <w:rFonts w:cs="Calibri" w:asciiTheme="minorEastAsia" w:hAnsiTheme="minorEastAsia" w:eastAsiaTheme="minorEastAsia"/>
                <w:b/>
                <w:color w:val="auto"/>
                <w:sz w:val="21"/>
                <w:szCs w:val="24"/>
                <w:highlight w:val="none"/>
              </w:rPr>
              <w:t>注</w:t>
            </w:r>
            <w:r>
              <w:rPr>
                <w:rFonts w:hint="eastAsia" w:cs="Calibri" w:asciiTheme="minorEastAsia" w:hAnsiTheme="minorEastAsia" w:eastAsiaTheme="minorEastAsia"/>
                <w:b/>
                <w:color w:val="auto"/>
                <w:sz w:val="21"/>
                <w:szCs w:val="24"/>
                <w:highlight w:val="none"/>
              </w:rPr>
              <w:t>：每月</w:t>
            </w:r>
            <w:r>
              <w:rPr>
                <w:rFonts w:cs="Calibri" w:asciiTheme="minorEastAsia" w:hAnsiTheme="minorEastAsia" w:eastAsiaTheme="minorEastAsia"/>
                <w:b/>
                <w:color w:val="auto"/>
                <w:sz w:val="21"/>
                <w:szCs w:val="24"/>
                <w:highlight w:val="none"/>
              </w:rPr>
              <w:t>上报隐患排查治理台账至安全管理部</w:t>
            </w:r>
          </w:p>
        </w:tc>
        <w:tc>
          <w:tcPr>
            <w:tcW w:w="2061" w:type="dxa"/>
            <w:vAlign w:val="center"/>
          </w:tcPr>
          <w:p>
            <w:pPr>
              <w:widowControl w:val="0"/>
              <w:spacing w:after="0" w:line="520" w:lineRule="exact"/>
              <w:ind w:left="0" w:firstLine="0"/>
              <w:jc w:val="center"/>
              <w:rPr>
                <w:rFonts w:cs="Calibri" w:asciiTheme="minorEastAsia" w:hAnsiTheme="minorEastAsia" w:eastAsiaTheme="minorEastAsia"/>
                <w:color w:val="auto"/>
                <w:sz w:val="21"/>
                <w:szCs w:val="24"/>
                <w:highlight w:val="none"/>
              </w:rPr>
            </w:pPr>
            <w:r>
              <w:rPr>
                <w:rFonts w:cs="Calibri" w:asciiTheme="minorEastAsia" w:hAnsiTheme="minorEastAsia" w:eastAsiaTheme="minorEastAsia"/>
                <w:color w:val="auto"/>
                <w:sz w:val="21"/>
                <w:szCs w:val="24"/>
                <w:highlight w:val="none"/>
              </w:rPr>
              <w:t>隐患排查治理台账</w:t>
            </w:r>
          </w:p>
        </w:tc>
      </w:tr>
    </w:tbl>
    <w:p>
      <w:pPr>
        <w:widowControl w:val="0"/>
        <w:spacing w:after="0" w:line="480" w:lineRule="exact"/>
        <w:ind w:left="0" w:firstLine="480"/>
        <w:jc w:val="center"/>
        <w:rPr>
          <w:rFonts w:cs="宋体" w:asciiTheme="minorEastAsia" w:hAnsiTheme="minorEastAsia" w:eastAsiaTheme="minorEastAsia"/>
          <w:b/>
          <w:color w:val="auto"/>
          <w:sz w:val="22"/>
          <w:szCs w:val="24"/>
          <w:highlight w:val="none"/>
        </w:rPr>
      </w:pP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42" w:name="_Toc104735777"/>
      <w:r>
        <w:rPr>
          <w:rFonts w:hint="eastAsia" w:cs="Calibri" w:asciiTheme="minorEastAsia" w:hAnsiTheme="minorEastAsia" w:eastAsiaTheme="minorEastAsia"/>
          <w:b/>
          <w:color w:val="auto"/>
          <w:sz w:val="28"/>
          <w:szCs w:val="24"/>
          <w:highlight w:val="none"/>
        </w:rPr>
        <w:t>4.3隐患分类</w:t>
      </w:r>
      <w:bookmarkEnd w:id="42"/>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隐患分为基础管理和现场管理两类。其中，基础管理类隐患是指基础管理中存在的问题或缺陷，现场管理类隐患是指机关、站区、道路、作业过程中存在的问题或缺陷，包括：</w:t>
      </w:r>
    </w:p>
    <w:p>
      <w:pPr>
        <w:widowControl w:val="0"/>
        <w:spacing w:after="0" w:line="480" w:lineRule="exact"/>
        <w:ind w:left="0" w:firstLine="480"/>
        <w:jc w:val="center"/>
        <w:rPr>
          <w:rFonts w:cs="宋体" w:asciiTheme="minorEastAsia" w:hAnsiTheme="minorEastAsia" w:eastAsiaTheme="minorEastAsia"/>
          <w:b/>
          <w:color w:val="auto"/>
          <w:sz w:val="21"/>
          <w:szCs w:val="24"/>
          <w:highlight w:val="none"/>
        </w:rPr>
      </w:pPr>
      <w:bookmarkStart w:id="43" w:name="_Toc11251633"/>
      <w:r>
        <w:rPr>
          <w:rFonts w:hint="eastAsia" w:cs="宋体" w:asciiTheme="minorEastAsia" w:hAnsiTheme="minorEastAsia" w:eastAsiaTheme="minorEastAsia"/>
          <w:b/>
          <w:color w:val="auto"/>
          <w:sz w:val="21"/>
          <w:szCs w:val="24"/>
          <w:highlight w:val="none"/>
        </w:rPr>
        <w:t>表4-2 安全生产事故隐患分类表</w:t>
      </w:r>
      <w:bookmarkEnd w:id="43"/>
    </w:p>
    <w:tbl>
      <w:tblPr>
        <w:tblStyle w:val="27"/>
        <w:tblW w:w="5023"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187"/>
        <w:gridCol w:w="1981"/>
        <w:gridCol w:w="4499"/>
        <w:gridCol w:w="90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693" w:type="pct"/>
            <w:vAlign w:val="center"/>
          </w:tcPr>
          <w:p>
            <w:pPr>
              <w:widowControl w:val="0"/>
              <w:spacing w:beforeLines="20" w:afterLines="20" w:line="440" w:lineRule="exact"/>
              <w:ind w:left="0" w:firstLine="0"/>
              <w:jc w:val="center"/>
              <w:rPr>
                <w:rFonts w:cs="Times New Roman" w:asciiTheme="minorEastAsia" w:hAnsiTheme="minorEastAsia" w:eastAsiaTheme="minorEastAsia"/>
                <w:b/>
                <w:color w:val="auto"/>
                <w:sz w:val="21"/>
                <w:szCs w:val="21"/>
                <w:highlight w:val="none"/>
              </w:rPr>
            </w:pPr>
            <w:r>
              <w:rPr>
                <w:rFonts w:hint="eastAsia" w:cs="Times New Roman" w:asciiTheme="minorEastAsia" w:hAnsiTheme="minorEastAsia" w:eastAsiaTheme="minorEastAsia"/>
                <w:b/>
                <w:color w:val="auto"/>
                <w:sz w:val="21"/>
                <w:szCs w:val="21"/>
                <w:highlight w:val="none"/>
              </w:rPr>
              <w:t>隐患大类</w:t>
            </w:r>
          </w:p>
        </w:tc>
        <w:tc>
          <w:tcPr>
            <w:tcW w:w="1156" w:type="pct"/>
            <w:vAlign w:val="center"/>
          </w:tcPr>
          <w:p>
            <w:pPr>
              <w:widowControl w:val="0"/>
              <w:spacing w:beforeLines="20" w:afterLines="20" w:line="440" w:lineRule="exact"/>
              <w:ind w:left="3" w:leftChars="-86" w:hanging="209" w:hangingChars="99"/>
              <w:jc w:val="center"/>
              <w:rPr>
                <w:rFonts w:cs="Times New Roman" w:asciiTheme="minorEastAsia" w:hAnsiTheme="minorEastAsia" w:eastAsiaTheme="minorEastAsia"/>
                <w:b/>
                <w:color w:val="auto"/>
                <w:sz w:val="21"/>
                <w:szCs w:val="21"/>
                <w:highlight w:val="none"/>
              </w:rPr>
            </w:pPr>
            <w:r>
              <w:rPr>
                <w:rFonts w:hint="eastAsia" w:cs="Times New Roman" w:asciiTheme="minorEastAsia" w:hAnsiTheme="minorEastAsia" w:eastAsiaTheme="minorEastAsia"/>
                <w:b/>
                <w:color w:val="auto"/>
                <w:sz w:val="21"/>
                <w:szCs w:val="21"/>
                <w:highlight w:val="none"/>
              </w:rPr>
              <w:t>隐患小类</w:t>
            </w:r>
          </w:p>
        </w:tc>
        <w:tc>
          <w:tcPr>
            <w:tcW w:w="2626" w:type="pct"/>
            <w:vAlign w:val="center"/>
          </w:tcPr>
          <w:p>
            <w:pPr>
              <w:widowControl w:val="0"/>
              <w:spacing w:beforeLines="20" w:afterLines="20" w:line="440" w:lineRule="exact"/>
              <w:ind w:left="208" w:firstLine="0"/>
              <w:jc w:val="center"/>
              <w:rPr>
                <w:rFonts w:cs="Times New Roman" w:asciiTheme="minorEastAsia" w:hAnsiTheme="minorEastAsia" w:eastAsiaTheme="minorEastAsia"/>
                <w:b/>
                <w:color w:val="auto"/>
                <w:sz w:val="21"/>
                <w:szCs w:val="21"/>
                <w:highlight w:val="none"/>
              </w:rPr>
            </w:pPr>
            <w:r>
              <w:rPr>
                <w:rFonts w:hint="eastAsia" w:cs="Times New Roman" w:asciiTheme="minorEastAsia" w:hAnsiTheme="minorEastAsia" w:eastAsiaTheme="minorEastAsia"/>
                <w:b/>
                <w:color w:val="auto"/>
                <w:sz w:val="21"/>
                <w:szCs w:val="21"/>
                <w:highlight w:val="none"/>
              </w:rPr>
              <w:t>隐患类别描述</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b/>
                <w:color w:val="auto"/>
                <w:sz w:val="21"/>
                <w:szCs w:val="21"/>
                <w:highlight w:val="none"/>
              </w:rPr>
            </w:pPr>
            <w:r>
              <w:rPr>
                <w:rFonts w:hint="eastAsia" w:cs="Times New Roman" w:asciiTheme="minorEastAsia" w:hAnsiTheme="minorEastAsia" w:eastAsiaTheme="minorEastAsia"/>
                <w:b/>
                <w:color w:val="auto"/>
                <w:sz w:val="21"/>
                <w:szCs w:val="21"/>
                <w:highlight w:val="none"/>
              </w:rPr>
              <w:t>代码</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restart"/>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基础管理</w:t>
            </w: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安全生产目标管理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包括目标指标的制定、保障、考核等方面存在的问题和缺陷。</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安全生产管理机构及人员</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包括机构设置、安全管理人员、专业和特种作业人员配置、安全会议等方面存在的问题。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安全生产责任</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安全责任制落实和考核，表现为责任书的签订、定期考核、领导值班、包保等方面存在的问题和缺陷。</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安全生产管理制度及操作规程</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制度及操作规程缺少、缺陷或不完善。</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安全生产投入</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安全生产投入方面存在的问题和缺陷。</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安全教育培训</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三级安全教育培训、定期安全培训、特殊人员培训取证等方面存在的问题。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风险管理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风险分级管控方面存在的问题。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YJ7</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隐患排查与治理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隐患排查与治理面存在的问题。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职业健康</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体检、保险（工伤、意外伤害）、劳保用品发放等方面存在的问题。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YJ9</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安全文化</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安全宣传、举报、承诺、文化建设等方面存在的问题。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YJ10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应急管理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应急设备物资、预案、队伍、演练等方面存在的问题。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YJ11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事故报告与处理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事故处理、上报等方面存在的问题。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YJ12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科技信息化</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系统平台使用方面存在的问题。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YJ13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相关方基础管理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涉及相关方方面的管理问题。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YJ14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其他基础管理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不属于上述十四种隐患分类的安全生产基础管理类的不符合项。</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YJ15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restart"/>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现场管理</w:t>
            </w: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站（场）设施及作业环境</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机关、收费站土建结构、庭院及收费岛、棚、亭，站（场）安全环境条件、辅助设备（不含用电、消防及生产设备）、标志等方面的问题和缺陷。</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YX1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机械设备及车辆安全</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作业机械设备、车辆的防护设施、使用和管理方面存在的问题和缺陷。</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YX2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道路土建结构安全</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路基路面、边坡、桥涵结构及附属结构物方面存在的问题和缺陷。</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YX3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交通工程及安全设施</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通信、监控、收费等机电（不含用电、消防）、交通安全设施方面存在的问题和缺陷。</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YX4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养护作业现场安全</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养护作业控制区设置、安全警示标志等方面存在的问题和缺陷。</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YX5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消防安全</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主要包括应急照明、消防设施与器材等方面存在的缺陷。</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YX6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用电安全</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主要包括配电室，配电箱、柜，电气线路敷设，固定用电设备，插座，临时用电，潮湿作业场所用电等内容。</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YX7</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食堂安全</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主要包括食品卫生、烹饪、燃气安全等。</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YX8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从业人员作业行为</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从业人员操作行为类隐患包括“三违”行为和个人防护用品佩戴两方面。</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YX9</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相关方现场管理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涉及相关方现场管理方面的缺陷和问题，属于相关方现场管理类隐患。</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YX10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highlight w:val="none"/>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其他现场管理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t>不属于上述十种隐患分类的安全生产现场管理类的项，属于其他现场类隐患。</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highlight w:val="none"/>
              </w:rPr>
            </w:pPr>
            <w:r>
              <w:rPr>
                <w:rFonts w:cs="Times New Roman" w:asciiTheme="minorEastAsia" w:hAnsiTheme="minorEastAsia" w:eastAsiaTheme="minorEastAsia"/>
                <w:color w:val="auto"/>
                <w:sz w:val="21"/>
                <w:szCs w:val="21"/>
                <w:highlight w:val="none"/>
              </w:rPr>
              <w:t>YX11</w:t>
            </w:r>
          </w:p>
        </w:tc>
      </w:tr>
    </w:tbl>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44" w:name="_Toc104735778"/>
      <w:r>
        <w:rPr>
          <w:rFonts w:hint="eastAsia" w:cs="Calibri" w:asciiTheme="minorEastAsia" w:hAnsiTheme="minorEastAsia" w:eastAsiaTheme="minorEastAsia"/>
          <w:b/>
          <w:color w:val="auto"/>
          <w:sz w:val="28"/>
          <w:szCs w:val="24"/>
          <w:highlight w:val="none"/>
        </w:rPr>
        <w:t>4.4隐患分级</w:t>
      </w:r>
      <w:bookmarkEnd w:id="44"/>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隐患分为重大隐患和一般隐患两个等级。</w:t>
      </w:r>
    </w:p>
    <w:p>
      <w:pPr>
        <w:widowControl w:val="0"/>
        <w:spacing w:after="0" w:line="480" w:lineRule="exact"/>
        <w:ind w:left="0" w:firstLine="480"/>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3.4.1 重大隐患</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重大隐患是指极易导致重特大安全生产事故发生，且整改难度较大，需要全部或者局部封路停运、停业、停工，并经过一定时间整改治理方能消除的隐患，或者因外部因素影响致使公司自身难以消除的隐患。</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以下情形为重大事故隐患：</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1）违反法律法规有关规定，整改时间长、难度大或可能造成严重危害的；</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2）因外部因素影响致使公司自身难以排除的隐患；</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3）存在超范围、超能力、超期限作业情况的；</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4）安全管理存在重大缺陷的；</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5）其他有明确规定、上级主管部门认定的。</w:t>
      </w:r>
    </w:p>
    <w:p>
      <w:pPr>
        <w:widowControl w:val="0"/>
        <w:spacing w:after="0" w:line="480" w:lineRule="exact"/>
        <w:ind w:left="0" w:firstLine="480"/>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3.4.2一般隐患</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是指除重大隐患外，可能导致安全生产事故发生的隐患，</w:t>
      </w:r>
      <w:r>
        <w:rPr>
          <w:rFonts w:cs="宋体" w:asciiTheme="minorEastAsia" w:hAnsiTheme="minorEastAsia" w:eastAsiaTheme="minorEastAsia"/>
          <w:color w:val="auto"/>
          <w:szCs w:val="24"/>
          <w:highlight w:val="none"/>
        </w:rPr>
        <w:t xml:space="preserve"> 危害和整改难度较小，发现后能够及时整改排除的隐患。</w:t>
      </w:r>
      <w:r>
        <w:rPr>
          <w:rFonts w:hint="eastAsia" w:cs="宋体" w:asciiTheme="minorEastAsia" w:hAnsiTheme="minorEastAsia" w:eastAsiaTheme="minorEastAsia"/>
          <w:color w:val="auto"/>
          <w:szCs w:val="24"/>
          <w:highlight w:val="none"/>
        </w:rPr>
        <w:t>将一般隐患细分为：</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（1）一般</w:t>
      </w:r>
      <w:r>
        <w:rPr>
          <w:rFonts w:cs="宋体" w:asciiTheme="minorEastAsia" w:hAnsiTheme="minorEastAsia" w:eastAsiaTheme="minorEastAsia"/>
          <w:color w:val="auto"/>
          <w:szCs w:val="24"/>
          <w:highlight w:val="none"/>
        </w:rPr>
        <w:t>C级隐患：各单位自行治理的隐患；</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（2）一般</w:t>
      </w:r>
      <w:r>
        <w:rPr>
          <w:rFonts w:cs="宋体" w:asciiTheme="minorEastAsia" w:hAnsiTheme="minorEastAsia" w:eastAsiaTheme="minorEastAsia"/>
          <w:color w:val="auto"/>
          <w:szCs w:val="24"/>
          <w:highlight w:val="none"/>
        </w:rPr>
        <w:t>B级隐患：公司统一治理的隐患；</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（3）一般</w:t>
      </w:r>
      <w:r>
        <w:rPr>
          <w:rFonts w:cs="宋体" w:asciiTheme="minorEastAsia" w:hAnsiTheme="minorEastAsia" w:eastAsiaTheme="minorEastAsia"/>
          <w:color w:val="auto"/>
          <w:szCs w:val="24"/>
          <w:highlight w:val="none"/>
        </w:rPr>
        <w:t>A级隐患：需要由集团协调处置的隐患。</w:t>
      </w:r>
    </w:p>
    <w:p>
      <w:pPr>
        <w:widowControl w:val="0"/>
        <w:spacing w:beforeLines="50" w:afterLines="50" w:line="360" w:lineRule="auto"/>
        <w:ind w:left="0" w:hanging="11"/>
        <w:outlineLvl w:val="1"/>
        <w:rPr>
          <w:rFonts w:cs="Calibri" w:asciiTheme="minorEastAsia" w:hAnsiTheme="minorEastAsia" w:eastAsiaTheme="minorEastAsia"/>
          <w:b/>
          <w:color w:val="auto"/>
          <w:sz w:val="28"/>
          <w:szCs w:val="24"/>
          <w:highlight w:val="none"/>
        </w:rPr>
      </w:pPr>
      <w:bookmarkStart w:id="45" w:name="_Toc104735779"/>
      <w:r>
        <w:rPr>
          <w:rFonts w:hint="eastAsia" w:cs="Calibri" w:asciiTheme="minorEastAsia" w:hAnsiTheme="minorEastAsia" w:eastAsiaTheme="minorEastAsia"/>
          <w:b/>
          <w:color w:val="auto"/>
          <w:sz w:val="28"/>
          <w:szCs w:val="24"/>
          <w:highlight w:val="none"/>
        </w:rPr>
        <w:t>4.5隐患排查治理程序</w:t>
      </w:r>
      <w:bookmarkEnd w:id="45"/>
    </w:p>
    <w:p>
      <w:pPr>
        <w:widowControl w:val="0"/>
        <w:spacing w:beforeLines="50" w:afterLines="50" w:line="360" w:lineRule="auto"/>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4.5.1 排查治理流程</w:t>
      </w:r>
    </w:p>
    <w:p>
      <w:pPr>
        <w:widowControl w:val="0"/>
        <w:spacing w:after="0" w:line="360" w:lineRule="auto"/>
        <w:ind w:left="0" w:firstLine="482"/>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中电建冀交高投公司应制定隐患排查治理制度，明确</w:t>
      </w:r>
      <w:r>
        <w:rPr>
          <w:rFonts w:cs="宋体" w:asciiTheme="minorEastAsia" w:hAnsiTheme="minorEastAsia" w:eastAsiaTheme="minorEastAsia"/>
          <w:color w:val="auto"/>
          <w:szCs w:val="24"/>
          <w:highlight w:val="none"/>
        </w:rPr>
        <w:t>隐患排查治理程序</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应包含隐患排查项目清单、隐患排查方法、隐患排查实施、下发隐患整改通知单、编制重大隐患治理方案、隐患整改效果验证、隐患整改治理档案等方面。</w:t>
      </w:r>
    </w:p>
    <w:p>
      <w:pPr>
        <w:widowControl w:val="0"/>
        <w:spacing w:after="0" w:line="360" w:lineRule="auto"/>
        <w:ind w:left="0" w:firstLine="0"/>
        <w:rPr>
          <w:rFonts w:cs="Times New Roman" w:asciiTheme="minorEastAsia" w:hAnsiTheme="minorEastAsia" w:eastAsiaTheme="minorEastAsia"/>
          <w:color w:val="auto"/>
          <w:sz w:val="28"/>
          <w:szCs w:val="24"/>
          <w:highlight w:val="none"/>
        </w:rPr>
      </w:pPr>
      <w:r>
        <w:rPr>
          <w:color w:val="auto"/>
          <w:highlight w:val="none"/>
        </w:rPr>
        <w:object>
          <v:shape id="_x0000_i1025" o:spt="75" type="#_x0000_t75" style="height:219.45pt;width:414.85pt;" o:ole="t" filled="f" o:preferrelative="t" stroked="f" coordsize="21600,21600">
            <v:path/>
            <v:fill on="f" focussize="0,0"/>
            <v:stroke on="f" joinstyle="miter"/>
            <v:imagedata r:id="rId21" o:title=""/>
            <o:lock v:ext="edit" aspectratio="t"/>
            <w10:wrap type="none"/>
            <w10:anchorlock/>
          </v:shape>
          <o:OLEObject Type="Embed" ProgID="Visio.Drawing.15" ShapeID="_x0000_i1025" DrawAspect="Content" ObjectID="_1468075725" r:id="rId20">
            <o:LockedField>false</o:LockedField>
          </o:OLEObject>
        </w:object>
      </w:r>
    </w:p>
    <w:p>
      <w:pPr>
        <w:spacing w:after="0" w:line="240" w:lineRule="auto"/>
        <w:ind w:left="0" w:firstLine="0"/>
        <w:jc w:val="center"/>
        <w:rPr>
          <w:rFonts w:cs="Times New Roman" w:asciiTheme="minorEastAsia" w:hAnsiTheme="minorEastAsia" w:eastAsiaTheme="minorEastAsia"/>
          <w:b/>
          <w:bCs/>
          <w:color w:val="auto"/>
          <w:szCs w:val="30"/>
          <w:highlight w:val="none"/>
        </w:rPr>
      </w:pPr>
      <w:r>
        <w:rPr>
          <w:rFonts w:hint="eastAsia" w:cs="宋体" w:asciiTheme="minorEastAsia" w:hAnsiTheme="minorEastAsia" w:eastAsiaTheme="minorEastAsia"/>
          <w:b/>
          <w:color w:val="auto"/>
          <w:sz w:val="21"/>
          <w:szCs w:val="24"/>
          <w:highlight w:val="none"/>
        </w:rPr>
        <w:t>图4-</w:t>
      </w:r>
      <w:r>
        <w:rPr>
          <w:rFonts w:cs="宋体" w:asciiTheme="minorEastAsia" w:hAnsiTheme="minorEastAsia" w:eastAsiaTheme="minorEastAsia"/>
          <w:b/>
          <w:color w:val="auto"/>
          <w:sz w:val="21"/>
          <w:szCs w:val="24"/>
          <w:highlight w:val="none"/>
        </w:rPr>
        <w:t>1</w:t>
      </w:r>
      <w:r>
        <w:rPr>
          <w:rFonts w:hint="eastAsia" w:cs="宋体" w:asciiTheme="minorEastAsia" w:hAnsiTheme="minorEastAsia" w:eastAsiaTheme="minorEastAsia"/>
          <w:b/>
          <w:color w:val="auto"/>
          <w:sz w:val="21"/>
          <w:szCs w:val="24"/>
          <w:highlight w:val="none"/>
        </w:rPr>
        <w:t xml:space="preserve"> 隐患排查治理流程</w:t>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bookmarkStart w:id="46" w:name="_Toc19398735"/>
      <w:bookmarkStart w:id="47" w:name="_Toc480981630"/>
      <w:r>
        <w:rPr>
          <w:rFonts w:hint="eastAsia" w:cs="宋体" w:asciiTheme="minorEastAsia" w:hAnsiTheme="minorEastAsia" w:eastAsiaTheme="minorEastAsia"/>
          <w:b/>
          <w:color w:val="auto"/>
          <w:szCs w:val="24"/>
          <w:highlight w:val="none"/>
        </w:rPr>
        <w:t>4.5</w:t>
      </w:r>
      <w:r>
        <w:rPr>
          <w:rFonts w:cs="宋体" w:asciiTheme="minorEastAsia" w:hAnsiTheme="minorEastAsia" w:eastAsiaTheme="minorEastAsia"/>
          <w:b/>
          <w:color w:val="auto"/>
          <w:szCs w:val="24"/>
          <w:highlight w:val="none"/>
        </w:rPr>
        <w:t>.2隐患排查清单</w:t>
      </w:r>
      <w:bookmarkEnd w:id="46"/>
      <w:bookmarkEnd w:id="47"/>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隐患排查的范围应包括所有与生产经营相关的场所、环境、人员、设备设施和活动。隐患排查清单应</w:t>
      </w:r>
      <w:r>
        <w:rPr>
          <w:rFonts w:cs="宋体" w:asciiTheme="minorEastAsia" w:hAnsiTheme="minorEastAsia" w:eastAsiaTheme="minorEastAsia"/>
          <w:color w:val="auto"/>
          <w:szCs w:val="24"/>
          <w:highlight w:val="none"/>
        </w:rPr>
        <w:t>结合项目风险辨识</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评估及管控清单，按照岗位</w:t>
      </w:r>
      <w:r>
        <w:rPr>
          <w:rFonts w:hint="eastAsia" w:cs="宋体" w:asciiTheme="minorEastAsia" w:hAnsiTheme="minorEastAsia" w:eastAsiaTheme="minorEastAsia"/>
          <w:color w:val="auto"/>
          <w:szCs w:val="24"/>
          <w:highlight w:val="none"/>
        </w:rPr>
        <w:t>职责</w:t>
      </w:r>
      <w:r>
        <w:rPr>
          <w:rFonts w:cs="宋体" w:asciiTheme="minorEastAsia" w:hAnsiTheme="minorEastAsia" w:eastAsiaTheme="minorEastAsia"/>
          <w:color w:val="auto"/>
          <w:szCs w:val="24"/>
          <w:highlight w:val="none"/>
        </w:rPr>
        <w:t>要求制定</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隐患排查清单中应包括风险分级管控内容、排查内容与标准、排查频次、排责任部门和责任人等。隐患排查清单是隐患排查记录和排查工作开展的基础，可根据最新法律法规、标准规范、上级要求和实际情况，及时调整隐患排查清单。</w:t>
      </w:r>
    </w:p>
    <w:p>
      <w:pPr>
        <w:widowControl w:val="0"/>
        <w:spacing w:after="0" w:line="480" w:lineRule="exact"/>
        <w:ind w:left="0" w:firstLine="480"/>
        <w:jc w:val="center"/>
        <w:rPr>
          <w:rFonts w:cs="宋体" w:asciiTheme="minorEastAsia" w:hAnsiTheme="minorEastAsia" w:eastAsiaTheme="minorEastAsia"/>
          <w:b/>
          <w:color w:val="auto"/>
          <w:sz w:val="22"/>
          <w:szCs w:val="24"/>
          <w:highlight w:val="none"/>
        </w:rPr>
      </w:pPr>
      <w:r>
        <w:rPr>
          <w:rFonts w:hint="eastAsia" w:cs="宋体" w:asciiTheme="minorEastAsia" w:hAnsiTheme="minorEastAsia" w:eastAsiaTheme="minorEastAsia"/>
          <w:b/>
          <w:color w:val="auto"/>
          <w:sz w:val="22"/>
          <w:szCs w:val="24"/>
          <w:highlight w:val="none"/>
        </w:rPr>
        <w:t>表4-3隐患排查清单式样</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42"/>
        <w:gridCol w:w="839"/>
        <w:gridCol w:w="1421"/>
        <w:gridCol w:w="994"/>
        <w:gridCol w:w="1134"/>
        <w:gridCol w:w="566"/>
        <w:gridCol w:w="566"/>
        <w:gridCol w:w="566"/>
        <w:gridCol w:w="566"/>
        <w:gridCol w:w="937"/>
        <w:gridCol w:w="39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2226" w:type="pct"/>
            <w:gridSpan w:val="4"/>
            <w:tcBorders>
              <w:top w:val="single" w:color="auto" w:sz="4"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风险分级管控</w:t>
            </w:r>
          </w:p>
        </w:tc>
        <w:tc>
          <w:tcPr>
            <w:tcW w:w="2542" w:type="pct"/>
            <w:gridSpan w:val="6"/>
            <w:tcBorders>
              <w:top w:val="single" w:color="auto" w:sz="4"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隐患排查治理</w:t>
            </w:r>
          </w:p>
        </w:tc>
        <w:tc>
          <w:tcPr>
            <w:tcW w:w="232" w:type="pct"/>
            <w:vMerge w:val="restart"/>
            <w:tcBorders>
              <w:top w:val="single" w:color="auto" w:sz="4"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318" w:type="pct"/>
            <w:vMerge w:val="restar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风险点</w:t>
            </w:r>
          </w:p>
        </w:tc>
        <w:tc>
          <w:tcPr>
            <w:tcW w:w="492" w:type="pct"/>
            <w:vMerge w:val="restar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风险失控表现</w:t>
            </w:r>
          </w:p>
        </w:tc>
        <w:tc>
          <w:tcPr>
            <w:tcW w:w="833" w:type="pct"/>
            <w:vMerge w:val="restar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风险管控措施</w:t>
            </w:r>
          </w:p>
        </w:tc>
        <w:tc>
          <w:tcPr>
            <w:tcW w:w="582" w:type="pct"/>
            <w:vMerge w:val="restar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失职部门和人员</w:t>
            </w:r>
          </w:p>
        </w:tc>
        <w:tc>
          <w:tcPr>
            <w:tcW w:w="665" w:type="pct"/>
            <w:vMerge w:val="restar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隐患排查内容与标准</w:t>
            </w:r>
          </w:p>
        </w:tc>
        <w:tc>
          <w:tcPr>
            <w:tcW w:w="664" w:type="pct"/>
            <w:gridSpan w:val="2"/>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日常排查</w:t>
            </w:r>
          </w:p>
        </w:tc>
        <w:tc>
          <w:tcPr>
            <w:tcW w:w="332" w:type="pct"/>
            <w:vMerge w:val="restar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定期排查</w:t>
            </w:r>
          </w:p>
        </w:tc>
        <w:tc>
          <w:tcPr>
            <w:tcW w:w="332" w:type="pct"/>
            <w:vMerge w:val="restar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专项排查</w:t>
            </w:r>
          </w:p>
        </w:tc>
        <w:tc>
          <w:tcPr>
            <w:tcW w:w="549" w:type="pct"/>
            <w:vMerge w:val="restar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排查责任部门和责任人</w:t>
            </w:r>
          </w:p>
        </w:tc>
        <w:tc>
          <w:tcPr>
            <w:tcW w:w="232" w:type="pct"/>
            <w:vMerge w:val="continue"/>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318" w:type="pct"/>
            <w:vMerge w:val="continue"/>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492" w:type="pct"/>
            <w:vMerge w:val="continue"/>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833" w:type="pct"/>
            <w:vMerge w:val="continue"/>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582" w:type="pct"/>
            <w:vMerge w:val="continue"/>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665" w:type="pct"/>
            <w:vMerge w:val="continue"/>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33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日查</w:t>
            </w:r>
          </w:p>
        </w:tc>
        <w:tc>
          <w:tcPr>
            <w:tcW w:w="33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周查</w:t>
            </w:r>
          </w:p>
        </w:tc>
        <w:tc>
          <w:tcPr>
            <w:tcW w:w="332" w:type="pct"/>
            <w:vMerge w:val="continue"/>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332" w:type="pct"/>
            <w:vMerge w:val="continue"/>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549" w:type="pct"/>
            <w:vMerge w:val="continue"/>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232" w:type="pct"/>
            <w:vMerge w:val="continue"/>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318"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49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833" w:type="pct"/>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58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665" w:type="pct"/>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33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33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33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33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549"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232" w:type="pct"/>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318"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49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833" w:type="pct"/>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58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665" w:type="pct"/>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33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33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33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332"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549" w:type="pct"/>
            <w:tcBorders>
              <w:top w:val="single" w:color="auto" w:sz="6" w:space="0"/>
              <w:bottom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232" w:type="pct"/>
            <w:tcBorders>
              <w:top w:val="single" w:color="auto" w:sz="6" w:space="0"/>
              <w:bottom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318" w:type="pct"/>
            <w:tcBorders>
              <w:top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492" w:type="pct"/>
            <w:tcBorders>
              <w:top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833" w:type="pct"/>
            <w:tcBorders>
              <w:top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582" w:type="pct"/>
            <w:tcBorders>
              <w:top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665" w:type="pct"/>
            <w:tcBorders>
              <w:top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c>
          <w:tcPr>
            <w:tcW w:w="332" w:type="pct"/>
            <w:tcBorders>
              <w:top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332" w:type="pct"/>
            <w:tcBorders>
              <w:top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332" w:type="pct"/>
            <w:tcBorders>
              <w:top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332" w:type="pct"/>
            <w:tcBorders>
              <w:top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549" w:type="pct"/>
            <w:tcBorders>
              <w:top w:val="single" w:color="auto" w:sz="6" w:space="0"/>
            </w:tcBorders>
            <w:shd w:val="clear" w:color="auto" w:fill="auto"/>
            <w:vAlign w:val="center"/>
          </w:tcPr>
          <w:p>
            <w:pPr>
              <w:spacing w:after="0" w:line="280" w:lineRule="exact"/>
              <w:ind w:left="0" w:firstLine="0"/>
              <w:jc w:val="center"/>
              <w:rPr>
                <w:rFonts w:cs="宋体" w:asciiTheme="minorEastAsia" w:hAnsiTheme="minorEastAsia" w:eastAsiaTheme="minorEastAsia"/>
                <w:color w:val="auto"/>
                <w:kern w:val="0"/>
                <w:sz w:val="18"/>
                <w:szCs w:val="18"/>
                <w:highlight w:val="none"/>
              </w:rPr>
            </w:pPr>
          </w:p>
        </w:tc>
        <w:tc>
          <w:tcPr>
            <w:tcW w:w="232" w:type="pct"/>
            <w:tcBorders>
              <w:top w:val="single" w:color="auto" w:sz="6" w:space="0"/>
            </w:tcBorders>
            <w:shd w:val="clear" w:color="auto" w:fill="auto"/>
            <w:vAlign w:val="center"/>
          </w:tcPr>
          <w:p>
            <w:pPr>
              <w:spacing w:after="0" w:line="280" w:lineRule="exact"/>
              <w:ind w:left="0" w:firstLine="0"/>
              <w:rPr>
                <w:rFonts w:cs="宋体" w:asciiTheme="minorEastAsia" w:hAnsiTheme="minorEastAsia" w:eastAsiaTheme="minorEastAsia"/>
                <w:color w:val="auto"/>
                <w:kern w:val="0"/>
                <w:sz w:val="18"/>
                <w:szCs w:val="18"/>
                <w:highlight w:val="none"/>
              </w:rPr>
            </w:pPr>
          </w:p>
        </w:tc>
      </w:tr>
    </w:tbl>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4.5</w:t>
      </w:r>
      <w:r>
        <w:rPr>
          <w:rFonts w:cs="宋体" w:asciiTheme="minorEastAsia" w:hAnsiTheme="minorEastAsia" w:eastAsiaTheme="minorEastAsia"/>
          <w:b/>
          <w:color w:val="auto"/>
          <w:szCs w:val="24"/>
          <w:highlight w:val="none"/>
        </w:rPr>
        <w:t>.</w:t>
      </w:r>
      <w:r>
        <w:rPr>
          <w:rFonts w:hint="eastAsia" w:cs="宋体" w:asciiTheme="minorEastAsia" w:hAnsiTheme="minorEastAsia" w:eastAsiaTheme="minorEastAsia"/>
          <w:b/>
          <w:color w:val="auto"/>
          <w:szCs w:val="24"/>
          <w:highlight w:val="none"/>
        </w:rPr>
        <w:t>3</w:t>
      </w:r>
      <w:r>
        <w:rPr>
          <w:rFonts w:cs="宋体" w:asciiTheme="minorEastAsia" w:hAnsiTheme="minorEastAsia" w:eastAsiaTheme="minorEastAsia"/>
          <w:b/>
          <w:color w:val="auto"/>
          <w:szCs w:val="24"/>
          <w:highlight w:val="none"/>
        </w:rPr>
        <w:t>隐患排查</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隐患排查类型包括包括定期排查、专项排查。</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w:t>
      </w:r>
      <w:r>
        <w:rPr>
          <w:rFonts w:cs="宋体" w:asciiTheme="minorEastAsia" w:hAnsiTheme="minorEastAsia" w:eastAsiaTheme="minorEastAsia"/>
          <w:color w:val="auto"/>
          <w:szCs w:val="24"/>
          <w:highlight w:val="none"/>
        </w:rPr>
        <w:t>定期排查</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是指各</w:t>
      </w:r>
      <w:r>
        <w:rPr>
          <w:rFonts w:hint="eastAsia" w:cs="宋体" w:asciiTheme="minorEastAsia" w:hAnsiTheme="minorEastAsia" w:eastAsiaTheme="minorEastAsia"/>
          <w:color w:val="auto"/>
          <w:szCs w:val="24"/>
          <w:highlight w:val="none"/>
        </w:rPr>
        <w:t>站区</w:t>
      </w:r>
      <w:r>
        <w:rPr>
          <w:rFonts w:cs="宋体" w:asciiTheme="minorEastAsia" w:hAnsiTheme="minorEastAsia" w:eastAsiaTheme="minorEastAsia"/>
          <w:color w:val="auto"/>
          <w:szCs w:val="24"/>
          <w:highlight w:val="none"/>
        </w:rPr>
        <w:t>结合日常工作组织开展的覆盖日常生产作业环节的经常性隐患排查活动。各</w:t>
      </w:r>
      <w:r>
        <w:rPr>
          <w:rFonts w:hint="eastAsia" w:cs="宋体" w:asciiTheme="minorEastAsia" w:hAnsiTheme="minorEastAsia" w:eastAsiaTheme="minorEastAsia"/>
          <w:color w:val="auto"/>
          <w:szCs w:val="24"/>
          <w:highlight w:val="none"/>
        </w:rPr>
        <w:t>站区</w:t>
      </w:r>
      <w:r>
        <w:rPr>
          <w:rFonts w:cs="宋体" w:asciiTheme="minorEastAsia" w:hAnsiTheme="minorEastAsia" w:eastAsiaTheme="minorEastAsia"/>
          <w:color w:val="auto"/>
          <w:szCs w:val="24"/>
          <w:highlight w:val="none"/>
        </w:rPr>
        <w:t>应按照职责范围建立本单位的隐患排查清单，对照隐患排查清单，开展本</w:t>
      </w:r>
      <w:r>
        <w:rPr>
          <w:rFonts w:hint="eastAsia" w:cs="宋体" w:asciiTheme="minorEastAsia" w:hAnsiTheme="minorEastAsia" w:eastAsiaTheme="minorEastAsia"/>
          <w:color w:val="auto"/>
          <w:szCs w:val="24"/>
          <w:highlight w:val="none"/>
        </w:rPr>
        <w:t>站区</w:t>
      </w:r>
      <w:r>
        <w:rPr>
          <w:rFonts w:cs="宋体" w:asciiTheme="minorEastAsia" w:hAnsiTheme="minorEastAsia" w:eastAsiaTheme="minorEastAsia"/>
          <w:color w:val="auto"/>
          <w:szCs w:val="24"/>
          <w:highlight w:val="none"/>
        </w:rPr>
        <w:t>的日常隐患排查活动。</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对重点部位应每日进行隐患排查，排查人员由相关部室、站区负责人根据人员分工自行安排。各站区主要负责人每周应组织专业技术人员、专兼职安全员及其他有关人员对本站区内所有区域场所、设备设施、作业环节进行全面的隐患排查工作。</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（2）专项排查</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是指由公司主要负责人</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分管负责人或部室</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站区负责人根据上级要求或季节性变化等</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开展针对性的隐患</w:t>
      </w:r>
      <w:r>
        <w:rPr>
          <w:rFonts w:hint="eastAsia" w:cs="宋体" w:asciiTheme="minorEastAsia" w:hAnsiTheme="minorEastAsia" w:eastAsiaTheme="minorEastAsia"/>
          <w:color w:val="auto"/>
          <w:szCs w:val="24"/>
          <w:highlight w:val="none"/>
        </w:rPr>
        <w:t>排查</w:t>
      </w:r>
      <w:r>
        <w:rPr>
          <w:rFonts w:cs="宋体" w:asciiTheme="minorEastAsia" w:hAnsiTheme="minorEastAsia" w:eastAsiaTheme="minorEastAsia"/>
          <w:color w:val="auto"/>
          <w:szCs w:val="24"/>
          <w:highlight w:val="none"/>
        </w:rPr>
        <w:t>活动</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包括</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——集团公司等上级有关单位安全工作专项部署的；</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——元旦、春节、五一、十一等重要节假日或“两会”、汛期等重要时段。</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——季节性、规律性安全生产条件变化的；</w:t>
      </w:r>
      <w:r>
        <w:rPr>
          <w:rFonts w:cs="宋体" w:asciiTheme="minorEastAsia" w:hAnsiTheme="minorEastAsia" w:eastAsiaTheme="minorEastAsia"/>
          <w:color w:val="auto"/>
          <w:szCs w:val="24"/>
          <w:highlight w:val="none"/>
        </w:rPr>
        <w:t xml:space="preserve"> </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——新工艺、新材料、新技术、新设备投入使用对安全生产条件发生变化的；</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——周边环境发生重大变化的；</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——发生安全生产事故或者险情情况的。</w:t>
      </w:r>
    </w:p>
    <w:p>
      <w:pPr>
        <w:widowControl w:val="0"/>
        <w:spacing w:after="0" w:line="480" w:lineRule="exact"/>
        <w:ind w:left="0" w:firstLine="480"/>
        <w:jc w:val="center"/>
        <w:rPr>
          <w:rFonts w:cs="宋体" w:asciiTheme="minorEastAsia" w:hAnsiTheme="minorEastAsia" w:eastAsiaTheme="minorEastAsia"/>
          <w:b/>
          <w:color w:val="auto"/>
          <w:sz w:val="22"/>
          <w:szCs w:val="24"/>
          <w:highlight w:val="none"/>
        </w:rPr>
      </w:pPr>
      <w:r>
        <w:rPr>
          <w:rFonts w:hint="eastAsia" w:cs="宋体" w:asciiTheme="minorEastAsia" w:hAnsiTheme="minorEastAsia" w:eastAsiaTheme="minorEastAsia"/>
          <w:b/>
          <w:color w:val="auto"/>
          <w:sz w:val="22"/>
          <w:szCs w:val="24"/>
          <w:highlight w:val="none"/>
        </w:rPr>
        <w:t>表4-4隐患排查记录式样</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3"/>
        <w:gridCol w:w="2843"/>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部位</w:t>
            </w:r>
          </w:p>
        </w:tc>
        <w:tc>
          <w:tcPr>
            <w:tcW w:w="1667" w:type="pct"/>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排查标准</w:t>
            </w:r>
          </w:p>
        </w:tc>
        <w:tc>
          <w:tcPr>
            <w:tcW w:w="1667" w:type="pct"/>
          </w:tcPr>
          <w:p>
            <w:pPr>
              <w:widowControl w:val="0"/>
              <w:spacing w:after="0" w:line="480" w:lineRule="exact"/>
              <w:ind w:left="0" w:firstLine="0"/>
              <w:jc w:val="center"/>
              <w:rPr>
                <w:rFonts w:cs="宋体" w:asciiTheme="minorEastAsia" w:hAnsiTheme="minorEastAsia" w:eastAsiaTheme="minorEastAsia"/>
                <w:color w:val="auto"/>
                <w:sz w:val="21"/>
                <w:szCs w:val="24"/>
                <w:highlight w:val="none"/>
              </w:rPr>
            </w:pPr>
            <w:r>
              <w:rPr>
                <w:rFonts w:hint="eastAsia" w:cs="宋体" w:asciiTheme="minorEastAsia" w:hAnsiTheme="minorEastAsia" w:eastAsiaTheme="minorEastAsia"/>
                <w:color w:val="auto"/>
                <w:sz w:val="21"/>
                <w:szCs w:val="24"/>
                <w:highlight w:val="none"/>
              </w:rPr>
              <w:t>排查结果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c>
          <w:tcPr>
            <w:tcW w:w="1667" w:type="pct"/>
          </w:tcPr>
          <w:p>
            <w:pPr>
              <w:widowControl w:val="0"/>
              <w:spacing w:after="0" w:line="480" w:lineRule="exact"/>
              <w:ind w:left="0" w:firstLine="0"/>
              <w:jc w:val="both"/>
              <w:rPr>
                <w:rFonts w:cs="宋体" w:asciiTheme="minorEastAsia" w:hAnsiTheme="minorEastAsia" w:eastAsiaTheme="minorEastAsia"/>
                <w:color w:val="auto"/>
                <w:sz w:val="21"/>
                <w:szCs w:val="24"/>
                <w:highlight w:val="none"/>
              </w:rPr>
            </w:pPr>
          </w:p>
        </w:tc>
      </w:tr>
    </w:tbl>
    <w:p>
      <w:pPr>
        <w:widowControl w:val="0"/>
        <w:spacing w:after="0" w:line="480" w:lineRule="exact"/>
        <w:ind w:left="0" w:firstLine="480"/>
        <w:jc w:val="both"/>
        <w:rPr>
          <w:rFonts w:cs="宋体" w:asciiTheme="minorEastAsia" w:hAnsiTheme="minorEastAsia" w:eastAsiaTheme="minorEastAsia"/>
          <w:color w:val="auto"/>
          <w:szCs w:val="24"/>
          <w:highlight w:val="none"/>
        </w:rPr>
      </w:pPr>
    </w:p>
    <w:p>
      <w:pPr>
        <w:widowControl w:val="0"/>
        <w:spacing w:after="0" w:line="480" w:lineRule="exact"/>
        <w:ind w:left="0" w:firstLine="480"/>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4.5.4</w:t>
      </w:r>
      <w:r>
        <w:rPr>
          <w:rFonts w:cs="宋体" w:asciiTheme="minorEastAsia" w:hAnsiTheme="minorEastAsia" w:eastAsiaTheme="minorEastAsia"/>
          <w:b/>
          <w:color w:val="auto"/>
          <w:szCs w:val="24"/>
          <w:highlight w:val="none"/>
        </w:rPr>
        <w:t>隐患排查</w:t>
      </w:r>
      <w:r>
        <w:rPr>
          <w:rFonts w:hint="eastAsia" w:cs="宋体" w:asciiTheme="minorEastAsia" w:hAnsiTheme="minorEastAsia" w:eastAsiaTheme="minorEastAsia"/>
          <w:b/>
          <w:color w:val="auto"/>
          <w:szCs w:val="24"/>
          <w:highlight w:val="none"/>
        </w:rPr>
        <w:t>实施</w:t>
      </w:r>
      <w:r>
        <w:rPr>
          <w:rFonts w:cs="宋体" w:asciiTheme="minorEastAsia" w:hAnsiTheme="minorEastAsia" w:eastAsiaTheme="minorEastAsia"/>
          <w:b/>
          <w:color w:val="auto"/>
          <w:szCs w:val="24"/>
          <w:highlight w:val="none"/>
        </w:rPr>
        <w:t>要求</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隐患排查要做到定期排查和日常管理相结合，专项排查与综合排查相结合，一般排查与重点排查相结合。做到层级分明、内容有别、实施有序的要求，及时收集、查找并上报发现的隐患，积极采取措施对隐患进行整改。</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在各类安全检查或隐患排查中查出的隐患，</w:t>
      </w:r>
      <w:r>
        <w:rPr>
          <w:rFonts w:hint="eastAsia" w:cs="宋体" w:asciiTheme="minorEastAsia" w:hAnsiTheme="minorEastAsia" w:eastAsiaTheme="minorEastAsia"/>
          <w:color w:val="auto"/>
          <w:szCs w:val="24"/>
          <w:highlight w:val="none"/>
        </w:rPr>
        <w:t>按照整改通知→隐患整改→整改回复→整改确认的流程进行治理。对</w:t>
      </w:r>
      <w:r>
        <w:rPr>
          <w:rFonts w:cs="宋体" w:asciiTheme="minorEastAsia" w:hAnsiTheme="minorEastAsia" w:eastAsiaTheme="minorEastAsia"/>
          <w:color w:val="auto"/>
          <w:szCs w:val="24"/>
          <w:highlight w:val="none"/>
        </w:rPr>
        <w:t>能够整改的应要求立即整改，无法立即完成整改的：</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（1）公司组织的或对相关方查出的隐患，应及时下发《安全生产事故隐患通知书》；</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（2）各单位自主排查出的隐患，应报本单位负责人，并如实记录至《安全生产事故隐患排查治理台账》。</w:t>
      </w:r>
    </w:p>
    <w:p>
      <w:pPr>
        <w:spacing w:after="0" w:line="240" w:lineRule="auto"/>
        <w:ind w:left="0" w:firstLine="0"/>
        <w:rPr>
          <w:rFonts w:cs="Times New Roman" w:asciiTheme="minorEastAsia" w:hAnsiTheme="minorEastAsia" w:eastAsiaTheme="minorEastAsia"/>
          <w:b/>
          <w:bCs/>
          <w:color w:val="auto"/>
          <w:sz w:val="21"/>
          <w:szCs w:val="30"/>
          <w:highlight w:val="none"/>
        </w:rPr>
      </w:pPr>
      <w:bookmarkStart w:id="48" w:name="_Toc11251634"/>
      <w:r>
        <w:rPr>
          <w:rFonts w:cs="Times New Roman" w:asciiTheme="minorEastAsia" w:hAnsiTheme="minorEastAsia" w:eastAsiaTheme="minorEastAsia"/>
          <w:b/>
          <w:bCs/>
          <w:color w:val="auto"/>
          <w:sz w:val="21"/>
          <w:szCs w:val="30"/>
          <w:highlight w:val="none"/>
        </w:rPr>
        <w:br w:type="page"/>
      </w:r>
    </w:p>
    <w:p>
      <w:pPr>
        <w:spacing w:after="0" w:line="240" w:lineRule="auto"/>
        <w:ind w:left="0" w:firstLine="0"/>
        <w:jc w:val="center"/>
        <w:rPr>
          <w:rFonts w:cs="Times New Roman" w:asciiTheme="minorEastAsia" w:hAnsiTheme="minorEastAsia" w:eastAsiaTheme="minorEastAsia"/>
          <w:b/>
          <w:bCs/>
          <w:color w:val="auto"/>
          <w:sz w:val="21"/>
          <w:szCs w:val="30"/>
          <w:highlight w:val="none"/>
        </w:rPr>
      </w:pPr>
      <w:r>
        <w:rPr>
          <w:rFonts w:hint="eastAsia" w:cs="Times New Roman" w:asciiTheme="minorEastAsia" w:hAnsiTheme="minorEastAsia" w:eastAsiaTheme="minorEastAsia"/>
          <w:b/>
          <w:bCs/>
          <w:color w:val="auto"/>
          <w:sz w:val="21"/>
          <w:szCs w:val="30"/>
          <w:highlight w:val="none"/>
        </w:rPr>
        <w:t>表4-5 安全生产事故隐患整改通知书</w:t>
      </w:r>
      <w:bookmarkEnd w:id="48"/>
      <w:r>
        <w:rPr>
          <w:color w:val="auto"/>
          <w:highlight w:val="none"/>
        </w:rPr>
        <w:drawing>
          <wp:inline distT="0" distB="0" distL="0" distR="0">
            <wp:extent cx="5278120" cy="77120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cstate="print"/>
                    <a:stretch>
                      <a:fillRect/>
                    </a:stretch>
                  </pic:blipFill>
                  <pic:spPr>
                    <a:xfrm>
                      <a:off x="0" y="0"/>
                      <a:ext cx="5278120" cy="7712075"/>
                    </a:xfrm>
                    <a:prstGeom prst="rect">
                      <a:avLst/>
                    </a:prstGeom>
                  </pic:spPr>
                </pic:pic>
              </a:graphicData>
            </a:graphic>
          </wp:inline>
        </w:drawing>
      </w:r>
    </w:p>
    <w:p>
      <w:pPr>
        <w:spacing w:after="0" w:line="240" w:lineRule="auto"/>
        <w:ind w:left="0" w:firstLine="0"/>
        <w:rPr>
          <w:rFonts w:cs="Times New Roman" w:asciiTheme="minorEastAsia" w:hAnsiTheme="minorEastAsia" w:eastAsiaTheme="minorEastAsia"/>
          <w:b/>
          <w:bCs/>
          <w:color w:val="auto"/>
          <w:sz w:val="21"/>
          <w:szCs w:val="30"/>
          <w:highlight w:val="none"/>
        </w:rPr>
      </w:pPr>
      <w:r>
        <w:rPr>
          <w:rFonts w:cs="Times New Roman" w:asciiTheme="minorEastAsia" w:hAnsiTheme="minorEastAsia" w:eastAsiaTheme="minorEastAsia"/>
          <w:b/>
          <w:bCs/>
          <w:color w:val="auto"/>
          <w:sz w:val="21"/>
          <w:szCs w:val="30"/>
          <w:highlight w:val="none"/>
        </w:rPr>
        <w:br w:type="page"/>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4.5.5 隐患治理</w:t>
      </w:r>
    </w:p>
    <w:p>
      <w:pPr>
        <w:widowControl w:val="0"/>
        <w:spacing w:beforeLines="50" w:afterLines="50" w:line="480" w:lineRule="exact"/>
        <w:ind w:left="0" w:firstLine="482"/>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（1）一般隐患治理及验收</w:t>
      </w:r>
    </w:p>
    <w:p>
      <w:pPr>
        <w:widowControl w:val="0"/>
        <w:spacing w:after="0" w:line="480" w:lineRule="exact"/>
        <w:ind w:left="0" w:firstLine="480"/>
        <w:jc w:val="both"/>
        <w:rPr>
          <w:rFonts w:asciiTheme="minorEastAsia" w:hAnsiTheme="minorEastAsia" w:eastAsiaTheme="minorEastAsia"/>
          <w:color w:val="auto"/>
          <w:highlight w:val="none"/>
        </w:rPr>
      </w:pPr>
      <w:r>
        <w:rPr>
          <w:rFonts w:hint="eastAsia" w:cs="宋体" w:asciiTheme="minorEastAsia" w:hAnsiTheme="minorEastAsia" w:eastAsiaTheme="minorEastAsia"/>
          <w:color w:val="auto"/>
          <w:szCs w:val="24"/>
          <w:highlight w:val="none"/>
        </w:rPr>
        <w:t>隐患治理及验收按照整改通知→隐患整改→整改回复→复查验证的环节实行闭环管理。</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color w:val="auto"/>
          <w:szCs w:val="24"/>
          <w:highlight w:val="none"/>
        </w:rPr>
        <w:t>①</w:t>
      </w:r>
      <w:r>
        <w:rPr>
          <w:rFonts w:hint="eastAsia" w:cs="宋体" w:asciiTheme="minorEastAsia" w:hAnsiTheme="minorEastAsia" w:eastAsiaTheme="minorEastAsia"/>
          <w:color w:val="auto"/>
          <w:szCs w:val="24"/>
          <w:highlight w:val="none"/>
        </w:rPr>
        <w:t>隐患通知</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在各类安全检查或隐患排查中查出的隐患，能够整改的应要求立即整改。无法立即完成整改的，应限期整改（公司级排查、对相关方的检查还应下发隐患整改通知书）。</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color w:val="auto"/>
          <w:szCs w:val="24"/>
          <w:highlight w:val="none"/>
        </w:rPr>
        <w:t>②</w:t>
      </w:r>
      <w:r>
        <w:rPr>
          <w:rFonts w:cs="宋体" w:asciiTheme="minorEastAsia" w:hAnsiTheme="minorEastAsia" w:eastAsiaTheme="minorEastAsia"/>
          <w:color w:val="auto"/>
          <w:szCs w:val="24"/>
          <w:highlight w:val="none"/>
        </w:rPr>
        <w:t>隐患整改</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隐患</w:t>
      </w:r>
      <w:r>
        <w:rPr>
          <w:rFonts w:cs="宋体" w:asciiTheme="minorEastAsia" w:hAnsiTheme="minorEastAsia" w:eastAsiaTheme="minorEastAsia"/>
          <w:color w:val="auto"/>
          <w:szCs w:val="24"/>
          <w:highlight w:val="none"/>
        </w:rPr>
        <w:t>整改责任单位应按照隐患整改要求</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按规定时限和要求组织隐患整改</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各部室、站区对排查出的一般隐患，应首先对隐患情况进行分析确认，一般</w:t>
      </w:r>
      <w:r>
        <w:rPr>
          <w:rFonts w:cs="宋体" w:asciiTheme="minorEastAsia" w:hAnsiTheme="minorEastAsia" w:eastAsiaTheme="minorEastAsia"/>
          <w:color w:val="auto"/>
          <w:szCs w:val="24"/>
          <w:highlight w:val="none"/>
        </w:rPr>
        <w:t>C级隐患应由责任部室、</w:t>
      </w:r>
      <w:r>
        <w:rPr>
          <w:rFonts w:hint="eastAsia" w:cs="宋体" w:asciiTheme="minorEastAsia" w:hAnsiTheme="minorEastAsia" w:eastAsiaTheme="minorEastAsia"/>
          <w:color w:val="auto"/>
          <w:szCs w:val="24"/>
          <w:highlight w:val="none"/>
        </w:rPr>
        <w:t>站区</w:t>
      </w:r>
      <w:r>
        <w:rPr>
          <w:rFonts w:cs="宋体" w:asciiTheme="minorEastAsia" w:hAnsiTheme="minorEastAsia" w:eastAsiaTheme="minorEastAsia"/>
          <w:color w:val="auto"/>
          <w:szCs w:val="24"/>
          <w:highlight w:val="none"/>
        </w:rPr>
        <w:t>按规定期限和要求自主完成整改。</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各部室、站区无法独立完成整改的，应填写《安全生产事故隐患报告单》，报请相关业务部室和公司分管业务负责人，分管业务负责人组织相关业务部室、单位对隐患情况进行分析确认。</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对确认为一般C级隐患的，应责令责任部室、</w:t>
      </w:r>
      <w:r>
        <w:rPr>
          <w:rFonts w:hint="eastAsia" w:cs="宋体" w:asciiTheme="minorEastAsia" w:hAnsiTheme="minorEastAsia" w:eastAsiaTheme="minorEastAsia"/>
          <w:color w:val="auto"/>
          <w:szCs w:val="24"/>
          <w:highlight w:val="none"/>
        </w:rPr>
        <w:t>站区</w:t>
      </w:r>
      <w:r>
        <w:rPr>
          <w:rFonts w:cs="宋体" w:asciiTheme="minorEastAsia" w:hAnsiTheme="minorEastAsia" w:eastAsiaTheme="minorEastAsia"/>
          <w:color w:val="auto"/>
          <w:szCs w:val="24"/>
          <w:highlight w:val="none"/>
        </w:rPr>
        <w:t>按规定整改；</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对确认为一般B级隐患的，由分管业务负责人组织相关业务部室、</w:t>
      </w:r>
      <w:r>
        <w:rPr>
          <w:rFonts w:hint="eastAsia" w:cs="宋体" w:asciiTheme="minorEastAsia" w:hAnsiTheme="minorEastAsia" w:eastAsiaTheme="minorEastAsia"/>
          <w:color w:val="auto"/>
          <w:szCs w:val="24"/>
          <w:highlight w:val="none"/>
        </w:rPr>
        <w:t>站区</w:t>
      </w:r>
      <w:r>
        <w:rPr>
          <w:rFonts w:cs="宋体" w:asciiTheme="minorEastAsia" w:hAnsiTheme="minorEastAsia" w:eastAsiaTheme="minorEastAsia"/>
          <w:color w:val="auto"/>
          <w:szCs w:val="24"/>
          <w:highlight w:val="none"/>
        </w:rPr>
        <w:t>制定隐患治理方案，报请主要负责人审批后，按照隐患治理方案实施整改；</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对确认为一般A级隐患的，应及时</w:t>
      </w:r>
      <w:r>
        <w:rPr>
          <w:rFonts w:hint="eastAsia" w:cs="宋体" w:asciiTheme="minorEastAsia" w:hAnsiTheme="minorEastAsia" w:eastAsiaTheme="minorEastAsia"/>
          <w:color w:val="auto"/>
          <w:szCs w:val="24"/>
          <w:highlight w:val="none"/>
        </w:rPr>
        <w:t>上报</w:t>
      </w:r>
      <w:r>
        <w:rPr>
          <w:rFonts w:cs="宋体" w:asciiTheme="minorEastAsia" w:hAnsiTheme="minorEastAsia" w:eastAsiaTheme="minorEastAsia"/>
          <w:color w:val="auto"/>
          <w:szCs w:val="24"/>
          <w:highlight w:val="none"/>
        </w:rPr>
        <w:t>公司主要负责人。由公司主要负责人或分管负责人组织制定隐患治理方案，按照隐患治理方案实施整改。</w:t>
      </w:r>
    </w:p>
    <w:p>
      <w:pPr>
        <w:spacing w:after="0" w:line="240" w:lineRule="auto"/>
        <w:ind w:left="0" w:firstLine="0"/>
        <w:rPr>
          <w:rFonts w:asciiTheme="minorEastAsia" w:hAnsiTheme="minorEastAsia" w:eastAsiaTheme="minorEastAsia"/>
          <w:b/>
          <w:color w:val="auto"/>
          <w:sz w:val="21"/>
          <w:highlight w:val="none"/>
        </w:rPr>
      </w:pPr>
      <w:bookmarkStart w:id="49" w:name="_Toc11251635"/>
      <w:r>
        <w:rPr>
          <w:rFonts w:asciiTheme="minorEastAsia" w:hAnsiTheme="minorEastAsia" w:eastAsiaTheme="minorEastAsia"/>
          <w:b/>
          <w:color w:val="auto"/>
          <w:sz w:val="21"/>
          <w:highlight w:val="none"/>
        </w:rPr>
        <w:br w:type="page"/>
      </w:r>
    </w:p>
    <w:p>
      <w:pPr>
        <w:widowControl w:val="0"/>
        <w:spacing w:before="26" w:after="0" w:line="360" w:lineRule="auto"/>
        <w:ind w:left="138" w:right="156" w:firstLine="480"/>
        <w:jc w:val="center"/>
        <w:rPr>
          <w:rFonts w:asciiTheme="minorEastAsia" w:hAnsiTheme="minorEastAsia" w:eastAsiaTheme="minorEastAsia"/>
          <w:b/>
          <w:color w:val="auto"/>
          <w:sz w:val="21"/>
          <w:highlight w:val="none"/>
        </w:rPr>
      </w:pPr>
      <w:r>
        <w:rPr>
          <w:rFonts w:hint="eastAsia" w:asciiTheme="minorEastAsia" w:hAnsiTheme="minorEastAsia" w:eastAsiaTheme="minorEastAsia"/>
          <w:b/>
          <w:color w:val="auto"/>
          <w:sz w:val="21"/>
          <w:highlight w:val="none"/>
        </w:rPr>
        <w:t>表4-6安全生产事故隐患报告单</w:t>
      </w:r>
      <w:bookmarkEnd w:id="49"/>
    </w:p>
    <w:p>
      <w:pPr>
        <w:widowControl w:val="0"/>
        <w:spacing w:after="0" w:line="360" w:lineRule="auto"/>
        <w:ind w:left="0" w:firstLine="482"/>
        <w:jc w:val="both"/>
        <w:rPr>
          <w:rFonts w:cs="宋体"/>
          <w:color w:val="auto"/>
          <w:szCs w:val="24"/>
          <w:highlight w:val="none"/>
        </w:rPr>
      </w:pPr>
      <w:r>
        <w:rPr>
          <w:color w:val="auto"/>
          <w:highlight w:val="none"/>
        </w:rPr>
        <w:drawing>
          <wp:inline distT="0" distB="0" distL="0" distR="0">
            <wp:extent cx="5104130" cy="7426325"/>
            <wp:effectExtent l="0" t="0" r="127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stretch>
                      <a:fillRect/>
                    </a:stretch>
                  </pic:blipFill>
                  <pic:spPr>
                    <a:xfrm>
                      <a:off x="0" y="0"/>
                      <a:ext cx="5107482" cy="7430797"/>
                    </a:xfrm>
                    <a:prstGeom prst="rect">
                      <a:avLst/>
                    </a:prstGeom>
                  </pic:spPr>
                </pic:pic>
              </a:graphicData>
            </a:graphic>
          </wp:inline>
        </w:drawing>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color w:val="auto"/>
          <w:szCs w:val="24"/>
          <w:highlight w:val="none"/>
        </w:rPr>
        <w:t>③</w:t>
      </w:r>
      <w:r>
        <w:rPr>
          <w:rFonts w:hint="eastAsia" w:cs="宋体" w:asciiTheme="minorEastAsia" w:hAnsiTheme="minorEastAsia" w:eastAsiaTheme="minorEastAsia"/>
          <w:color w:val="auto"/>
          <w:szCs w:val="24"/>
          <w:highlight w:val="none"/>
        </w:rPr>
        <w:t>整改回复</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隐患整改完成后，对于下达书面隐患整改通知的、一般B级及以上隐患或上级单位明确要求进行书面回复的，责任单位应填写《隐患整改回复单》，报送检查单位。</w:t>
      </w:r>
    </w:p>
    <w:p>
      <w:pPr>
        <w:widowControl w:val="0"/>
        <w:spacing w:after="0" w:line="480" w:lineRule="exact"/>
        <w:ind w:left="0" w:firstLine="480"/>
        <w:jc w:val="center"/>
        <w:rPr>
          <w:rFonts w:asciiTheme="minorEastAsia" w:hAnsiTheme="minorEastAsia" w:eastAsiaTheme="minorEastAsia"/>
          <w:b/>
          <w:color w:val="auto"/>
          <w:sz w:val="21"/>
          <w:highlight w:val="none"/>
        </w:rPr>
      </w:pPr>
      <w:r>
        <w:rPr>
          <w:rFonts w:hint="eastAsia" w:asciiTheme="minorEastAsia" w:hAnsiTheme="minorEastAsia" w:eastAsiaTheme="minorEastAsia"/>
          <w:b/>
          <w:color w:val="auto"/>
          <w:sz w:val="21"/>
          <w:highlight w:val="none"/>
        </w:rPr>
        <w:t>表4-7 隐患整改回复单</w:t>
      </w:r>
    </w:p>
    <w:p>
      <w:pPr>
        <w:widowControl w:val="0"/>
        <w:spacing w:before="26" w:after="0" w:line="360" w:lineRule="auto"/>
        <w:ind w:right="156"/>
        <w:rPr>
          <w:rFonts w:asciiTheme="minorEastAsia" w:hAnsiTheme="minorEastAsia" w:eastAsiaTheme="minorEastAsia"/>
          <w:b/>
          <w:color w:val="auto"/>
          <w:sz w:val="21"/>
          <w:highlight w:val="none"/>
        </w:rPr>
      </w:pPr>
      <w:r>
        <w:rPr>
          <w:color w:val="auto"/>
          <w:highlight w:val="none"/>
        </w:rPr>
        <w:drawing>
          <wp:inline distT="0" distB="0" distL="0" distR="0">
            <wp:extent cx="4992370" cy="72910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stretch>
                      <a:fillRect/>
                    </a:stretch>
                  </pic:blipFill>
                  <pic:spPr>
                    <a:xfrm>
                      <a:off x="0" y="0"/>
                      <a:ext cx="4996637" cy="7297182"/>
                    </a:xfrm>
                    <a:prstGeom prst="rect">
                      <a:avLst/>
                    </a:prstGeom>
                  </pic:spPr>
                </pic:pic>
              </a:graphicData>
            </a:graphic>
          </wp:inline>
        </w:drawing>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（4）复查</w:t>
      </w:r>
      <w:r>
        <w:rPr>
          <w:rFonts w:cs="宋体" w:asciiTheme="minorEastAsia" w:hAnsiTheme="minorEastAsia" w:eastAsiaTheme="minorEastAsia"/>
          <w:color w:val="auto"/>
          <w:szCs w:val="24"/>
          <w:highlight w:val="none"/>
        </w:rPr>
        <w:t>验证</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检查单位或人员收到隐患整改回复后，应根据隐患等级指定人员进行确认，确保隐患闭合。</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（1）一般</w:t>
      </w:r>
      <w:r>
        <w:rPr>
          <w:rFonts w:cs="宋体" w:asciiTheme="minorEastAsia" w:hAnsiTheme="minorEastAsia" w:eastAsiaTheme="minorEastAsia"/>
          <w:color w:val="auto"/>
          <w:szCs w:val="24"/>
          <w:highlight w:val="none"/>
        </w:rPr>
        <w:t>C级隐患由</w:t>
      </w:r>
      <w:r>
        <w:rPr>
          <w:rFonts w:hint="eastAsia" w:cs="宋体" w:asciiTheme="minorEastAsia" w:hAnsiTheme="minorEastAsia" w:eastAsiaTheme="minorEastAsia"/>
          <w:color w:val="auto"/>
          <w:szCs w:val="24"/>
          <w:highlight w:val="none"/>
        </w:rPr>
        <w:t>各单位自行验收</w:t>
      </w:r>
      <w:r>
        <w:rPr>
          <w:rFonts w:cs="宋体" w:asciiTheme="minorEastAsia" w:hAnsiTheme="minorEastAsia" w:eastAsiaTheme="minorEastAsia"/>
          <w:color w:val="auto"/>
          <w:szCs w:val="24"/>
          <w:highlight w:val="none"/>
        </w:rPr>
        <w:t>确认；</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（2）一般</w:t>
      </w:r>
      <w:r>
        <w:rPr>
          <w:rFonts w:cs="宋体" w:asciiTheme="minorEastAsia" w:hAnsiTheme="minorEastAsia" w:eastAsiaTheme="minorEastAsia"/>
          <w:color w:val="auto"/>
          <w:szCs w:val="24"/>
          <w:highlight w:val="none"/>
        </w:rPr>
        <w:t>B级隐患由分管业务负责人指定专人进行</w:t>
      </w:r>
      <w:r>
        <w:rPr>
          <w:rFonts w:hint="eastAsia" w:cs="宋体" w:asciiTheme="minorEastAsia" w:hAnsiTheme="minorEastAsia" w:eastAsiaTheme="minorEastAsia"/>
          <w:color w:val="auto"/>
          <w:szCs w:val="24"/>
          <w:highlight w:val="none"/>
        </w:rPr>
        <w:t>验收</w:t>
      </w:r>
      <w:r>
        <w:rPr>
          <w:rFonts w:cs="宋体" w:asciiTheme="minorEastAsia" w:hAnsiTheme="minorEastAsia" w:eastAsiaTheme="minorEastAsia"/>
          <w:color w:val="auto"/>
          <w:szCs w:val="24"/>
          <w:highlight w:val="none"/>
        </w:rPr>
        <w:t>确认；</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（3）一般</w:t>
      </w:r>
      <w:r>
        <w:rPr>
          <w:rFonts w:cs="宋体" w:asciiTheme="minorEastAsia" w:hAnsiTheme="minorEastAsia" w:eastAsiaTheme="minorEastAsia"/>
          <w:color w:val="auto"/>
          <w:szCs w:val="24"/>
          <w:highlight w:val="none"/>
        </w:rPr>
        <w:t>A级隐患由公司主要负责人或分管负责人指定专人对隐患治理情况进行</w:t>
      </w:r>
      <w:r>
        <w:rPr>
          <w:rFonts w:hint="eastAsia" w:cs="宋体" w:asciiTheme="minorEastAsia" w:hAnsiTheme="minorEastAsia" w:eastAsiaTheme="minorEastAsia"/>
          <w:color w:val="auto"/>
          <w:szCs w:val="24"/>
          <w:highlight w:val="none"/>
        </w:rPr>
        <w:t>验收</w:t>
      </w:r>
      <w:r>
        <w:rPr>
          <w:rFonts w:cs="宋体" w:asciiTheme="minorEastAsia" w:hAnsiTheme="minorEastAsia" w:eastAsiaTheme="minorEastAsia"/>
          <w:color w:val="auto"/>
          <w:szCs w:val="24"/>
          <w:highlight w:val="none"/>
        </w:rPr>
        <w:t>确认。</w:t>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4.5.6</w:t>
      </w:r>
      <w:r>
        <w:rPr>
          <w:rFonts w:cs="宋体" w:asciiTheme="minorEastAsia" w:hAnsiTheme="minorEastAsia" w:eastAsiaTheme="minorEastAsia"/>
          <w:b/>
          <w:color w:val="auto"/>
          <w:szCs w:val="24"/>
          <w:highlight w:val="none"/>
        </w:rPr>
        <w:t>重大隐患治理和验收</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（1）在各类安全生产检查和隐患排查中查出的重大隐患，应立即报告公司安监办，由安监办组织相关部室、单位对隐患进行核实，确认无误后向集团公司报备。</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（2）重大隐患应由公司主要负责人牵头，组织相关部室、单位制定重大隐患治理方案，落实隐患整改的措施、资金、期限、责任和整改方案，并报公司安委会。重大隐患治理方案应当包括以下内容：</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整改任务；</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整改技术方案和整改期间的安全保障措施；</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经费和物资保障措施；</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整改责任部门和责任人；</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整改时限及节点要求；</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应急处置措施；</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跟踪督办及验收部门和人员。</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w:t>
      </w:r>
      <w:r>
        <w:rPr>
          <w:rFonts w:cs="宋体" w:asciiTheme="minorEastAsia" w:hAnsiTheme="minorEastAsia" w:eastAsiaTheme="minorEastAsia"/>
          <w:color w:val="auto"/>
          <w:szCs w:val="24"/>
          <w:highlight w:val="none"/>
        </w:rPr>
        <w:t>对短期内难以解决或技术、经费上有困难的重大隐患问题，可制定专项计划或列入技改计划，由相关部室</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单位报上级批准。</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（4）</w:t>
      </w:r>
      <w:r>
        <w:rPr>
          <w:rFonts w:cs="宋体" w:asciiTheme="minorEastAsia" w:hAnsiTheme="minorEastAsia" w:eastAsiaTheme="minorEastAsia"/>
          <w:color w:val="auto"/>
          <w:szCs w:val="24"/>
          <w:highlight w:val="none"/>
        </w:rPr>
        <w:t>重大隐患整改完成后，可委托第三方</w:t>
      </w:r>
      <w:r>
        <w:rPr>
          <w:rFonts w:hint="eastAsia" w:cs="宋体" w:asciiTheme="minorEastAsia" w:hAnsiTheme="minorEastAsia" w:eastAsiaTheme="minorEastAsia"/>
          <w:color w:val="auto"/>
          <w:szCs w:val="24"/>
          <w:highlight w:val="none"/>
        </w:rPr>
        <w:t>专业</w:t>
      </w:r>
      <w:r>
        <w:rPr>
          <w:rFonts w:cs="宋体" w:asciiTheme="minorEastAsia" w:hAnsiTheme="minorEastAsia" w:eastAsiaTheme="minorEastAsia"/>
          <w:color w:val="auto"/>
          <w:szCs w:val="24"/>
          <w:highlight w:val="none"/>
        </w:rPr>
        <w:t>咨询机构或成立公司隐患整改验收组进行专项验收。公司成立的隐患整改验收组成员应包括党政主要负责人、安全总监、相关业务部室负责人、安全管理部门负责人和2名以上相关专业领域的专业技术人员。整改验收应根据隐患暴露出的问题进行全面评估，出具整改验收结论，并由验收组负责人签字确认。</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（5）</w:t>
      </w:r>
      <w:r>
        <w:rPr>
          <w:rFonts w:cs="宋体" w:asciiTheme="minorEastAsia" w:hAnsiTheme="minorEastAsia" w:eastAsiaTheme="minorEastAsia"/>
          <w:color w:val="auto"/>
          <w:szCs w:val="24"/>
          <w:highlight w:val="none"/>
        </w:rPr>
        <w:t>重大隐患整改验收通过的，由公司</w:t>
      </w:r>
      <w:r>
        <w:rPr>
          <w:rFonts w:hint="eastAsia" w:cs="宋体" w:asciiTheme="minorEastAsia" w:hAnsiTheme="minorEastAsia" w:eastAsiaTheme="minorEastAsia"/>
          <w:color w:val="auto"/>
          <w:szCs w:val="24"/>
          <w:highlight w:val="none"/>
        </w:rPr>
        <w:t>安委办</w:t>
      </w:r>
      <w:r>
        <w:rPr>
          <w:rFonts w:cs="宋体" w:asciiTheme="minorEastAsia" w:hAnsiTheme="minorEastAsia" w:eastAsiaTheme="minorEastAsia"/>
          <w:color w:val="auto"/>
          <w:szCs w:val="24"/>
          <w:highlight w:val="none"/>
        </w:rPr>
        <w:t>将验收结论向集团公司报备，并申请销号。报备申请材料包括：</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——重大隐患基本情况及整改方案；</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——重大隐患整改过程；</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——验收机构或验收组基本情况；</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——验收报告及结论；</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——下一步技术、管理改进措施。</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（6）</w:t>
      </w:r>
      <w:r>
        <w:rPr>
          <w:rFonts w:cs="宋体" w:asciiTheme="minorEastAsia" w:hAnsiTheme="minorEastAsia" w:eastAsiaTheme="minorEastAsia"/>
          <w:color w:val="auto"/>
          <w:szCs w:val="24"/>
          <w:highlight w:val="none"/>
        </w:rPr>
        <w:t>重大隐患报备包括首次报备、定期报备和不定期报备三种方式。</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——首次报备：应在重大隐患确定后</w:t>
      </w:r>
      <w:r>
        <w:rPr>
          <w:rFonts w:cs="宋体" w:asciiTheme="minorEastAsia" w:hAnsiTheme="minorEastAsia" w:eastAsiaTheme="minorEastAsia"/>
          <w:color w:val="auto"/>
          <w:szCs w:val="24"/>
          <w:highlight w:val="none"/>
        </w:rPr>
        <w:t>3个工作日内进行报备；</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——定期报备：报送重大隐患整改的进展情况，应在每季度结束后次月前</w:t>
      </w:r>
      <w:r>
        <w:rPr>
          <w:rFonts w:cs="宋体" w:asciiTheme="minorEastAsia" w:hAnsiTheme="minorEastAsia" w:eastAsiaTheme="minorEastAsia"/>
          <w:color w:val="auto"/>
          <w:szCs w:val="24"/>
          <w:highlight w:val="none"/>
        </w:rPr>
        <w:t>7个工作日内进行报备；</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——不定期报备：当重大隐患状态发生新的重大变化后</w:t>
      </w:r>
      <w:r>
        <w:rPr>
          <w:rFonts w:cs="宋体" w:asciiTheme="minorEastAsia" w:hAnsiTheme="minorEastAsia" w:eastAsiaTheme="minorEastAsia"/>
          <w:color w:val="auto"/>
          <w:szCs w:val="24"/>
          <w:highlight w:val="none"/>
        </w:rPr>
        <w:t>3个工作日内进行报备。</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（7）重大隐患整改验收完成后，责任部室或站区应对隐患形成原因及整改工作进行分析评估，及时完善相关制度和措施，依据有关规定和制度对相关责任人进行处理，并开展有针对性的培训教育。</w:t>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4.5.7挂牌</w:t>
      </w:r>
      <w:r>
        <w:rPr>
          <w:rFonts w:cs="宋体" w:asciiTheme="minorEastAsia" w:hAnsiTheme="minorEastAsia" w:eastAsiaTheme="minorEastAsia"/>
          <w:b/>
          <w:color w:val="auto"/>
          <w:szCs w:val="24"/>
          <w:highlight w:val="none"/>
        </w:rPr>
        <w:t>督办</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被上级部门挂牌督办的重大隐患，应落实以下规定</w:t>
      </w:r>
      <w:r>
        <w:rPr>
          <w:rFonts w:hint="eastAsia"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w:t>
      </w:r>
      <w:r>
        <w:rPr>
          <w:rFonts w:cs="宋体" w:asciiTheme="minorEastAsia" w:hAnsiTheme="minorEastAsia" w:eastAsiaTheme="minorEastAsia"/>
          <w:color w:val="auto"/>
          <w:szCs w:val="24"/>
          <w:highlight w:val="none"/>
        </w:rPr>
        <w:t>按挂牌督办通知书规定进行整改</w:t>
      </w:r>
      <w:r>
        <w:rPr>
          <w:rFonts w:hint="eastAsia" w:cs="宋体" w:asciiTheme="minorEastAsia" w:hAnsiTheme="minorEastAsia" w:eastAsiaTheme="minorEastAsia"/>
          <w:color w:val="auto"/>
          <w:szCs w:val="24"/>
          <w:highlight w:val="none"/>
        </w:rPr>
        <w:t>，无法在规定期限内完成整改的，治理责任单位应当填写《交通运输重大生产安全事故隐患整改治理延期申请表》，于限期整改时限届满前10个工作日内向督办单位提出延期申请。</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w:t>
      </w:r>
      <w:r>
        <w:rPr>
          <w:rFonts w:cs="宋体" w:asciiTheme="minorEastAsia" w:hAnsiTheme="minorEastAsia" w:eastAsiaTheme="minorEastAsia"/>
          <w:color w:val="auto"/>
          <w:szCs w:val="24"/>
          <w:highlight w:val="none"/>
        </w:rPr>
        <w:t>整改验收通过后</w:t>
      </w: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治理责任单位应填写</w:t>
      </w:r>
      <w:r>
        <w:rPr>
          <w:rFonts w:hint="eastAsia" w:cs="宋体" w:asciiTheme="minorEastAsia" w:hAnsiTheme="minorEastAsia" w:eastAsiaTheme="minorEastAsia"/>
          <w:color w:val="auto"/>
          <w:szCs w:val="24"/>
          <w:highlight w:val="none"/>
        </w:rPr>
        <w:t>《交通运输重大生产安全事故隐患治理核销申请表》，向督办单位提出核销申请。</w:t>
      </w:r>
    </w:p>
    <w:p>
      <w:pPr>
        <w:spacing w:after="0" w:line="240" w:lineRule="auto"/>
        <w:ind w:left="0" w:firstLine="0"/>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br w:type="page"/>
      </w:r>
    </w:p>
    <w:p>
      <w:pPr>
        <w:spacing w:after="0" w:line="240" w:lineRule="auto"/>
        <w:ind w:left="0"/>
        <w:jc w:val="center"/>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表4-8 交通运输重大生产安全事故隐患治理延期申请表</w:t>
      </w:r>
    </w:p>
    <w:p>
      <w:pPr>
        <w:spacing w:after="0" w:line="240" w:lineRule="auto"/>
        <w:ind w:left="0"/>
        <w:rPr>
          <w:rFonts w:asciiTheme="minorEastAsia" w:hAnsiTheme="minorEastAsia" w:eastAsiaTheme="minorEastAsia"/>
          <w:color w:val="auto"/>
          <w:sz w:val="21"/>
          <w:szCs w:val="21"/>
          <w:highlight w:val="none"/>
        </w:rPr>
      </w:pPr>
    </w:p>
    <w:p>
      <w:pPr>
        <w:spacing w:after="0" w:line="240" w:lineRule="auto"/>
        <w:ind w:left="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填表时间：    年      月       日</w:t>
      </w:r>
    </w:p>
    <w:tbl>
      <w:tblPr>
        <w:tblStyle w:val="2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autofit"/>
        <w:tblCellMar>
          <w:top w:w="0" w:type="dxa"/>
          <w:left w:w="10" w:type="dxa"/>
          <w:bottom w:w="0" w:type="dxa"/>
          <w:right w:w="10" w:type="dxa"/>
        </w:tblCellMar>
      </w:tblPr>
      <w:tblGrid>
        <w:gridCol w:w="1611"/>
        <w:gridCol w:w="2516"/>
        <w:gridCol w:w="1027"/>
        <w:gridCol w:w="1513"/>
        <w:gridCol w:w="759"/>
        <w:gridCol w:w="110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420"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隐患治理</w:t>
            </w:r>
          </w:p>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责任单位</w:t>
            </w:r>
          </w:p>
        </w:tc>
        <w:tc>
          <w:tcPr>
            <w:tcW w:w="4055" w:type="pct"/>
            <w:gridSpan w:val="5"/>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647"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隐患名称</w:t>
            </w:r>
          </w:p>
        </w:tc>
        <w:tc>
          <w:tcPr>
            <w:tcW w:w="4055" w:type="pct"/>
            <w:gridSpan w:val="5"/>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420"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隐患治理责任 </w:t>
            </w:r>
          </w:p>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单位联系部门</w:t>
            </w:r>
          </w:p>
        </w:tc>
        <w:tc>
          <w:tcPr>
            <w:tcW w:w="1475" w:type="pct"/>
            <w:tcBorders>
              <w:right w:val="single" w:color="auto" w:sz="2" w:space="0"/>
            </w:tcBorders>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c>
          <w:tcPr>
            <w:tcW w:w="602" w:type="pct"/>
            <w:tcBorders>
              <w:left w:val="single" w:color="auto" w:sz="2" w:space="0"/>
              <w:righ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联系电话</w:t>
            </w:r>
          </w:p>
        </w:tc>
        <w:tc>
          <w:tcPr>
            <w:tcW w:w="887" w:type="pct"/>
            <w:tcBorders>
              <w:lef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highlight w:val="none"/>
              </w:rPr>
            </w:pPr>
          </w:p>
        </w:tc>
        <w:tc>
          <w:tcPr>
            <w:tcW w:w="4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联系人</w:t>
            </w:r>
          </w:p>
        </w:tc>
        <w:tc>
          <w:tcPr>
            <w:tcW w:w="64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PrEx>
        <w:trPr>
          <w:trHeight w:val="705"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挂牌文号</w:t>
            </w:r>
          </w:p>
        </w:tc>
        <w:tc>
          <w:tcPr>
            <w:tcW w:w="1475" w:type="pct"/>
            <w:tcBorders>
              <w:right w:val="single" w:color="auto" w:sz="2" w:space="0"/>
            </w:tcBorders>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c>
          <w:tcPr>
            <w:tcW w:w="602" w:type="pct"/>
            <w:tcBorders>
              <w:left w:val="single" w:color="auto" w:sz="2" w:space="0"/>
              <w:righ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完成时限</w:t>
            </w:r>
          </w:p>
        </w:tc>
        <w:tc>
          <w:tcPr>
            <w:tcW w:w="1978" w:type="pct"/>
            <w:gridSpan w:val="3"/>
            <w:tcBorders>
              <w:lef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PrEx>
        <w:trPr>
          <w:trHeight w:val="1037"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治理</w:t>
            </w:r>
            <w:r>
              <w:rPr>
                <w:rFonts w:asciiTheme="minorEastAsia" w:hAnsiTheme="minorEastAsia" w:eastAsiaTheme="minorEastAsia"/>
                <w:color w:val="auto"/>
                <w:sz w:val="21"/>
                <w:szCs w:val="21"/>
                <w:highlight w:val="none"/>
              </w:rPr>
              <w:t>情况</w:t>
            </w:r>
          </w:p>
        </w:tc>
        <w:tc>
          <w:tcPr>
            <w:tcW w:w="4055" w:type="pct"/>
            <w:gridSpan w:val="5"/>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1825"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申请延期理由及防控措施</w:t>
            </w:r>
          </w:p>
        </w:tc>
        <w:tc>
          <w:tcPr>
            <w:tcW w:w="4055" w:type="pct"/>
            <w:gridSpan w:val="5"/>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849"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申请延期期限</w:t>
            </w:r>
          </w:p>
        </w:tc>
        <w:tc>
          <w:tcPr>
            <w:tcW w:w="4055" w:type="pct"/>
            <w:gridSpan w:val="5"/>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1871"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治理</w:t>
            </w:r>
            <w:r>
              <w:rPr>
                <w:rFonts w:asciiTheme="minorEastAsia" w:hAnsiTheme="minorEastAsia" w:eastAsiaTheme="minorEastAsia"/>
                <w:color w:val="auto"/>
                <w:sz w:val="21"/>
                <w:szCs w:val="21"/>
                <w:highlight w:val="none"/>
              </w:rPr>
              <w:t>责任单位</w:t>
            </w:r>
          </w:p>
          <w:p>
            <w:pPr>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意见</w:t>
            </w:r>
          </w:p>
        </w:tc>
        <w:tc>
          <w:tcPr>
            <w:tcW w:w="4055" w:type="pct"/>
            <w:gridSpan w:val="5"/>
            <w:shd w:val="clear" w:color="auto" w:fill="FFFFFF" w:themeFill="background1"/>
            <w:tcMar>
              <w:left w:w="108" w:type="dxa"/>
              <w:right w:w="108" w:type="dxa"/>
            </w:tcMar>
            <w:vAlign w:val="center"/>
          </w:tcPr>
          <w:p>
            <w:pPr>
              <w:spacing w:after="0" w:line="240" w:lineRule="auto"/>
              <w:ind w:left="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主要负责人（签字）： </w:t>
            </w: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                        （盖章）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420"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督办单位意见</w:t>
            </w:r>
          </w:p>
        </w:tc>
        <w:tc>
          <w:tcPr>
            <w:tcW w:w="4055" w:type="pct"/>
            <w:gridSpan w:val="5"/>
            <w:shd w:val="clear" w:color="auto" w:fill="FFFFFF" w:themeFill="background1"/>
            <w:tcMar>
              <w:left w:w="108" w:type="dxa"/>
              <w:right w:w="108" w:type="dxa"/>
            </w:tcMar>
            <w:vAlign w:val="center"/>
          </w:tcPr>
          <w:p>
            <w:pPr>
              <w:spacing w:after="0" w:line="240" w:lineRule="auto"/>
              <w:ind w:left="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主管负责人（签字）： </w:t>
            </w: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                        （盖章）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476"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挂牌</w:t>
            </w:r>
            <w:r>
              <w:rPr>
                <w:rFonts w:asciiTheme="minorEastAsia" w:hAnsiTheme="minorEastAsia" w:eastAsiaTheme="minorEastAsia"/>
                <w:color w:val="auto"/>
                <w:sz w:val="21"/>
                <w:szCs w:val="21"/>
                <w:highlight w:val="none"/>
              </w:rPr>
              <w:t>单位意见</w:t>
            </w:r>
          </w:p>
        </w:tc>
        <w:tc>
          <w:tcPr>
            <w:tcW w:w="4055" w:type="pct"/>
            <w:gridSpan w:val="5"/>
            <w:shd w:val="clear" w:color="auto" w:fill="FFFFFF" w:themeFill="background1"/>
            <w:tcMar>
              <w:left w:w="108" w:type="dxa"/>
              <w:right w:w="108" w:type="dxa"/>
            </w:tcMar>
            <w:vAlign w:val="center"/>
          </w:tcPr>
          <w:p>
            <w:pPr>
              <w:spacing w:after="0" w:line="240" w:lineRule="auto"/>
              <w:ind w:left="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主管负责人（签字）： </w:t>
            </w: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                        （盖章）       年     月    日</w:t>
            </w:r>
          </w:p>
        </w:tc>
      </w:tr>
    </w:tbl>
    <w:p>
      <w:pPr>
        <w:spacing w:after="0" w:line="240" w:lineRule="auto"/>
        <w:ind w:left="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注：此表如不够填写，可另附页。</w:t>
      </w:r>
      <w:r>
        <w:rPr>
          <w:rFonts w:asciiTheme="minorEastAsia" w:hAnsiTheme="minorEastAsia" w:eastAsiaTheme="minorEastAsia"/>
          <w:color w:val="auto"/>
          <w:sz w:val="21"/>
          <w:szCs w:val="21"/>
          <w:highlight w:val="none"/>
        </w:rPr>
        <w:br w:type="page"/>
      </w:r>
    </w:p>
    <w:p>
      <w:pPr>
        <w:spacing w:after="0" w:line="240" w:lineRule="auto"/>
        <w:ind w:left="0"/>
        <w:jc w:val="center"/>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表4-9 交通运输重大生产安全事故隐患治理核销申请表</w:t>
      </w: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填表时间：    年      月       日</w:t>
      </w:r>
    </w:p>
    <w:tbl>
      <w:tblPr>
        <w:tblStyle w:val="2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autofit"/>
        <w:tblCellMar>
          <w:top w:w="0" w:type="dxa"/>
          <w:left w:w="10" w:type="dxa"/>
          <w:bottom w:w="0" w:type="dxa"/>
          <w:right w:w="10" w:type="dxa"/>
        </w:tblCellMar>
      </w:tblPr>
      <w:tblGrid>
        <w:gridCol w:w="1868"/>
        <w:gridCol w:w="2256"/>
        <w:gridCol w:w="1027"/>
        <w:gridCol w:w="1104"/>
        <w:gridCol w:w="87"/>
        <w:gridCol w:w="703"/>
        <w:gridCol w:w="379"/>
        <w:gridCol w:w="11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420"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隐患治理</w:t>
            </w:r>
          </w:p>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责任单位</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647"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隐患名称</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420"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隐患治理责任 </w:t>
            </w:r>
          </w:p>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单位联系部门</w:t>
            </w:r>
          </w:p>
        </w:tc>
        <w:tc>
          <w:tcPr>
            <w:tcW w:w="1323" w:type="pct"/>
            <w:tcBorders>
              <w:right w:val="single" w:color="auto" w:sz="2" w:space="0"/>
            </w:tcBorders>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c>
          <w:tcPr>
            <w:tcW w:w="602" w:type="pct"/>
            <w:tcBorders>
              <w:left w:val="single" w:color="auto" w:sz="2" w:space="0"/>
              <w:righ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联系电话</w:t>
            </w:r>
          </w:p>
        </w:tc>
        <w:tc>
          <w:tcPr>
            <w:tcW w:w="698" w:type="pct"/>
            <w:gridSpan w:val="2"/>
            <w:tcBorders>
              <w:lef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highlight w:val="none"/>
              </w:rPr>
            </w:pPr>
          </w:p>
        </w:tc>
        <w:tc>
          <w:tcPr>
            <w:tcW w:w="634" w:type="pct"/>
            <w:gridSpan w:val="2"/>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联系人</w:t>
            </w:r>
          </w:p>
        </w:tc>
        <w:tc>
          <w:tcPr>
            <w:tcW w:w="64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23"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挂牌文号</w:t>
            </w:r>
          </w:p>
        </w:tc>
        <w:tc>
          <w:tcPr>
            <w:tcW w:w="1323" w:type="pct"/>
            <w:tcBorders>
              <w:right w:val="single" w:color="auto" w:sz="2" w:space="0"/>
            </w:tcBorders>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c>
          <w:tcPr>
            <w:tcW w:w="602" w:type="pct"/>
            <w:tcBorders>
              <w:left w:val="single" w:color="auto" w:sz="2" w:space="0"/>
              <w:righ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完成时限</w:t>
            </w:r>
          </w:p>
        </w:tc>
        <w:tc>
          <w:tcPr>
            <w:tcW w:w="1978" w:type="pct"/>
            <w:gridSpan w:val="5"/>
            <w:tcBorders>
              <w:lef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040"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隐患</w:t>
            </w:r>
            <w:r>
              <w:rPr>
                <w:rFonts w:asciiTheme="minorEastAsia" w:hAnsiTheme="minorEastAsia" w:eastAsiaTheme="minorEastAsia"/>
                <w:color w:val="auto"/>
                <w:sz w:val="21"/>
                <w:szCs w:val="21"/>
                <w:highlight w:val="none"/>
              </w:rPr>
              <w:t>概况</w:t>
            </w:r>
          </w:p>
        </w:tc>
        <w:tc>
          <w:tcPr>
            <w:tcW w:w="1323" w:type="pct"/>
            <w:tcBorders>
              <w:right w:val="single" w:color="auto" w:sz="2" w:space="0"/>
            </w:tcBorders>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c>
          <w:tcPr>
            <w:tcW w:w="602" w:type="pct"/>
            <w:tcBorders>
              <w:left w:val="single" w:color="auto" w:sz="2" w:space="0"/>
              <w:righ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highlight w:val="none"/>
              </w:rPr>
            </w:pPr>
          </w:p>
        </w:tc>
        <w:tc>
          <w:tcPr>
            <w:tcW w:w="647" w:type="pct"/>
            <w:tcBorders>
              <w:lef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highlight w:val="none"/>
              </w:rPr>
            </w:pPr>
          </w:p>
        </w:tc>
        <w:tc>
          <w:tcPr>
            <w:tcW w:w="463" w:type="pct"/>
            <w:gridSpan w:val="2"/>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电话</w:t>
            </w:r>
          </w:p>
        </w:tc>
        <w:tc>
          <w:tcPr>
            <w:tcW w:w="868" w:type="pct"/>
            <w:gridSpan w:val="2"/>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484"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治理</w:t>
            </w:r>
            <w:r>
              <w:rPr>
                <w:rFonts w:asciiTheme="minorEastAsia" w:hAnsiTheme="minorEastAsia" w:eastAsiaTheme="minorEastAsia"/>
                <w:color w:val="auto"/>
                <w:sz w:val="21"/>
                <w:szCs w:val="21"/>
                <w:highlight w:val="none"/>
              </w:rPr>
              <w:t>情况</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791"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治理</w:t>
            </w:r>
            <w:r>
              <w:rPr>
                <w:rFonts w:asciiTheme="minorEastAsia" w:hAnsiTheme="minorEastAsia" w:eastAsiaTheme="minorEastAsia"/>
                <w:color w:val="auto"/>
                <w:sz w:val="21"/>
                <w:szCs w:val="21"/>
                <w:highlight w:val="none"/>
              </w:rPr>
              <w:t>完成时间</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20"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隐患治理</w:t>
            </w:r>
          </w:p>
          <w:p>
            <w:pPr>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责任单位意见</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主要负责人（签字）： </w:t>
            </w: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                        （盖章）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20"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督办单位意见</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主管负责人（签字）： </w:t>
            </w: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                        （盖章）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476"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挂牌</w:t>
            </w:r>
            <w:r>
              <w:rPr>
                <w:rFonts w:asciiTheme="minorEastAsia" w:hAnsiTheme="minorEastAsia" w:eastAsiaTheme="minorEastAsia"/>
                <w:color w:val="auto"/>
                <w:sz w:val="21"/>
                <w:szCs w:val="21"/>
                <w:highlight w:val="none"/>
              </w:rPr>
              <w:t>单位意见</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主管负责人（签字）： </w:t>
            </w: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p>
          <w:p>
            <w:pPr>
              <w:spacing w:after="0" w:line="240" w:lineRule="auto"/>
              <w:ind w:left="0"/>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                        （盖章）       年     月    日</w:t>
            </w:r>
          </w:p>
        </w:tc>
      </w:tr>
    </w:tbl>
    <w:p>
      <w:pPr>
        <w:spacing w:after="0" w:line="240" w:lineRule="auto"/>
        <w:ind w:left="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注：1．本表需填写一式 3 份，治理责任单位、督办单位、挂牌单位各存 1 份； 2．报送本表时，同时附上重大事故隐患整改情况评估报告</w:t>
      </w:r>
    </w:p>
    <w:p>
      <w:pPr>
        <w:widowControl w:val="0"/>
        <w:spacing w:after="0" w:line="480" w:lineRule="exact"/>
        <w:ind w:left="0" w:firstLine="480"/>
        <w:jc w:val="both"/>
        <w:rPr>
          <w:rFonts w:cs="宋体" w:asciiTheme="minorEastAsia" w:hAnsiTheme="minorEastAsia" w:eastAsiaTheme="minorEastAsia"/>
          <w:color w:val="auto"/>
          <w:szCs w:val="24"/>
          <w:highlight w:val="none"/>
        </w:rPr>
      </w:pPr>
    </w:p>
    <w:p>
      <w:pPr>
        <w:widowControl w:val="0"/>
        <w:spacing w:after="0" w:line="480" w:lineRule="exact"/>
        <w:ind w:left="0" w:firstLine="480"/>
        <w:jc w:val="both"/>
        <w:rPr>
          <w:rFonts w:cs="宋体" w:asciiTheme="minorEastAsia" w:hAnsiTheme="minorEastAsia" w:eastAsiaTheme="minorEastAsia"/>
          <w:color w:val="auto"/>
          <w:szCs w:val="24"/>
          <w:highlight w:val="none"/>
        </w:rPr>
      </w:pP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4.5.8过程</w:t>
      </w:r>
      <w:r>
        <w:rPr>
          <w:rFonts w:cs="宋体" w:asciiTheme="minorEastAsia" w:hAnsiTheme="minorEastAsia" w:eastAsiaTheme="minorEastAsia"/>
          <w:b/>
          <w:color w:val="auto"/>
          <w:szCs w:val="24"/>
          <w:highlight w:val="none"/>
        </w:rPr>
        <w:t>防护</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隐患排除前无法保证生产安全的，要从危险区域撤出作业人员，并疏散可能危及的其他相关人员。暂时停产或停止使用的相关设施设备，要设置警示标志，加强现场监控，必要时安排专人值守；对暂时难以停产停业或停止使用的相关设施设备，要加强维护、保养和监测，制定应急预案，防止发生安全生产事故.</w:t>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4.5.9 相关方</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（1）有项目发包的，要对承包单位的安全生产条件或相应资质进行审查，并签订专门的安全生产管理协议，或者在承包合同中约定有关安全生产管理事项，明确双方隐患排查和治理责任。</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（2）有对外承包事项的单位，要负责对承包单位安全生产工作进行统一协调和管理，定期进行安全生产检查，发现隐患的及时督促整改。</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50" w:name="_Toc104735780"/>
      <w:r>
        <w:rPr>
          <w:rFonts w:hint="eastAsia" w:cs="Calibri" w:asciiTheme="minorEastAsia" w:hAnsiTheme="minorEastAsia" w:eastAsiaTheme="minorEastAsia"/>
          <w:b/>
          <w:color w:val="auto"/>
          <w:sz w:val="28"/>
          <w:szCs w:val="24"/>
          <w:highlight w:val="none"/>
        </w:rPr>
        <w:t>4.6隐患统计、分析与公示</w:t>
      </w:r>
      <w:bookmarkEnd w:id="50"/>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4.6.1</w:t>
      </w:r>
      <w:bookmarkStart w:id="51" w:name="_Toc19398738"/>
      <w:r>
        <w:rPr>
          <w:rFonts w:hint="eastAsia" w:cs="宋体" w:asciiTheme="minorEastAsia" w:hAnsiTheme="minorEastAsia" w:eastAsiaTheme="minorEastAsia"/>
          <w:b/>
          <w:color w:val="auto"/>
          <w:szCs w:val="24"/>
          <w:highlight w:val="none"/>
        </w:rPr>
        <w:t>隐患档案</w:t>
      </w:r>
      <w:bookmarkEnd w:id="51"/>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（1）公司及各单位</w:t>
      </w:r>
      <w:r>
        <w:rPr>
          <w:rFonts w:cs="宋体" w:asciiTheme="minorEastAsia" w:hAnsiTheme="minorEastAsia" w:eastAsiaTheme="minorEastAsia"/>
          <w:color w:val="auto"/>
          <w:szCs w:val="24"/>
          <w:highlight w:val="none"/>
        </w:rPr>
        <w:t>应建立隐患排查治理档案</w:t>
      </w:r>
      <w:r>
        <w:rPr>
          <w:rFonts w:hint="eastAsia" w:cs="宋体" w:asciiTheme="minorEastAsia" w:hAnsiTheme="minorEastAsia" w:eastAsiaTheme="minorEastAsia"/>
          <w:color w:val="auto"/>
          <w:szCs w:val="24"/>
          <w:highlight w:val="none"/>
        </w:rPr>
        <w:t>，档案中应包括：</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隐患排查清单</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隐患排查治理</w:t>
      </w:r>
      <w:r>
        <w:rPr>
          <w:rFonts w:hint="eastAsia" w:cs="宋体" w:asciiTheme="minorEastAsia" w:hAnsiTheme="minorEastAsia" w:eastAsiaTheme="minorEastAsia"/>
          <w:color w:val="auto"/>
          <w:szCs w:val="24"/>
          <w:highlight w:val="none"/>
        </w:rPr>
        <w:t>记录</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隐患整改通知单</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隐患整改报告及回复</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重大事故隐患治理方案</w:t>
      </w:r>
      <w:r>
        <w:rPr>
          <w:rFonts w:hint="eastAsia" w:cs="宋体" w:asciiTheme="minorEastAsia" w:hAnsiTheme="minorEastAsia" w:eastAsiaTheme="minorEastAsia"/>
          <w:color w:val="auto"/>
          <w:szCs w:val="24"/>
          <w:highlight w:val="none"/>
        </w:rPr>
        <w:t>（若有）</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重大隐患挂牌督办通知书</w:t>
      </w:r>
      <w:r>
        <w:rPr>
          <w:rFonts w:hint="eastAsia" w:cs="宋体" w:asciiTheme="minorEastAsia" w:hAnsiTheme="minorEastAsia" w:eastAsiaTheme="minorEastAsia"/>
          <w:color w:val="auto"/>
          <w:szCs w:val="24"/>
          <w:highlight w:val="none"/>
        </w:rPr>
        <w:t>（若有）</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事故隐患排查治理台账</w:t>
      </w:r>
      <w:r>
        <w:rPr>
          <w:rFonts w:hint="eastAsia" w:cs="宋体" w:asciiTheme="minorEastAsia" w:hAnsiTheme="minorEastAsia" w:eastAsiaTheme="minorEastAsia"/>
          <w:color w:val="auto"/>
          <w:szCs w:val="24"/>
          <w:highlight w:val="none"/>
        </w:rPr>
        <w:t>（若有）</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重大隐患登记及整改销号审批表</w:t>
      </w:r>
      <w:r>
        <w:rPr>
          <w:rFonts w:hint="eastAsia" w:cs="宋体" w:asciiTheme="minorEastAsia" w:hAnsiTheme="minorEastAsia" w:eastAsiaTheme="minorEastAsia"/>
          <w:color w:val="auto"/>
          <w:szCs w:val="24"/>
          <w:highlight w:val="none"/>
        </w:rPr>
        <w:t>（若有）</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w:t>
      </w:r>
      <w:r>
        <w:rPr>
          <w:rFonts w:cs="宋体" w:asciiTheme="minorEastAsia" w:hAnsiTheme="minorEastAsia" w:eastAsiaTheme="minorEastAsia"/>
          <w:color w:val="auto"/>
          <w:szCs w:val="24"/>
          <w:highlight w:val="none"/>
        </w:rPr>
        <w:t>重大事故隐患挂牌督办治理方案</w:t>
      </w:r>
      <w:r>
        <w:rPr>
          <w:rFonts w:hint="eastAsia" w:cs="宋体" w:asciiTheme="minorEastAsia" w:hAnsiTheme="minorEastAsia" w:eastAsiaTheme="minorEastAsia"/>
          <w:color w:val="auto"/>
          <w:szCs w:val="24"/>
          <w:highlight w:val="none"/>
        </w:rPr>
        <w:t>（若有）</w:t>
      </w:r>
      <w:r>
        <w:rPr>
          <w:rFonts w:cs="宋体" w:asciiTheme="minorEastAsia" w:hAnsiTheme="minorEastAsia" w:eastAsiaTheme="minorEastAsia"/>
          <w:color w:val="auto"/>
          <w:szCs w:val="24"/>
          <w:highlight w:val="none"/>
        </w:rPr>
        <w:t> </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w:t>
      </w:r>
      <w:r>
        <w:rPr>
          <w:rFonts w:cs="宋体" w:asciiTheme="minorEastAsia" w:hAnsiTheme="minorEastAsia" w:eastAsiaTheme="minorEastAsia"/>
          <w:color w:val="auto"/>
          <w:szCs w:val="24"/>
          <w:highlight w:val="none"/>
        </w:rPr>
        <w:t>隐患排查治理相关记录应字迹清楚，标识明确，具备可追溯性。 </w:t>
      </w:r>
    </w:p>
    <w:p>
      <w:pPr>
        <w:widowControl w:val="0"/>
        <w:spacing w:beforeLines="50" w:afterLines="50" w:line="480" w:lineRule="exact"/>
        <w:ind w:left="0" w:firstLine="482"/>
        <w:jc w:val="both"/>
        <w:rPr>
          <w:rFonts w:cs="宋体" w:asciiTheme="minorEastAsia" w:hAnsiTheme="minorEastAsia" w:eastAsiaTheme="minorEastAsia"/>
          <w:b/>
          <w:color w:val="auto"/>
          <w:szCs w:val="24"/>
          <w:highlight w:val="none"/>
        </w:rPr>
      </w:pPr>
      <w:bookmarkStart w:id="52" w:name="_Toc19398739"/>
      <w:r>
        <w:rPr>
          <w:rFonts w:hint="eastAsia" w:cs="宋体" w:asciiTheme="minorEastAsia" w:hAnsiTheme="minorEastAsia" w:eastAsiaTheme="minorEastAsia"/>
          <w:b/>
          <w:color w:val="auto"/>
          <w:szCs w:val="24"/>
          <w:highlight w:val="none"/>
        </w:rPr>
        <w:t>3.6.2统计分析</w:t>
      </w:r>
      <w:bookmarkEnd w:id="52"/>
      <w:r>
        <w:rPr>
          <w:rFonts w:hint="eastAsia" w:cs="宋体" w:asciiTheme="minorEastAsia" w:hAnsiTheme="minorEastAsia" w:eastAsiaTheme="minorEastAsia"/>
          <w:b/>
          <w:color w:val="auto"/>
          <w:szCs w:val="24"/>
          <w:highlight w:val="none"/>
        </w:rPr>
        <w:t>与公示</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各部室、站区对各自的隐患排查治理情况进行记录归档，建立并更新《安全生产事故隐患排查治理台账》，包括排查时间、隐患情况、隐患整改情况等内容。对上级单位检查出的隐患也应如实记录至档案中。</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（2）各部室、站区应每月对各自的隐患排查治理情况进行统计、分析，分析隐患产生的原因，查找安全生产管理体系中存在的缺陷，提出改进措施</w:t>
      </w:r>
      <w:r>
        <w:rPr>
          <w:rFonts w:cs="宋体" w:asciiTheme="minorEastAsia" w:hAnsiTheme="minorEastAsia" w:eastAsiaTheme="minorEastAsia"/>
          <w:color w:val="auto"/>
          <w:szCs w:val="24"/>
          <w:highlight w:val="none"/>
        </w:rPr>
        <w:t>。</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（3）公司安委办每季度对公司隐患排查治理情况进行统计分析，将隐患排查治理情况、典型隐患情况等在公司范围内进行公示或通报。</w:t>
      </w:r>
      <w:r>
        <w:rPr>
          <w:rFonts w:cs="宋体" w:asciiTheme="minorEastAsia" w:hAnsiTheme="minorEastAsia" w:eastAsiaTheme="minorEastAsia"/>
          <w:color w:val="auto"/>
          <w:szCs w:val="24"/>
          <w:highlight w:val="none"/>
        </w:rPr>
        <w:t>及时梳理、发现安全生产趋势性问题和规律，形成隐患排查治理统计分析报告，并连同台账一并上报至集团公司。</w:t>
      </w:r>
    </w:p>
    <w:p>
      <w:pPr>
        <w:widowControl w:val="0"/>
        <w:spacing w:after="0" w:line="480" w:lineRule="exact"/>
        <w:ind w:left="0" w:firstLine="480"/>
        <w:jc w:val="both"/>
        <w:rPr>
          <w:rFonts w:cs="宋体" w:asciiTheme="minorEastAsia" w:hAnsiTheme="minorEastAsia" w:eastAsiaTheme="minorEastAsia"/>
          <w:color w:val="auto"/>
          <w:szCs w:val="24"/>
          <w:highlight w:val="none"/>
        </w:rPr>
        <w:sectPr>
          <w:headerReference r:id="rId7" w:type="default"/>
          <w:pgSz w:w="11906" w:h="16838"/>
          <w:pgMar w:top="1440" w:right="1797" w:bottom="1440" w:left="1797" w:header="964" w:footer="907" w:gutter="0"/>
          <w:cols w:space="425" w:num="1"/>
          <w:docGrid w:type="lines" w:linePitch="326" w:charSpace="0"/>
        </w:sectPr>
      </w:pPr>
    </w:p>
    <w:p>
      <w:pPr>
        <w:spacing w:after="0" w:line="240" w:lineRule="auto"/>
        <w:ind w:left="0"/>
        <w:jc w:val="center"/>
        <w:rPr>
          <w:rFonts w:asciiTheme="minorEastAsia" w:hAnsiTheme="minorEastAsia" w:eastAsiaTheme="minorEastAsia"/>
          <w:b/>
          <w:color w:val="auto"/>
          <w:sz w:val="21"/>
          <w:szCs w:val="21"/>
          <w:highlight w:val="none"/>
        </w:rPr>
      </w:pPr>
      <w:bookmarkStart w:id="53" w:name="_Toc11251638"/>
      <w:r>
        <w:rPr>
          <w:rFonts w:hint="eastAsia" w:asciiTheme="minorEastAsia" w:hAnsiTheme="minorEastAsia" w:eastAsiaTheme="minorEastAsia"/>
          <w:b/>
          <w:color w:val="auto"/>
          <w:sz w:val="21"/>
          <w:szCs w:val="21"/>
          <w:highlight w:val="none"/>
        </w:rPr>
        <w:t>表4-10安全生产事故隐患排查治理台账</w:t>
      </w:r>
      <w:bookmarkEnd w:id="53"/>
    </w:p>
    <w:p>
      <w:pPr>
        <w:spacing w:after="0" w:line="240" w:lineRule="auto"/>
        <w:ind w:left="0"/>
        <w:jc w:val="center"/>
        <w:rPr>
          <w:rFonts w:hint="eastAsia" w:asciiTheme="minorEastAsia" w:hAnsiTheme="minorEastAsia" w:eastAsiaTheme="minorEastAsia"/>
          <w:b/>
          <w:color w:val="auto"/>
          <w:sz w:val="21"/>
          <w:szCs w:val="21"/>
          <w:highlight w:val="none"/>
          <w:lang w:eastAsia="zh-CN"/>
        </w:rPr>
      </w:pPr>
      <w:r>
        <w:rPr>
          <w:rFonts w:hint="eastAsia" w:asciiTheme="minorEastAsia" w:hAnsiTheme="minorEastAsia" w:eastAsiaTheme="minorEastAsia"/>
          <w:b/>
          <w:color w:val="auto"/>
          <w:sz w:val="21"/>
          <w:szCs w:val="21"/>
          <w:highlight w:val="none"/>
          <w:lang w:eastAsia="zh-CN"/>
        </w:rPr>
        <w:drawing>
          <wp:inline distT="0" distB="0" distL="114300" distR="114300">
            <wp:extent cx="6115685" cy="3500120"/>
            <wp:effectExtent l="0" t="0" r="18415" b="5080"/>
            <wp:docPr id="4" name="图片 4" descr="QQ截图2022060214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20602145918"/>
                    <pic:cNvPicPr>
                      <a:picLocks noChangeAspect="1"/>
                    </pic:cNvPicPr>
                  </pic:nvPicPr>
                  <pic:blipFill>
                    <a:blip r:embed="rId25"/>
                    <a:stretch>
                      <a:fillRect/>
                    </a:stretch>
                  </pic:blipFill>
                  <pic:spPr>
                    <a:xfrm>
                      <a:off x="0" y="0"/>
                      <a:ext cx="6115685" cy="3500120"/>
                    </a:xfrm>
                    <a:prstGeom prst="rect">
                      <a:avLst/>
                    </a:prstGeom>
                  </pic:spPr>
                </pic:pic>
              </a:graphicData>
            </a:graphic>
          </wp:inline>
        </w:drawing>
      </w:r>
      <w:bookmarkStart w:id="60" w:name="_GoBack"/>
      <w:bookmarkEnd w:id="60"/>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highlight w:val="none"/>
        </w:rPr>
      </w:pPr>
      <w:bookmarkStart w:id="54" w:name="_Toc19398740"/>
      <w:bookmarkStart w:id="55" w:name="_Toc480981637"/>
      <w:bookmarkStart w:id="56" w:name="_Toc477331738"/>
      <w:bookmarkStart w:id="57" w:name="_Toc470963275"/>
      <w:bookmarkStart w:id="58" w:name="_Toc104735781"/>
      <w:bookmarkStart w:id="59" w:name="_Toc19398524"/>
      <w:r>
        <w:rPr>
          <w:rFonts w:hint="eastAsia" w:cs="Calibri" w:asciiTheme="minorEastAsia" w:hAnsiTheme="minorEastAsia" w:eastAsiaTheme="minorEastAsia"/>
          <w:b/>
          <w:color w:val="auto"/>
          <w:sz w:val="28"/>
          <w:szCs w:val="24"/>
          <w:highlight w:val="none"/>
        </w:rPr>
        <w:t>4.7</w:t>
      </w:r>
      <w:r>
        <w:rPr>
          <w:rFonts w:cs="Calibri" w:asciiTheme="minorEastAsia" w:hAnsiTheme="minorEastAsia" w:eastAsiaTheme="minorEastAsia"/>
          <w:b/>
          <w:color w:val="auto"/>
          <w:sz w:val="28"/>
          <w:szCs w:val="24"/>
          <w:highlight w:val="none"/>
        </w:rPr>
        <w:t>持续改进</w:t>
      </w:r>
      <w:bookmarkEnd w:id="54"/>
      <w:bookmarkEnd w:id="55"/>
      <w:bookmarkEnd w:id="56"/>
      <w:bookmarkEnd w:id="57"/>
      <w:bookmarkEnd w:id="58"/>
      <w:bookmarkEnd w:id="59"/>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当出现以下情况时，应对事故隐患排查治理</w:t>
      </w:r>
      <w:r>
        <w:rPr>
          <w:rFonts w:hint="eastAsia" w:cs="宋体" w:asciiTheme="minorEastAsia" w:hAnsiTheme="minorEastAsia" w:eastAsiaTheme="minorEastAsia"/>
          <w:color w:val="auto"/>
          <w:szCs w:val="24"/>
          <w:highlight w:val="none"/>
        </w:rPr>
        <w:t>工作</w:t>
      </w:r>
      <w:r>
        <w:rPr>
          <w:rFonts w:cs="宋体" w:asciiTheme="minorEastAsia" w:hAnsiTheme="minorEastAsia" w:eastAsiaTheme="minorEastAsia"/>
          <w:color w:val="auto"/>
          <w:szCs w:val="24"/>
          <w:highlight w:val="none"/>
        </w:rPr>
        <w:t>及时进行更新：</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w:t>
      </w:r>
      <w:r>
        <w:rPr>
          <w:rFonts w:cs="宋体" w:asciiTheme="minorEastAsia" w:hAnsiTheme="minorEastAsia" w:eastAsiaTheme="minorEastAsia"/>
          <w:color w:val="auto"/>
          <w:szCs w:val="24"/>
          <w:highlight w:val="none"/>
        </w:rPr>
        <w:t>安全管理要求发生变化时；</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（2）安全</w:t>
      </w:r>
      <w:r>
        <w:rPr>
          <w:rFonts w:cs="宋体" w:asciiTheme="minorEastAsia" w:hAnsiTheme="minorEastAsia" w:eastAsiaTheme="minorEastAsia"/>
          <w:color w:val="auto"/>
          <w:szCs w:val="24"/>
          <w:highlight w:val="none"/>
        </w:rPr>
        <w:t>管理体系发生较大变化（增加新设备、采用新材料、新技术、新工艺等）；</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w:t>
      </w:r>
      <w:r>
        <w:rPr>
          <w:rFonts w:cs="宋体" w:asciiTheme="minorEastAsia" w:hAnsiTheme="minorEastAsia" w:eastAsiaTheme="minorEastAsia"/>
          <w:color w:val="auto"/>
          <w:szCs w:val="24"/>
          <w:highlight w:val="none"/>
        </w:rPr>
        <w:t>有关的法律法规和其他要求发生变化时；</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（4）</w:t>
      </w:r>
      <w:r>
        <w:rPr>
          <w:rFonts w:cs="宋体" w:asciiTheme="minorEastAsia" w:hAnsiTheme="minorEastAsia" w:eastAsiaTheme="minorEastAsia"/>
          <w:color w:val="auto"/>
          <w:szCs w:val="24"/>
          <w:highlight w:val="none"/>
        </w:rPr>
        <w:t>突发重大事故事件、紧急情况或应急事件发生后； </w:t>
      </w:r>
    </w:p>
    <w:p>
      <w:pPr>
        <w:widowControl w:val="0"/>
        <w:spacing w:after="0" w:line="480" w:lineRule="exact"/>
        <w:ind w:left="0" w:firstLine="480"/>
        <w:jc w:val="both"/>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（5）周边</w:t>
      </w:r>
      <w:r>
        <w:rPr>
          <w:rFonts w:cs="宋体" w:asciiTheme="minorEastAsia" w:hAnsiTheme="minorEastAsia" w:eastAsiaTheme="minorEastAsia"/>
          <w:color w:val="auto"/>
          <w:szCs w:val="24"/>
          <w:highlight w:val="none"/>
        </w:rPr>
        <w:t>环境、</w:t>
      </w:r>
      <w:r>
        <w:rPr>
          <w:rFonts w:hint="eastAsia" w:cs="宋体" w:asciiTheme="minorEastAsia" w:hAnsiTheme="minorEastAsia" w:eastAsiaTheme="minorEastAsia"/>
          <w:color w:val="auto"/>
          <w:szCs w:val="24"/>
          <w:highlight w:val="none"/>
        </w:rPr>
        <w:t>生产</w:t>
      </w:r>
      <w:r>
        <w:rPr>
          <w:rFonts w:cs="宋体" w:asciiTheme="minorEastAsia" w:hAnsiTheme="minorEastAsia" w:eastAsiaTheme="minorEastAsia"/>
          <w:color w:val="auto"/>
          <w:szCs w:val="24"/>
          <w:highlight w:val="none"/>
        </w:rPr>
        <w:t>工艺以及法律法规等发生重大变化时，</w:t>
      </w:r>
      <w:r>
        <w:rPr>
          <w:rFonts w:hint="eastAsia" w:cs="宋体" w:asciiTheme="minorEastAsia" w:hAnsiTheme="minorEastAsia" w:eastAsiaTheme="minorEastAsia"/>
          <w:color w:val="auto"/>
          <w:szCs w:val="24"/>
          <w:highlight w:val="none"/>
        </w:rPr>
        <w:t>公司</w:t>
      </w:r>
      <w:r>
        <w:rPr>
          <w:rFonts w:cs="宋体" w:asciiTheme="minorEastAsia" w:hAnsiTheme="minorEastAsia" w:eastAsiaTheme="minorEastAsia"/>
          <w:color w:val="auto"/>
          <w:szCs w:val="24"/>
          <w:highlight w:val="none"/>
        </w:rPr>
        <w:t>应组织相关人员重新</w:t>
      </w:r>
      <w:r>
        <w:rPr>
          <w:rFonts w:hint="eastAsia" w:cs="宋体" w:asciiTheme="minorEastAsia" w:hAnsiTheme="minorEastAsia" w:eastAsiaTheme="minorEastAsia"/>
          <w:color w:val="auto"/>
          <w:szCs w:val="24"/>
          <w:highlight w:val="none"/>
        </w:rPr>
        <w:t>进行</w:t>
      </w:r>
      <w:r>
        <w:rPr>
          <w:rFonts w:cs="宋体" w:asciiTheme="minorEastAsia" w:hAnsiTheme="minorEastAsia" w:eastAsiaTheme="minorEastAsia"/>
          <w:color w:val="auto"/>
          <w:szCs w:val="24"/>
          <w:highlight w:val="none"/>
        </w:rPr>
        <w:t>风险辨识与评估，</w:t>
      </w:r>
      <w:r>
        <w:rPr>
          <w:rFonts w:hint="eastAsia" w:cs="宋体" w:asciiTheme="minorEastAsia" w:hAnsiTheme="minorEastAsia" w:eastAsiaTheme="minorEastAsia"/>
          <w:color w:val="auto"/>
          <w:szCs w:val="24"/>
          <w:highlight w:val="none"/>
        </w:rPr>
        <w:t>更新</w:t>
      </w:r>
      <w:r>
        <w:rPr>
          <w:rFonts w:cs="宋体" w:asciiTheme="minorEastAsia" w:hAnsiTheme="minorEastAsia" w:eastAsiaTheme="minorEastAsia"/>
          <w:color w:val="auto"/>
          <w:szCs w:val="24"/>
          <w:highlight w:val="none"/>
        </w:rPr>
        <w:t>隐患排查清单。</w:t>
      </w:r>
    </w:p>
    <w:sectPr>
      <w:headerReference r:id="rId8" w:type="default"/>
      <w:footerReference r:id="rId9" w:type="default"/>
      <w:pgSz w:w="11906" w:h="16838"/>
      <w:pgMar w:top="1134" w:right="1134" w:bottom="777" w:left="1134" w:header="850"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等线 Light">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16" w:usb3="00000000" w:csb0="0004000F" w:csb1="00000000"/>
  </w:font>
  <w:font w:name="方正小标宋简体">
    <w:altName w:val="微软雅黑"/>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Noto Sans CJK JP Regular">
    <w:altName w:val="Arial"/>
    <w:panose1 w:val="00000000000000000000"/>
    <w:charset w:val="00"/>
    <w:family w:val="swiss"/>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中宋">
    <w:altName w:val="宋体"/>
    <w:panose1 w:val="00000000000000000000"/>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t xml:space="preserve">-  </w:t>
    </w:r>
    <w:r>
      <w:fldChar w:fldCharType="begin"/>
    </w:r>
    <w:r>
      <w:instrText xml:space="preserve">PAGE   \* MERGEFORMAT</w:instrText>
    </w:r>
    <w:r>
      <w:fldChar w:fldCharType="separate"/>
    </w:r>
    <w:r>
      <w:rPr>
        <w:lang w:val="zh-CN"/>
      </w:rPr>
      <w:t>47</w:t>
    </w:r>
    <w:r>
      <w:rPr>
        <w:lang w:val="zh-CN"/>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t xml:space="preserve">-  </w:t>
    </w:r>
    <w:r>
      <w:fldChar w:fldCharType="begin"/>
    </w:r>
    <w:r>
      <w:instrText xml:space="preserve">PAGE   \* MERGEFORMAT</w:instrText>
    </w:r>
    <w:r>
      <w:fldChar w:fldCharType="separate"/>
    </w:r>
    <w:r>
      <w:rPr>
        <w:lang w:val="zh-CN"/>
      </w:rPr>
      <w:t>69</w:t>
    </w:r>
    <w:r>
      <w:rPr>
        <w:lang w:val="zh-CN"/>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9" w:lineRule="auto"/>
      </w:pPr>
      <w:r>
        <w:separator/>
      </w:r>
    </w:p>
  </w:footnote>
  <w:footnote w:type="continuationSeparator" w:id="1">
    <w:p>
      <w:pPr>
        <w:spacing w:before="0" w:after="0" w:line="24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pPr>
    <w:r>
      <w:pict>
        <v:shape id="文本框 473" o:spid="_x0000_s4099" o:spt="202" type="#_x0000_t202" style="position:absolute;left:0pt;margin-left:107.7pt;margin-top:50.7pt;height:18.8pt;width:384.1pt;mso-position-horizontal-relative:page;mso-position-vertical-relative:page;z-index:251660288;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">
          <v:path/>
          <v:fill on="f" focussize="0,0"/>
          <v:stroke on="f" joinstyle="miter"/>
          <v:imagedata o:title=""/>
          <o:lock v:ext="edit"/>
          <v:textbox inset="2.54mm,0mm,2.54mm,0mm">
            <w:txbxContent>
              <w:p>
                <w:pPr>
                  <w:spacing w:after="0" w:line="360" w:lineRule="exact"/>
                  <w:ind w:left="221" w:hanging="11"/>
                  <w:rPr>
                    <w:rFonts w:asciiTheme="minorEastAsia" w:hAnsiTheme="minorEastAsia" w:eastAsiaTheme="minorEastAsia"/>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rPr>
        <w:rFonts w:ascii="华文中宋" w:hAnsi="华文中宋" w:eastAsia="华文中宋"/>
        <w:sz w:val="24"/>
      </w:rPr>
    </w:pPr>
    <w:r>
      <w:pict>
        <v:shape id="_x0000_s4098" o:spid="_x0000_s4098" o:spt="202" type="#_x0000_t202" style="position:absolute;left:0pt;margin-left:109.55pt;margin-top:52.6pt;height:18.15pt;width:372.7pt;mso-position-horizontal-relative:page;mso-position-vertical-relative:page;z-index:251662336;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">
          <v:path/>
          <v:fill on="f" focussize="0,0"/>
          <v:stroke on="f" joinstyle="miter"/>
          <v:imagedata o:title=""/>
          <o:lock v:ext="edit"/>
          <v:textbox inset="2.54mm,0mm,2.54mm,0mm">
            <w:txbxContent>
              <w:p>
                <w:pPr>
                  <w:rPr>
                    <w:rFonts w:ascii="华文中宋" w:hAnsi="华文中宋" w:eastAsia="华文中宋"/>
                  </w:rPr>
                </w:pPr>
                <w:r>
                  <w:rPr>
                    <w:rFonts w:hint="eastAsia" w:cs="Calibri" w:asciiTheme="minorEastAsia" w:hAnsiTheme="minorEastAsia" w:eastAsiaTheme="minorEastAsia"/>
                    <w:sz w:val="22"/>
                    <w:szCs w:val="24"/>
                  </w:rPr>
                  <w:t>中电建冀交高速公路投资发展有限公司</w:t>
                </w:r>
                <w:r>
                  <w:rPr>
                    <w:rFonts w:hint="eastAsia" w:asciiTheme="minorEastAsia" w:hAnsiTheme="minorEastAsia" w:eastAsiaTheme="minorEastAsia"/>
                    <w:sz w:val="21"/>
                  </w:rPr>
                  <w:t>风险管理与隐患排查治理</w:t>
                </w:r>
                <w:r>
                  <w:rPr>
                    <w:rFonts w:hint="eastAsia" w:asciiTheme="minorEastAsia" w:hAnsiTheme="minorEastAsia" w:eastAsiaTheme="minorEastAsia"/>
                    <w:sz w:val="21"/>
                    <w:lang w:eastAsia="zh-CN"/>
                  </w:rPr>
                  <w:t>实施手册</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11"/>
      </w:pBdr>
      <w:spacing w:after="0"/>
      <w:ind w:left="181" w:hanging="11"/>
      <w:jc w:val="left"/>
      <w:rPr>
        <w:rFonts w:ascii="华文中宋" w:hAnsi="华文中宋" w:eastAsia="华文中宋"/>
        <w:sz w:val="24"/>
      </w:rPr>
    </w:pPr>
    <w:r>
      <w:pict>
        <v:shape id="_x0000_s4097" o:spid="_x0000_s4097" o:spt="202" type="#_x0000_t202" style="position:absolute;left:0pt;margin-left:105.5pt;margin-top:52.75pt;height:22.4pt;width:368.65pt;mso-position-horizontal-relative:page;mso-position-vertical-relative:page;z-index:251659264;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">
          <v:path/>
          <v:fill on="f" focussize="0,0"/>
          <v:stroke on="f" joinstyle="miter"/>
          <v:imagedata o:title=""/>
          <o:lock v:ext="edit"/>
          <v:textbox inset="2.54mm,0mm,2.54mm,0mm">
            <w:txbxContent>
              <w:p>
                <w:pPr>
                  <w:rPr>
                    <w:rFonts w:ascii="华文中宋" w:hAnsi="华文中宋" w:eastAsia="华文中宋"/>
                  </w:rPr>
                </w:pPr>
                <w:r>
                  <w:rPr>
                    <w:rFonts w:hint="eastAsia" w:asciiTheme="minorEastAsia" w:hAnsiTheme="minorEastAsia" w:eastAsiaTheme="minorEastAsia"/>
                    <w:sz w:val="21"/>
                  </w:rPr>
                  <w:t>中电建冀交高速公路投资发展有限公司风险管理与隐患排查治理</w:t>
                </w:r>
                <w:r>
                  <w:rPr>
                    <w:rFonts w:hint="eastAsia" w:asciiTheme="minorEastAsia" w:hAnsiTheme="minorEastAsia" w:eastAsiaTheme="minorEastAsia"/>
                    <w:sz w:val="21"/>
                    <w:lang w:eastAsia="zh-CN"/>
                  </w:rPr>
                  <w:t>实施手册</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472157"/>
    <w:multiLevelType w:val="multilevel"/>
    <w:tmpl w:val="1447215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4A8473C4"/>
    <w:multiLevelType w:val="multilevel"/>
    <w:tmpl w:val="4A8473C4"/>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838762C"/>
    <w:multiLevelType w:val="multilevel"/>
    <w:tmpl w:val="6838762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6DFC3449"/>
    <w:multiLevelType w:val="multilevel"/>
    <w:tmpl w:val="6DFC344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2"/>
  </w:compat>
  <w:docVars>
    <w:docVar w:name="commondata" w:val="eyJoZGlkIjoiMjRmYWU2YTQ4YmFjZmU4NThjZDA1NzAzZTAyMDBhMDkifQ=="/>
  </w:docVars>
  <w:rsids>
    <w:rsidRoot w:val="00104BE5"/>
    <w:rsid w:val="000002B9"/>
    <w:rsid w:val="00001748"/>
    <w:rsid w:val="000025D2"/>
    <w:rsid w:val="00002700"/>
    <w:rsid w:val="000028D4"/>
    <w:rsid w:val="00005483"/>
    <w:rsid w:val="00005E8E"/>
    <w:rsid w:val="00006CDE"/>
    <w:rsid w:val="000076B0"/>
    <w:rsid w:val="0000799E"/>
    <w:rsid w:val="00007C02"/>
    <w:rsid w:val="00010357"/>
    <w:rsid w:val="000105D7"/>
    <w:rsid w:val="0001120C"/>
    <w:rsid w:val="00012E35"/>
    <w:rsid w:val="000135F9"/>
    <w:rsid w:val="0001410A"/>
    <w:rsid w:val="0001553F"/>
    <w:rsid w:val="00016F6F"/>
    <w:rsid w:val="00017D73"/>
    <w:rsid w:val="00020CB3"/>
    <w:rsid w:val="00021892"/>
    <w:rsid w:val="00021BB6"/>
    <w:rsid w:val="00022BB8"/>
    <w:rsid w:val="000233D6"/>
    <w:rsid w:val="00023851"/>
    <w:rsid w:val="00023FBD"/>
    <w:rsid w:val="0002607F"/>
    <w:rsid w:val="0002698B"/>
    <w:rsid w:val="0003105C"/>
    <w:rsid w:val="000319F9"/>
    <w:rsid w:val="00032B6F"/>
    <w:rsid w:val="000332A5"/>
    <w:rsid w:val="00035076"/>
    <w:rsid w:val="000354D4"/>
    <w:rsid w:val="00036CB3"/>
    <w:rsid w:val="0004053E"/>
    <w:rsid w:val="00040765"/>
    <w:rsid w:val="000408FF"/>
    <w:rsid w:val="0004191B"/>
    <w:rsid w:val="000423ED"/>
    <w:rsid w:val="00042B87"/>
    <w:rsid w:val="0004341D"/>
    <w:rsid w:val="00043D84"/>
    <w:rsid w:val="00044043"/>
    <w:rsid w:val="000457C1"/>
    <w:rsid w:val="00046160"/>
    <w:rsid w:val="00046823"/>
    <w:rsid w:val="00046F4A"/>
    <w:rsid w:val="000470AF"/>
    <w:rsid w:val="00047103"/>
    <w:rsid w:val="00047E5F"/>
    <w:rsid w:val="00050D14"/>
    <w:rsid w:val="00051085"/>
    <w:rsid w:val="00051372"/>
    <w:rsid w:val="00052981"/>
    <w:rsid w:val="00052B91"/>
    <w:rsid w:val="00053183"/>
    <w:rsid w:val="00053538"/>
    <w:rsid w:val="000549A4"/>
    <w:rsid w:val="00055C8F"/>
    <w:rsid w:val="00055DC5"/>
    <w:rsid w:val="00055EB8"/>
    <w:rsid w:val="0005608F"/>
    <w:rsid w:val="000563DF"/>
    <w:rsid w:val="0005685D"/>
    <w:rsid w:val="00056872"/>
    <w:rsid w:val="000568B6"/>
    <w:rsid w:val="00060426"/>
    <w:rsid w:val="000615AA"/>
    <w:rsid w:val="00063C5D"/>
    <w:rsid w:val="00064611"/>
    <w:rsid w:val="0006514A"/>
    <w:rsid w:val="000655DB"/>
    <w:rsid w:val="0006598E"/>
    <w:rsid w:val="00065CAA"/>
    <w:rsid w:val="000660B8"/>
    <w:rsid w:val="0006623E"/>
    <w:rsid w:val="00066758"/>
    <w:rsid w:val="00067307"/>
    <w:rsid w:val="0006735D"/>
    <w:rsid w:val="00067448"/>
    <w:rsid w:val="00067AF1"/>
    <w:rsid w:val="00070E44"/>
    <w:rsid w:val="00071F15"/>
    <w:rsid w:val="000722FB"/>
    <w:rsid w:val="00073583"/>
    <w:rsid w:val="0007376C"/>
    <w:rsid w:val="000758C8"/>
    <w:rsid w:val="00075B1A"/>
    <w:rsid w:val="00076136"/>
    <w:rsid w:val="00077D64"/>
    <w:rsid w:val="000803D2"/>
    <w:rsid w:val="00081173"/>
    <w:rsid w:val="00081D2C"/>
    <w:rsid w:val="00082880"/>
    <w:rsid w:val="00082D47"/>
    <w:rsid w:val="00082EDE"/>
    <w:rsid w:val="00082F65"/>
    <w:rsid w:val="0008338A"/>
    <w:rsid w:val="00083E04"/>
    <w:rsid w:val="0008419E"/>
    <w:rsid w:val="00084476"/>
    <w:rsid w:val="00084C2A"/>
    <w:rsid w:val="000865F8"/>
    <w:rsid w:val="000875FA"/>
    <w:rsid w:val="000879D5"/>
    <w:rsid w:val="00090099"/>
    <w:rsid w:val="00090EC3"/>
    <w:rsid w:val="00090F11"/>
    <w:rsid w:val="000918B4"/>
    <w:rsid w:val="000936E5"/>
    <w:rsid w:val="0009384A"/>
    <w:rsid w:val="0009390F"/>
    <w:rsid w:val="00094723"/>
    <w:rsid w:val="000949AF"/>
    <w:rsid w:val="000949BF"/>
    <w:rsid w:val="00095F5B"/>
    <w:rsid w:val="00096B8F"/>
    <w:rsid w:val="00097EFF"/>
    <w:rsid w:val="000A036F"/>
    <w:rsid w:val="000A041D"/>
    <w:rsid w:val="000A1260"/>
    <w:rsid w:val="000A1934"/>
    <w:rsid w:val="000A1F09"/>
    <w:rsid w:val="000A2319"/>
    <w:rsid w:val="000A2643"/>
    <w:rsid w:val="000A36AA"/>
    <w:rsid w:val="000A4F04"/>
    <w:rsid w:val="000A523D"/>
    <w:rsid w:val="000A536D"/>
    <w:rsid w:val="000A6C06"/>
    <w:rsid w:val="000B07A7"/>
    <w:rsid w:val="000B1A88"/>
    <w:rsid w:val="000B1E50"/>
    <w:rsid w:val="000B3421"/>
    <w:rsid w:val="000B36A3"/>
    <w:rsid w:val="000B3D2F"/>
    <w:rsid w:val="000B4BE5"/>
    <w:rsid w:val="000B6310"/>
    <w:rsid w:val="000B7B1E"/>
    <w:rsid w:val="000B7B77"/>
    <w:rsid w:val="000C0246"/>
    <w:rsid w:val="000C0301"/>
    <w:rsid w:val="000C0405"/>
    <w:rsid w:val="000C078A"/>
    <w:rsid w:val="000C0D11"/>
    <w:rsid w:val="000C12F0"/>
    <w:rsid w:val="000C2960"/>
    <w:rsid w:val="000C2B39"/>
    <w:rsid w:val="000C3798"/>
    <w:rsid w:val="000C3D71"/>
    <w:rsid w:val="000C41AC"/>
    <w:rsid w:val="000C4620"/>
    <w:rsid w:val="000C4BF3"/>
    <w:rsid w:val="000C4D4C"/>
    <w:rsid w:val="000C5BA7"/>
    <w:rsid w:val="000C67F1"/>
    <w:rsid w:val="000C6A03"/>
    <w:rsid w:val="000C6A55"/>
    <w:rsid w:val="000C6E3F"/>
    <w:rsid w:val="000D023B"/>
    <w:rsid w:val="000D0978"/>
    <w:rsid w:val="000D0DB1"/>
    <w:rsid w:val="000D1550"/>
    <w:rsid w:val="000D277C"/>
    <w:rsid w:val="000D2890"/>
    <w:rsid w:val="000D7DF8"/>
    <w:rsid w:val="000E0147"/>
    <w:rsid w:val="000E08B7"/>
    <w:rsid w:val="000E15A6"/>
    <w:rsid w:val="000E29BE"/>
    <w:rsid w:val="000E2C7F"/>
    <w:rsid w:val="000E32E9"/>
    <w:rsid w:val="000E3FF4"/>
    <w:rsid w:val="000E431A"/>
    <w:rsid w:val="000E490B"/>
    <w:rsid w:val="000E50F3"/>
    <w:rsid w:val="000E52CC"/>
    <w:rsid w:val="000E7353"/>
    <w:rsid w:val="000E79B9"/>
    <w:rsid w:val="000E7CED"/>
    <w:rsid w:val="000F1A77"/>
    <w:rsid w:val="000F1FF0"/>
    <w:rsid w:val="000F213A"/>
    <w:rsid w:val="000F3236"/>
    <w:rsid w:val="000F3775"/>
    <w:rsid w:val="000F43EC"/>
    <w:rsid w:val="000F4BF7"/>
    <w:rsid w:val="000F52AD"/>
    <w:rsid w:val="000F5741"/>
    <w:rsid w:val="000F5AB4"/>
    <w:rsid w:val="000F5CC1"/>
    <w:rsid w:val="000F645C"/>
    <w:rsid w:val="000F788A"/>
    <w:rsid w:val="000F7FDD"/>
    <w:rsid w:val="00100045"/>
    <w:rsid w:val="00100F51"/>
    <w:rsid w:val="00101568"/>
    <w:rsid w:val="0010315A"/>
    <w:rsid w:val="00104BE5"/>
    <w:rsid w:val="001059F2"/>
    <w:rsid w:val="00105CEB"/>
    <w:rsid w:val="001066AF"/>
    <w:rsid w:val="0010717D"/>
    <w:rsid w:val="0011034C"/>
    <w:rsid w:val="00111F63"/>
    <w:rsid w:val="001130D6"/>
    <w:rsid w:val="00113F88"/>
    <w:rsid w:val="0011400D"/>
    <w:rsid w:val="00114720"/>
    <w:rsid w:val="0011641D"/>
    <w:rsid w:val="00117199"/>
    <w:rsid w:val="001222A3"/>
    <w:rsid w:val="00122540"/>
    <w:rsid w:val="001227DE"/>
    <w:rsid w:val="00122FE5"/>
    <w:rsid w:val="00123225"/>
    <w:rsid w:val="00125432"/>
    <w:rsid w:val="00125C03"/>
    <w:rsid w:val="00125DE8"/>
    <w:rsid w:val="0012713A"/>
    <w:rsid w:val="00127C60"/>
    <w:rsid w:val="00130D49"/>
    <w:rsid w:val="00133CBA"/>
    <w:rsid w:val="00133F34"/>
    <w:rsid w:val="00134860"/>
    <w:rsid w:val="0013582B"/>
    <w:rsid w:val="00135E31"/>
    <w:rsid w:val="00137643"/>
    <w:rsid w:val="001402FA"/>
    <w:rsid w:val="0014070B"/>
    <w:rsid w:val="0014148C"/>
    <w:rsid w:val="001414AB"/>
    <w:rsid w:val="0014228F"/>
    <w:rsid w:val="00142826"/>
    <w:rsid w:val="00142F07"/>
    <w:rsid w:val="00143C6D"/>
    <w:rsid w:val="0014450B"/>
    <w:rsid w:val="0014492F"/>
    <w:rsid w:val="00145F97"/>
    <w:rsid w:val="00146AB0"/>
    <w:rsid w:val="00146C60"/>
    <w:rsid w:val="00147651"/>
    <w:rsid w:val="001477CC"/>
    <w:rsid w:val="00151E75"/>
    <w:rsid w:val="00152289"/>
    <w:rsid w:val="00152434"/>
    <w:rsid w:val="00153202"/>
    <w:rsid w:val="001540D2"/>
    <w:rsid w:val="00154373"/>
    <w:rsid w:val="00154F6D"/>
    <w:rsid w:val="00155F2A"/>
    <w:rsid w:val="00156356"/>
    <w:rsid w:val="001570DB"/>
    <w:rsid w:val="00161290"/>
    <w:rsid w:val="0016257C"/>
    <w:rsid w:val="0016409F"/>
    <w:rsid w:val="00165EBD"/>
    <w:rsid w:val="00166329"/>
    <w:rsid w:val="00167DB6"/>
    <w:rsid w:val="00167E8E"/>
    <w:rsid w:val="0017022A"/>
    <w:rsid w:val="001727DD"/>
    <w:rsid w:val="00173125"/>
    <w:rsid w:val="001740F3"/>
    <w:rsid w:val="001743C9"/>
    <w:rsid w:val="00174545"/>
    <w:rsid w:val="00174780"/>
    <w:rsid w:val="00174F14"/>
    <w:rsid w:val="001750D5"/>
    <w:rsid w:val="0017563E"/>
    <w:rsid w:val="0017570F"/>
    <w:rsid w:val="001765A6"/>
    <w:rsid w:val="00176B3E"/>
    <w:rsid w:val="0017785C"/>
    <w:rsid w:val="0018049A"/>
    <w:rsid w:val="00181679"/>
    <w:rsid w:val="001826AF"/>
    <w:rsid w:val="00182B6B"/>
    <w:rsid w:val="00182DEF"/>
    <w:rsid w:val="00184341"/>
    <w:rsid w:val="00184B87"/>
    <w:rsid w:val="00184C64"/>
    <w:rsid w:val="00185C63"/>
    <w:rsid w:val="00186FAD"/>
    <w:rsid w:val="00187921"/>
    <w:rsid w:val="00187B9B"/>
    <w:rsid w:val="0019072C"/>
    <w:rsid w:val="0019137E"/>
    <w:rsid w:val="001928E2"/>
    <w:rsid w:val="00193C25"/>
    <w:rsid w:val="0019506B"/>
    <w:rsid w:val="00196762"/>
    <w:rsid w:val="001A03B6"/>
    <w:rsid w:val="001A1903"/>
    <w:rsid w:val="001A30D6"/>
    <w:rsid w:val="001A3169"/>
    <w:rsid w:val="001A366E"/>
    <w:rsid w:val="001A3FEF"/>
    <w:rsid w:val="001A4A1A"/>
    <w:rsid w:val="001A4F75"/>
    <w:rsid w:val="001A5761"/>
    <w:rsid w:val="001A6755"/>
    <w:rsid w:val="001A6ACA"/>
    <w:rsid w:val="001A786A"/>
    <w:rsid w:val="001A78A2"/>
    <w:rsid w:val="001B194B"/>
    <w:rsid w:val="001B1C71"/>
    <w:rsid w:val="001B2722"/>
    <w:rsid w:val="001B28EC"/>
    <w:rsid w:val="001B3BAD"/>
    <w:rsid w:val="001B4E7B"/>
    <w:rsid w:val="001B5EE1"/>
    <w:rsid w:val="001B6183"/>
    <w:rsid w:val="001B6F27"/>
    <w:rsid w:val="001B7267"/>
    <w:rsid w:val="001C0422"/>
    <w:rsid w:val="001C0698"/>
    <w:rsid w:val="001C1481"/>
    <w:rsid w:val="001C166F"/>
    <w:rsid w:val="001C17A9"/>
    <w:rsid w:val="001C1DFE"/>
    <w:rsid w:val="001C2218"/>
    <w:rsid w:val="001C285B"/>
    <w:rsid w:val="001C3396"/>
    <w:rsid w:val="001C3622"/>
    <w:rsid w:val="001C386D"/>
    <w:rsid w:val="001C4712"/>
    <w:rsid w:val="001C4D9A"/>
    <w:rsid w:val="001C5885"/>
    <w:rsid w:val="001C5C8D"/>
    <w:rsid w:val="001C5F4C"/>
    <w:rsid w:val="001C6660"/>
    <w:rsid w:val="001C693C"/>
    <w:rsid w:val="001C6EC6"/>
    <w:rsid w:val="001C6FE3"/>
    <w:rsid w:val="001C7930"/>
    <w:rsid w:val="001D1597"/>
    <w:rsid w:val="001D1633"/>
    <w:rsid w:val="001D23EE"/>
    <w:rsid w:val="001D2C73"/>
    <w:rsid w:val="001D330A"/>
    <w:rsid w:val="001D570E"/>
    <w:rsid w:val="001E0478"/>
    <w:rsid w:val="001E0A0E"/>
    <w:rsid w:val="001E0D09"/>
    <w:rsid w:val="001E179C"/>
    <w:rsid w:val="001E1BBB"/>
    <w:rsid w:val="001E2333"/>
    <w:rsid w:val="001E3866"/>
    <w:rsid w:val="001E3E0C"/>
    <w:rsid w:val="001E467A"/>
    <w:rsid w:val="001E4704"/>
    <w:rsid w:val="001E54B5"/>
    <w:rsid w:val="001E56BC"/>
    <w:rsid w:val="001E5BDE"/>
    <w:rsid w:val="001F0481"/>
    <w:rsid w:val="001F0BCA"/>
    <w:rsid w:val="001F1069"/>
    <w:rsid w:val="001F2219"/>
    <w:rsid w:val="001F2B28"/>
    <w:rsid w:val="001F3D3E"/>
    <w:rsid w:val="001F488E"/>
    <w:rsid w:val="001F4AFB"/>
    <w:rsid w:val="001F4C11"/>
    <w:rsid w:val="001F4F8B"/>
    <w:rsid w:val="001F5875"/>
    <w:rsid w:val="001F5951"/>
    <w:rsid w:val="001F5F05"/>
    <w:rsid w:val="001F7108"/>
    <w:rsid w:val="001F71A4"/>
    <w:rsid w:val="001F7393"/>
    <w:rsid w:val="001F756D"/>
    <w:rsid w:val="001F7576"/>
    <w:rsid w:val="001F7FA1"/>
    <w:rsid w:val="00200140"/>
    <w:rsid w:val="0020044D"/>
    <w:rsid w:val="002004D2"/>
    <w:rsid w:val="00200551"/>
    <w:rsid w:val="00201E32"/>
    <w:rsid w:val="00202D35"/>
    <w:rsid w:val="00203F10"/>
    <w:rsid w:val="00204654"/>
    <w:rsid w:val="0020485A"/>
    <w:rsid w:val="00205863"/>
    <w:rsid w:val="00205E74"/>
    <w:rsid w:val="002068D7"/>
    <w:rsid w:val="00210F20"/>
    <w:rsid w:val="00211381"/>
    <w:rsid w:val="00212381"/>
    <w:rsid w:val="002129DE"/>
    <w:rsid w:val="00214B1B"/>
    <w:rsid w:val="00215519"/>
    <w:rsid w:val="0021580F"/>
    <w:rsid w:val="0021691E"/>
    <w:rsid w:val="00216A5E"/>
    <w:rsid w:val="002170DF"/>
    <w:rsid w:val="00221A78"/>
    <w:rsid w:val="00221B11"/>
    <w:rsid w:val="00222B78"/>
    <w:rsid w:val="00223213"/>
    <w:rsid w:val="0022327A"/>
    <w:rsid w:val="00225E6A"/>
    <w:rsid w:val="002262DC"/>
    <w:rsid w:val="0022641A"/>
    <w:rsid w:val="00226842"/>
    <w:rsid w:val="00226E00"/>
    <w:rsid w:val="00227401"/>
    <w:rsid w:val="00227424"/>
    <w:rsid w:val="0022769F"/>
    <w:rsid w:val="00231F61"/>
    <w:rsid w:val="002329D6"/>
    <w:rsid w:val="00233CEF"/>
    <w:rsid w:val="00234164"/>
    <w:rsid w:val="00234666"/>
    <w:rsid w:val="002346FE"/>
    <w:rsid w:val="00234E1A"/>
    <w:rsid w:val="00234F60"/>
    <w:rsid w:val="00235656"/>
    <w:rsid w:val="0023589C"/>
    <w:rsid w:val="00235F35"/>
    <w:rsid w:val="00236A56"/>
    <w:rsid w:val="00237190"/>
    <w:rsid w:val="002400C6"/>
    <w:rsid w:val="0024024E"/>
    <w:rsid w:val="002407AF"/>
    <w:rsid w:val="00241292"/>
    <w:rsid w:val="00242554"/>
    <w:rsid w:val="00242CA0"/>
    <w:rsid w:val="0024351C"/>
    <w:rsid w:val="00243EDB"/>
    <w:rsid w:val="0024465F"/>
    <w:rsid w:val="002447E3"/>
    <w:rsid w:val="00245078"/>
    <w:rsid w:val="00245343"/>
    <w:rsid w:val="00245BC6"/>
    <w:rsid w:val="00245DEF"/>
    <w:rsid w:val="00246095"/>
    <w:rsid w:val="00250569"/>
    <w:rsid w:val="00251265"/>
    <w:rsid w:val="00251810"/>
    <w:rsid w:val="00252386"/>
    <w:rsid w:val="00252BD9"/>
    <w:rsid w:val="0025301A"/>
    <w:rsid w:val="00253308"/>
    <w:rsid w:val="00253D6A"/>
    <w:rsid w:val="00254721"/>
    <w:rsid w:val="0025563B"/>
    <w:rsid w:val="00255D5C"/>
    <w:rsid w:val="00256541"/>
    <w:rsid w:val="0025714C"/>
    <w:rsid w:val="0026016B"/>
    <w:rsid w:val="00260968"/>
    <w:rsid w:val="00262A18"/>
    <w:rsid w:val="00263E9B"/>
    <w:rsid w:val="00264147"/>
    <w:rsid w:val="002642B2"/>
    <w:rsid w:val="00264853"/>
    <w:rsid w:val="00264BD2"/>
    <w:rsid w:val="00265CF1"/>
    <w:rsid w:val="0026611D"/>
    <w:rsid w:val="00267304"/>
    <w:rsid w:val="002679F4"/>
    <w:rsid w:val="00267C5C"/>
    <w:rsid w:val="002707E7"/>
    <w:rsid w:val="00271E95"/>
    <w:rsid w:val="00271F5F"/>
    <w:rsid w:val="002726E5"/>
    <w:rsid w:val="0027325B"/>
    <w:rsid w:val="0027361E"/>
    <w:rsid w:val="0027475B"/>
    <w:rsid w:val="00274C92"/>
    <w:rsid w:val="002753E8"/>
    <w:rsid w:val="002754C1"/>
    <w:rsid w:val="002761DC"/>
    <w:rsid w:val="00280E15"/>
    <w:rsid w:val="00281795"/>
    <w:rsid w:val="00281D2D"/>
    <w:rsid w:val="00281E4C"/>
    <w:rsid w:val="002825DD"/>
    <w:rsid w:val="00283D46"/>
    <w:rsid w:val="00284320"/>
    <w:rsid w:val="0028457E"/>
    <w:rsid w:val="00285002"/>
    <w:rsid w:val="0028578E"/>
    <w:rsid w:val="00286116"/>
    <w:rsid w:val="00291733"/>
    <w:rsid w:val="00292D85"/>
    <w:rsid w:val="00293050"/>
    <w:rsid w:val="002933D7"/>
    <w:rsid w:val="00293C1A"/>
    <w:rsid w:val="00294895"/>
    <w:rsid w:val="002961E0"/>
    <w:rsid w:val="002964CB"/>
    <w:rsid w:val="0029689C"/>
    <w:rsid w:val="0029718C"/>
    <w:rsid w:val="00297521"/>
    <w:rsid w:val="002975FF"/>
    <w:rsid w:val="00297856"/>
    <w:rsid w:val="002A0EAE"/>
    <w:rsid w:val="002A1224"/>
    <w:rsid w:val="002A1992"/>
    <w:rsid w:val="002A1FAD"/>
    <w:rsid w:val="002A445E"/>
    <w:rsid w:val="002A4554"/>
    <w:rsid w:val="002A69E4"/>
    <w:rsid w:val="002A6CD9"/>
    <w:rsid w:val="002A7174"/>
    <w:rsid w:val="002A72D3"/>
    <w:rsid w:val="002A747D"/>
    <w:rsid w:val="002B0831"/>
    <w:rsid w:val="002B1EAD"/>
    <w:rsid w:val="002B226D"/>
    <w:rsid w:val="002B2A05"/>
    <w:rsid w:val="002B3505"/>
    <w:rsid w:val="002B3D84"/>
    <w:rsid w:val="002B5AA9"/>
    <w:rsid w:val="002B6297"/>
    <w:rsid w:val="002B69BD"/>
    <w:rsid w:val="002B7D7B"/>
    <w:rsid w:val="002C24CB"/>
    <w:rsid w:val="002C2B07"/>
    <w:rsid w:val="002C3148"/>
    <w:rsid w:val="002C36EF"/>
    <w:rsid w:val="002C3738"/>
    <w:rsid w:val="002C4FFD"/>
    <w:rsid w:val="002C5821"/>
    <w:rsid w:val="002D0974"/>
    <w:rsid w:val="002D1BE7"/>
    <w:rsid w:val="002D268F"/>
    <w:rsid w:val="002D2807"/>
    <w:rsid w:val="002D2917"/>
    <w:rsid w:val="002D3570"/>
    <w:rsid w:val="002D3FB6"/>
    <w:rsid w:val="002D7254"/>
    <w:rsid w:val="002D7793"/>
    <w:rsid w:val="002E05AD"/>
    <w:rsid w:val="002E08A1"/>
    <w:rsid w:val="002E206C"/>
    <w:rsid w:val="002E2C59"/>
    <w:rsid w:val="002E3708"/>
    <w:rsid w:val="002E3E38"/>
    <w:rsid w:val="002E6895"/>
    <w:rsid w:val="002E6C3D"/>
    <w:rsid w:val="002E6DA2"/>
    <w:rsid w:val="002E702C"/>
    <w:rsid w:val="002F0922"/>
    <w:rsid w:val="002F0F28"/>
    <w:rsid w:val="002F2CF5"/>
    <w:rsid w:val="002F32A7"/>
    <w:rsid w:val="002F420C"/>
    <w:rsid w:val="002F4D68"/>
    <w:rsid w:val="002F4E04"/>
    <w:rsid w:val="002F516E"/>
    <w:rsid w:val="002F6527"/>
    <w:rsid w:val="002F7571"/>
    <w:rsid w:val="00300031"/>
    <w:rsid w:val="0030006F"/>
    <w:rsid w:val="003009D9"/>
    <w:rsid w:val="00301028"/>
    <w:rsid w:val="00301494"/>
    <w:rsid w:val="003027E6"/>
    <w:rsid w:val="00303388"/>
    <w:rsid w:val="00307787"/>
    <w:rsid w:val="00307E48"/>
    <w:rsid w:val="00310003"/>
    <w:rsid w:val="00311170"/>
    <w:rsid w:val="0031179C"/>
    <w:rsid w:val="003118C6"/>
    <w:rsid w:val="00312CCD"/>
    <w:rsid w:val="003135F3"/>
    <w:rsid w:val="0031369E"/>
    <w:rsid w:val="00314C3E"/>
    <w:rsid w:val="00316262"/>
    <w:rsid w:val="003164F5"/>
    <w:rsid w:val="00316D4F"/>
    <w:rsid w:val="00317442"/>
    <w:rsid w:val="00317B53"/>
    <w:rsid w:val="00317BFF"/>
    <w:rsid w:val="00317ED9"/>
    <w:rsid w:val="003206F1"/>
    <w:rsid w:val="0032216D"/>
    <w:rsid w:val="0032228A"/>
    <w:rsid w:val="00323187"/>
    <w:rsid w:val="00323A4D"/>
    <w:rsid w:val="003240D5"/>
    <w:rsid w:val="003243BA"/>
    <w:rsid w:val="00324532"/>
    <w:rsid w:val="00324C96"/>
    <w:rsid w:val="00325434"/>
    <w:rsid w:val="003256CE"/>
    <w:rsid w:val="00325A0D"/>
    <w:rsid w:val="003263CD"/>
    <w:rsid w:val="003267A4"/>
    <w:rsid w:val="0032729F"/>
    <w:rsid w:val="00327773"/>
    <w:rsid w:val="003277D9"/>
    <w:rsid w:val="00331C13"/>
    <w:rsid w:val="00331D95"/>
    <w:rsid w:val="00333FE3"/>
    <w:rsid w:val="003342B8"/>
    <w:rsid w:val="00335E62"/>
    <w:rsid w:val="003360D4"/>
    <w:rsid w:val="00336321"/>
    <w:rsid w:val="0033675C"/>
    <w:rsid w:val="00336772"/>
    <w:rsid w:val="00336DDA"/>
    <w:rsid w:val="00341A00"/>
    <w:rsid w:val="00341E1D"/>
    <w:rsid w:val="00343DCF"/>
    <w:rsid w:val="0034448C"/>
    <w:rsid w:val="00347DD3"/>
    <w:rsid w:val="0035166D"/>
    <w:rsid w:val="00352CCA"/>
    <w:rsid w:val="0035581B"/>
    <w:rsid w:val="00356A25"/>
    <w:rsid w:val="00357881"/>
    <w:rsid w:val="00357E1E"/>
    <w:rsid w:val="00360C1C"/>
    <w:rsid w:val="00362008"/>
    <w:rsid w:val="00362744"/>
    <w:rsid w:val="00362997"/>
    <w:rsid w:val="003630DA"/>
    <w:rsid w:val="00363695"/>
    <w:rsid w:val="00363756"/>
    <w:rsid w:val="003641A0"/>
    <w:rsid w:val="00364561"/>
    <w:rsid w:val="00364D42"/>
    <w:rsid w:val="00365DFC"/>
    <w:rsid w:val="00366117"/>
    <w:rsid w:val="003675F9"/>
    <w:rsid w:val="00370440"/>
    <w:rsid w:val="00370C65"/>
    <w:rsid w:val="00371733"/>
    <w:rsid w:val="00372472"/>
    <w:rsid w:val="003747E3"/>
    <w:rsid w:val="00375745"/>
    <w:rsid w:val="00376B8D"/>
    <w:rsid w:val="00380428"/>
    <w:rsid w:val="0038135C"/>
    <w:rsid w:val="00381942"/>
    <w:rsid w:val="0038209A"/>
    <w:rsid w:val="00382191"/>
    <w:rsid w:val="003830F4"/>
    <w:rsid w:val="00383136"/>
    <w:rsid w:val="0038396E"/>
    <w:rsid w:val="00383A05"/>
    <w:rsid w:val="00383CC1"/>
    <w:rsid w:val="003845E7"/>
    <w:rsid w:val="00385FCB"/>
    <w:rsid w:val="0038698C"/>
    <w:rsid w:val="00386D8D"/>
    <w:rsid w:val="003879E7"/>
    <w:rsid w:val="003904C9"/>
    <w:rsid w:val="00390852"/>
    <w:rsid w:val="00390A6F"/>
    <w:rsid w:val="0039147D"/>
    <w:rsid w:val="00391E6F"/>
    <w:rsid w:val="00392B93"/>
    <w:rsid w:val="0039382D"/>
    <w:rsid w:val="00393BAD"/>
    <w:rsid w:val="00394238"/>
    <w:rsid w:val="00394F99"/>
    <w:rsid w:val="003962ED"/>
    <w:rsid w:val="0039646E"/>
    <w:rsid w:val="00397617"/>
    <w:rsid w:val="003A0B20"/>
    <w:rsid w:val="003A0B39"/>
    <w:rsid w:val="003A1370"/>
    <w:rsid w:val="003A2DC1"/>
    <w:rsid w:val="003A3794"/>
    <w:rsid w:val="003A496C"/>
    <w:rsid w:val="003A596D"/>
    <w:rsid w:val="003A5E32"/>
    <w:rsid w:val="003A615D"/>
    <w:rsid w:val="003A73B2"/>
    <w:rsid w:val="003A751B"/>
    <w:rsid w:val="003B02F3"/>
    <w:rsid w:val="003B24CB"/>
    <w:rsid w:val="003B2D0A"/>
    <w:rsid w:val="003B2F00"/>
    <w:rsid w:val="003B3566"/>
    <w:rsid w:val="003B533A"/>
    <w:rsid w:val="003B53D4"/>
    <w:rsid w:val="003B79D0"/>
    <w:rsid w:val="003C0D3A"/>
    <w:rsid w:val="003C127C"/>
    <w:rsid w:val="003C1FE9"/>
    <w:rsid w:val="003C310D"/>
    <w:rsid w:val="003C3382"/>
    <w:rsid w:val="003C3A1B"/>
    <w:rsid w:val="003C4AA9"/>
    <w:rsid w:val="003C5710"/>
    <w:rsid w:val="003C6651"/>
    <w:rsid w:val="003C6CEB"/>
    <w:rsid w:val="003C756E"/>
    <w:rsid w:val="003C7604"/>
    <w:rsid w:val="003D0149"/>
    <w:rsid w:val="003D0B06"/>
    <w:rsid w:val="003D0B7C"/>
    <w:rsid w:val="003D0CFE"/>
    <w:rsid w:val="003D129E"/>
    <w:rsid w:val="003D1A9E"/>
    <w:rsid w:val="003D1ADF"/>
    <w:rsid w:val="003D2200"/>
    <w:rsid w:val="003D5144"/>
    <w:rsid w:val="003D5BFC"/>
    <w:rsid w:val="003D64E8"/>
    <w:rsid w:val="003D6903"/>
    <w:rsid w:val="003D7BF2"/>
    <w:rsid w:val="003E05F1"/>
    <w:rsid w:val="003E2D11"/>
    <w:rsid w:val="003E464E"/>
    <w:rsid w:val="003E52F3"/>
    <w:rsid w:val="003E5B86"/>
    <w:rsid w:val="003E6CAD"/>
    <w:rsid w:val="003E721A"/>
    <w:rsid w:val="003E7C15"/>
    <w:rsid w:val="003F1EC9"/>
    <w:rsid w:val="003F21FB"/>
    <w:rsid w:val="003F53CE"/>
    <w:rsid w:val="003F5E6C"/>
    <w:rsid w:val="003F657C"/>
    <w:rsid w:val="003F70C2"/>
    <w:rsid w:val="003F7B69"/>
    <w:rsid w:val="003F7BED"/>
    <w:rsid w:val="003F7D7B"/>
    <w:rsid w:val="003F7F46"/>
    <w:rsid w:val="00400D82"/>
    <w:rsid w:val="004015FE"/>
    <w:rsid w:val="00401CAA"/>
    <w:rsid w:val="00403A61"/>
    <w:rsid w:val="004040BB"/>
    <w:rsid w:val="004040BE"/>
    <w:rsid w:val="0040460D"/>
    <w:rsid w:val="00404BB2"/>
    <w:rsid w:val="00406339"/>
    <w:rsid w:val="00406D77"/>
    <w:rsid w:val="0040778F"/>
    <w:rsid w:val="0041056C"/>
    <w:rsid w:val="004116A0"/>
    <w:rsid w:val="004133F3"/>
    <w:rsid w:val="00413CA7"/>
    <w:rsid w:val="0041437E"/>
    <w:rsid w:val="00414EF1"/>
    <w:rsid w:val="00415729"/>
    <w:rsid w:val="0041577F"/>
    <w:rsid w:val="00417E90"/>
    <w:rsid w:val="004205EB"/>
    <w:rsid w:val="004212A1"/>
    <w:rsid w:val="00421EB4"/>
    <w:rsid w:val="004228B5"/>
    <w:rsid w:val="004229CC"/>
    <w:rsid w:val="00422B58"/>
    <w:rsid w:val="00424A92"/>
    <w:rsid w:val="00424C13"/>
    <w:rsid w:val="00424CDB"/>
    <w:rsid w:val="00424F2A"/>
    <w:rsid w:val="00425247"/>
    <w:rsid w:val="00425AC9"/>
    <w:rsid w:val="0042611E"/>
    <w:rsid w:val="00430160"/>
    <w:rsid w:val="00430948"/>
    <w:rsid w:val="00430B68"/>
    <w:rsid w:val="00432888"/>
    <w:rsid w:val="00433EB5"/>
    <w:rsid w:val="00434999"/>
    <w:rsid w:val="004360C8"/>
    <w:rsid w:val="00437F66"/>
    <w:rsid w:val="00440AC7"/>
    <w:rsid w:val="004412C4"/>
    <w:rsid w:val="00442851"/>
    <w:rsid w:val="00442982"/>
    <w:rsid w:val="00443DC6"/>
    <w:rsid w:val="00443EEF"/>
    <w:rsid w:val="00444711"/>
    <w:rsid w:val="00444BDE"/>
    <w:rsid w:val="00446A37"/>
    <w:rsid w:val="00450A16"/>
    <w:rsid w:val="00451DC1"/>
    <w:rsid w:val="00452FAD"/>
    <w:rsid w:val="00453283"/>
    <w:rsid w:val="004537D8"/>
    <w:rsid w:val="0045420B"/>
    <w:rsid w:val="00454794"/>
    <w:rsid w:val="00454AE4"/>
    <w:rsid w:val="00454D43"/>
    <w:rsid w:val="004551C0"/>
    <w:rsid w:val="004554CA"/>
    <w:rsid w:val="00455B1D"/>
    <w:rsid w:val="00455CB2"/>
    <w:rsid w:val="00455ED2"/>
    <w:rsid w:val="00456748"/>
    <w:rsid w:val="00460505"/>
    <w:rsid w:val="00461C95"/>
    <w:rsid w:val="00461DFB"/>
    <w:rsid w:val="00465470"/>
    <w:rsid w:val="004658AD"/>
    <w:rsid w:val="004668E6"/>
    <w:rsid w:val="00467BA8"/>
    <w:rsid w:val="00470380"/>
    <w:rsid w:val="00470908"/>
    <w:rsid w:val="00471030"/>
    <w:rsid w:val="0047145B"/>
    <w:rsid w:val="00471A73"/>
    <w:rsid w:val="00472003"/>
    <w:rsid w:val="004722DB"/>
    <w:rsid w:val="004723DF"/>
    <w:rsid w:val="00473E8A"/>
    <w:rsid w:val="00475E87"/>
    <w:rsid w:val="00476170"/>
    <w:rsid w:val="0047688A"/>
    <w:rsid w:val="00476D94"/>
    <w:rsid w:val="00480066"/>
    <w:rsid w:val="00480530"/>
    <w:rsid w:val="00480605"/>
    <w:rsid w:val="00480BDD"/>
    <w:rsid w:val="00481BE7"/>
    <w:rsid w:val="00482C2D"/>
    <w:rsid w:val="0048334F"/>
    <w:rsid w:val="0048419A"/>
    <w:rsid w:val="004850D1"/>
    <w:rsid w:val="00485B17"/>
    <w:rsid w:val="00485BB4"/>
    <w:rsid w:val="00486FE0"/>
    <w:rsid w:val="004871C4"/>
    <w:rsid w:val="00487B62"/>
    <w:rsid w:val="00490249"/>
    <w:rsid w:val="00492795"/>
    <w:rsid w:val="00494425"/>
    <w:rsid w:val="00494552"/>
    <w:rsid w:val="00495BCB"/>
    <w:rsid w:val="00496702"/>
    <w:rsid w:val="00496ABD"/>
    <w:rsid w:val="00496E02"/>
    <w:rsid w:val="0049705F"/>
    <w:rsid w:val="00497727"/>
    <w:rsid w:val="004A0BA5"/>
    <w:rsid w:val="004A17B7"/>
    <w:rsid w:val="004A336D"/>
    <w:rsid w:val="004A36FE"/>
    <w:rsid w:val="004A43E5"/>
    <w:rsid w:val="004A5874"/>
    <w:rsid w:val="004A5EF0"/>
    <w:rsid w:val="004A637E"/>
    <w:rsid w:val="004A664F"/>
    <w:rsid w:val="004A6A85"/>
    <w:rsid w:val="004A6ECB"/>
    <w:rsid w:val="004B0CAE"/>
    <w:rsid w:val="004B1082"/>
    <w:rsid w:val="004B2C43"/>
    <w:rsid w:val="004B2F9B"/>
    <w:rsid w:val="004B3619"/>
    <w:rsid w:val="004B36AB"/>
    <w:rsid w:val="004B42E4"/>
    <w:rsid w:val="004B4791"/>
    <w:rsid w:val="004B4813"/>
    <w:rsid w:val="004B66FF"/>
    <w:rsid w:val="004B6FB5"/>
    <w:rsid w:val="004B73C6"/>
    <w:rsid w:val="004B75CE"/>
    <w:rsid w:val="004B7751"/>
    <w:rsid w:val="004C04F2"/>
    <w:rsid w:val="004C095B"/>
    <w:rsid w:val="004C101A"/>
    <w:rsid w:val="004C12E4"/>
    <w:rsid w:val="004C379E"/>
    <w:rsid w:val="004C3F7A"/>
    <w:rsid w:val="004C5482"/>
    <w:rsid w:val="004C5FBD"/>
    <w:rsid w:val="004D04E4"/>
    <w:rsid w:val="004D08FC"/>
    <w:rsid w:val="004D092C"/>
    <w:rsid w:val="004D2340"/>
    <w:rsid w:val="004D3AAC"/>
    <w:rsid w:val="004D447A"/>
    <w:rsid w:val="004D4904"/>
    <w:rsid w:val="004D4A67"/>
    <w:rsid w:val="004D5E82"/>
    <w:rsid w:val="004D60F4"/>
    <w:rsid w:val="004D6242"/>
    <w:rsid w:val="004D6407"/>
    <w:rsid w:val="004E01B4"/>
    <w:rsid w:val="004E029A"/>
    <w:rsid w:val="004E0C85"/>
    <w:rsid w:val="004E0D40"/>
    <w:rsid w:val="004E1C28"/>
    <w:rsid w:val="004E1C31"/>
    <w:rsid w:val="004E2A04"/>
    <w:rsid w:val="004E2AAF"/>
    <w:rsid w:val="004E306D"/>
    <w:rsid w:val="004E325A"/>
    <w:rsid w:val="004E36CE"/>
    <w:rsid w:val="004E3F41"/>
    <w:rsid w:val="004E607C"/>
    <w:rsid w:val="004E61BC"/>
    <w:rsid w:val="004E61EF"/>
    <w:rsid w:val="004E75EA"/>
    <w:rsid w:val="004E7AA8"/>
    <w:rsid w:val="004E7B1B"/>
    <w:rsid w:val="004F0B4E"/>
    <w:rsid w:val="004F1704"/>
    <w:rsid w:val="004F17FC"/>
    <w:rsid w:val="004F3F0F"/>
    <w:rsid w:val="004F44A6"/>
    <w:rsid w:val="004F5C88"/>
    <w:rsid w:val="004F5E98"/>
    <w:rsid w:val="004F61A5"/>
    <w:rsid w:val="004F7092"/>
    <w:rsid w:val="004F7F89"/>
    <w:rsid w:val="005023B9"/>
    <w:rsid w:val="00502624"/>
    <w:rsid w:val="00502921"/>
    <w:rsid w:val="00502F08"/>
    <w:rsid w:val="00503E3A"/>
    <w:rsid w:val="00504167"/>
    <w:rsid w:val="00504ADB"/>
    <w:rsid w:val="00505E67"/>
    <w:rsid w:val="00506142"/>
    <w:rsid w:val="005066C1"/>
    <w:rsid w:val="005101AA"/>
    <w:rsid w:val="00512474"/>
    <w:rsid w:val="00513073"/>
    <w:rsid w:val="00513FB7"/>
    <w:rsid w:val="00514162"/>
    <w:rsid w:val="00514507"/>
    <w:rsid w:val="00514EDF"/>
    <w:rsid w:val="0051657E"/>
    <w:rsid w:val="005203F3"/>
    <w:rsid w:val="00521BAD"/>
    <w:rsid w:val="00521CB1"/>
    <w:rsid w:val="00521EA9"/>
    <w:rsid w:val="00522860"/>
    <w:rsid w:val="00522B71"/>
    <w:rsid w:val="0052334C"/>
    <w:rsid w:val="0052364B"/>
    <w:rsid w:val="00524253"/>
    <w:rsid w:val="00524A84"/>
    <w:rsid w:val="00525325"/>
    <w:rsid w:val="0052595E"/>
    <w:rsid w:val="00526615"/>
    <w:rsid w:val="00527C19"/>
    <w:rsid w:val="00527C3A"/>
    <w:rsid w:val="005323CC"/>
    <w:rsid w:val="00532835"/>
    <w:rsid w:val="0053317A"/>
    <w:rsid w:val="00534223"/>
    <w:rsid w:val="005345C6"/>
    <w:rsid w:val="0053715D"/>
    <w:rsid w:val="00540FE7"/>
    <w:rsid w:val="005414D8"/>
    <w:rsid w:val="00541FDA"/>
    <w:rsid w:val="00542AEB"/>
    <w:rsid w:val="00543F40"/>
    <w:rsid w:val="00544169"/>
    <w:rsid w:val="00544D4F"/>
    <w:rsid w:val="00545DD8"/>
    <w:rsid w:val="005463EC"/>
    <w:rsid w:val="00546B7E"/>
    <w:rsid w:val="00547C0F"/>
    <w:rsid w:val="00547D09"/>
    <w:rsid w:val="00550306"/>
    <w:rsid w:val="005519A2"/>
    <w:rsid w:val="00551ED0"/>
    <w:rsid w:val="005522B8"/>
    <w:rsid w:val="00553096"/>
    <w:rsid w:val="00553A9F"/>
    <w:rsid w:val="0055567A"/>
    <w:rsid w:val="00555A81"/>
    <w:rsid w:val="00556BCE"/>
    <w:rsid w:val="00557195"/>
    <w:rsid w:val="005611C6"/>
    <w:rsid w:val="005617C0"/>
    <w:rsid w:val="00561E2F"/>
    <w:rsid w:val="00562187"/>
    <w:rsid w:val="005622A1"/>
    <w:rsid w:val="00563F66"/>
    <w:rsid w:val="00564538"/>
    <w:rsid w:val="0056480E"/>
    <w:rsid w:val="00564BE1"/>
    <w:rsid w:val="005676BA"/>
    <w:rsid w:val="0056789A"/>
    <w:rsid w:val="005678B9"/>
    <w:rsid w:val="005703A7"/>
    <w:rsid w:val="00570869"/>
    <w:rsid w:val="00570AB0"/>
    <w:rsid w:val="00571E4C"/>
    <w:rsid w:val="00572153"/>
    <w:rsid w:val="0057455B"/>
    <w:rsid w:val="00575801"/>
    <w:rsid w:val="005759A9"/>
    <w:rsid w:val="00575D10"/>
    <w:rsid w:val="005760C5"/>
    <w:rsid w:val="00576D56"/>
    <w:rsid w:val="00577451"/>
    <w:rsid w:val="00577704"/>
    <w:rsid w:val="00577CA8"/>
    <w:rsid w:val="005806AC"/>
    <w:rsid w:val="00580954"/>
    <w:rsid w:val="00581498"/>
    <w:rsid w:val="0058264B"/>
    <w:rsid w:val="00582A7A"/>
    <w:rsid w:val="00582D2D"/>
    <w:rsid w:val="00582FE4"/>
    <w:rsid w:val="00582FEE"/>
    <w:rsid w:val="0058354B"/>
    <w:rsid w:val="00583722"/>
    <w:rsid w:val="00584394"/>
    <w:rsid w:val="00584AC7"/>
    <w:rsid w:val="005852D0"/>
    <w:rsid w:val="005855EB"/>
    <w:rsid w:val="00587FE9"/>
    <w:rsid w:val="0059069C"/>
    <w:rsid w:val="00590916"/>
    <w:rsid w:val="005912E5"/>
    <w:rsid w:val="0059345B"/>
    <w:rsid w:val="005935F6"/>
    <w:rsid w:val="00594A26"/>
    <w:rsid w:val="00595481"/>
    <w:rsid w:val="00595EC8"/>
    <w:rsid w:val="0059725C"/>
    <w:rsid w:val="0059731E"/>
    <w:rsid w:val="00597380"/>
    <w:rsid w:val="005975A7"/>
    <w:rsid w:val="005A06AD"/>
    <w:rsid w:val="005A1F87"/>
    <w:rsid w:val="005A3F34"/>
    <w:rsid w:val="005A4E38"/>
    <w:rsid w:val="005A6C7B"/>
    <w:rsid w:val="005A739E"/>
    <w:rsid w:val="005B007E"/>
    <w:rsid w:val="005B290A"/>
    <w:rsid w:val="005B2A71"/>
    <w:rsid w:val="005B2D0E"/>
    <w:rsid w:val="005B3C75"/>
    <w:rsid w:val="005B4861"/>
    <w:rsid w:val="005B4ADD"/>
    <w:rsid w:val="005B4BB8"/>
    <w:rsid w:val="005B4E9A"/>
    <w:rsid w:val="005C0490"/>
    <w:rsid w:val="005C16EE"/>
    <w:rsid w:val="005C1C91"/>
    <w:rsid w:val="005C20A6"/>
    <w:rsid w:val="005C2946"/>
    <w:rsid w:val="005C3153"/>
    <w:rsid w:val="005C367E"/>
    <w:rsid w:val="005C399E"/>
    <w:rsid w:val="005C467A"/>
    <w:rsid w:val="005C4B43"/>
    <w:rsid w:val="005C5DAE"/>
    <w:rsid w:val="005C60F7"/>
    <w:rsid w:val="005C66F6"/>
    <w:rsid w:val="005C69FC"/>
    <w:rsid w:val="005D1300"/>
    <w:rsid w:val="005D23BC"/>
    <w:rsid w:val="005D28BA"/>
    <w:rsid w:val="005D5873"/>
    <w:rsid w:val="005D678C"/>
    <w:rsid w:val="005D6FFD"/>
    <w:rsid w:val="005D70BE"/>
    <w:rsid w:val="005D7493"/>
    <w:rsid w:val="005D76C4"/>
    <w:rsid w:val="005D7DAE"/>
    <w:rsid w:val="005E082D"/>
    <w:rsid w:val="005E0E10"/>
    <w:rsid w:val="005E2AFD"/>
    <w:rsid w:val="005E432E"/>
    <w:rsid w:val="005E4C38"/>
    <w:rsid w:val="005E54C2"/>
    <w:rsid w:val="005E62C7"/>
    <w:rsid w:val="005E64A6"/>
    <w:rsid w:val="005E696C"/>
    <w:rsid w:val="005E6B21"/>
    <w:rsid w:val="005E7122"/>
    <w:rsid w:val="005E7361"/>
    <w:rsid w:val="005E7DB0"/>
    <w:rsid w:val="005F0712"/>
    <w:rsid w:val="005F0DD1"/>
    <w:rsid w:val="005F37CF"/>
    <w:rsid w:val="005F40BD"/>
    <w:rsid w:val="005F40DB"/>
    <w:rsid w:val="005F4495"/>
    <w:rsid w:val="005F4BE1"/>
    <w:rsid w:val="005F5E47"/>
    <w:rsid w:val="005F5F65"/>
    <w:rsid w:val="005F67AD"/>
    <w:rsid w:val="005F6FE4"/>
    <w:rsid w:val="005F7E1D"/>
    <w:rsid w:val="006011C1"/>
    <w:rsid w:val="00601B28"/>
    <w:rsid w:val="00602E7E"/>
    <w:rsid w:val="006030EE"/>
    <w:rsid w:val="0060381D"/>
    <w:rsid w:val="00604AD8"/>
    <w:rsid w:val="00604FE6"/>
    <w:rsid w:val="00607B05"/>
    <w:rsid w:val="00607C28"/>
    <w:rsid w:val="00612419"/>
    <w:rsid w:val="00612A06"/>
    <w:rsid w:val="00612AE7"/>
    <w:rsid w:val="00612B63"/>
    <w:rsid w:val="00612EC2"/>
    <w:rsid w:val="006143D1"/>
    <w:rsid w:val="0061440A"/>
    <w:rsid w:val="00614E2F"/>
    <w:rsid w:val="00615239"/>
    <w:rsid w:val="0061579B"/>
    <w:rsid w:val="00615F94"/>
    <w:rsid w:val="0061660C"/>
    <w:rsid w:val="00616C1F"/>
    <w:rsid w:val="00617237"/>
    <w:rsid w:val="006202DE"/>
    <w:rsid w:val="00620425"/>
    <w:rsid w:val="00620584"/>
    <w:rsid w:val="00620820"/>
    <w:rsid w:val="00621F91"/>
    <w:rsid w:val="00622A66"/>
    <w:rsid w:val="0062374B"/>
    <w:rsid w:val="006243A8"/>
    <w:rsid w:val="0062457E"/>
    <w:rsid w:val="00625481"/>
    <w:rsid w:val="00625D1A"/>
    <w:rsid w:val="0062624A"/>
    <w:rsid w:val="00626C06"/>
    <w:rsid w:val="00627226"/>
    <w:rsid w:val="0063055C"/>
    <w:rsid w:val="006306CB"/>
    <w:rsid w:val="00630782"/>
    <w:rsid w:val="00630E81"/>
    <w:rsid w:val="0063105D"/>
    <w:rsid w:val="00632565"/>
    <w:rsid w:val="00633472"/>
    <w:rsid w:val="00634035"/>
    <w:rsid w:val="0063404C"/>
    <w:rsid w:val="00634488"/>
    <w:rsid w:val="0063451B"/>
    <w:rsid w:val="0063563A"/>
    <w:rsid w:val="00635C21"/>
    <w:rsid w:val="00635E7B"/>
    <w:rsid w:val="00635ED9"/>
    <w:rsid w:val="00636737"/>
    <w:rsid w:val="006413E2"/>
    <w:rsid w:val="006416CC"/>
    <w:rsid w:val="00642C1E"/>
    <w:rsid w:val="00642D92"/>
    <w:rsid w:val="00643011"/>
    <w:rsid w:val="006435FD"/>
    <w:rsid w:val="00643A45"/>
    <w:rsid w:val="00644DBD"/>
    <w:rsid w:val="006450DE"/>
    <w:rsid w:val="0064552B"/>
    <w:rsid w:val="006457AA"/>
    <w:rsid w:val="00646B6E"/>
    <w:rsid w:val="00646D31"/>
    <w:rsid w:val="00647EDD"/>
    <w:rsid w:val="00651477"/>
    <w:rsid w:val="006536DB"/>
    <w:rsid w:val="0065378B"/>
    <w:rsid w:val="00653A02"/>
    <w:rsid w:val="00654043"/>
    <w:rsid w:val="006547B8"/>
    <w:rsid w:val="00655032"/>
    <w:rsid w:val="006554B2"/>
    <w:rsid w:val="00655B0E"/>
    <w:rsid w:val="00655D86"/>
    <w:rsid w:val="00656ECF"/>
    <w:rsid w:val="006573AE"/>
    <w:rsid w:val="006576B3"/>
    <w:rsid w:val="00657CA4"/>
    <w:rsid w:val="00660C13"/>
    <w:rsid w:val="00661680"/>
    <w:rsid w:val="006622B3"/>
    <w:rsid w:val="00662481"/>
    <w:rsid w:val="00663009"/>
    <w:rsid w:val="0066552A"/>
    <w:rsid w:val="006656FA"/>
    <w:rsid w:val="0066572A"/>
    <w:rsid w:val="00665AF6"/>
    <w:rsid w:val="00665AFB"/>
    <w:rsid w:val="006666A8"/>
    <w:rsid w:val="00666B25"/>
    <w:rsid w:val="00667E5A"/>
    <w:rsid w:val="006718CF"/>
    <w:rsid w:val="00673057"/>
    <w:rsid w:val="00673FEA"/>
    <w:rsid w:val="00674BD5"/>
    <w:rsid w:val="0067519C"/>
    <w:rsid w:val="006769DB"/>
    <w:rsid w:val="00676C52"/>
    <w:rsid w:val="0067767A"/>
    <w:rsid w:val="006808B4"/>
    <w:rsid w:val="00681ED8"/>
    <w:rsid w:val="00682834"/>
    <w:rsid w:val="00682E4D"/>
    <w:rsid w:val="00683428"/>
    <w:rsid w:val="006836F2"/>
    <w:rsid w:val="00683BE3"/>
    <w:rsid w:val="0068490D"/>
    <w:rsid w:val="00684963"/>
    <w:rsid w:val="00684C14"/>
    <w:rsid w:val="00684F4A"/>
    <w:rsid w:val="0068545B"/>
    <w:rsid w:val="006865D3"/>
    <w:rsid w:val="00686A81"/>
    <w:rsid w:val="0069039D"/>
    <w:rsid w:val="006909C9"/>
    <w:rsid w:val="00691E1F"/>
    <w:rsid w:val="0069260D"/>
    <w:rsid w:val="00693A99"/>
    <w:rsid w:val="00693B2D"/>
    <w:rsid w:val="006955CE"/>
    <w:rsid w:val="006965C1"/>
    <w:rsid w:val="00696F8E"/>
    <w:rsid w:val="0069715E"/>
    <w:rsid w:val="006971EC"/>
    <w:rsid w:val="00697565"/>
    <w:rsid w:val="006A078D"/>
    <w:rsid w:val="006A0D52"/>
    <w:rsid w:val="006A0FB4"/>
    <w:rsid w:val="006A3104"/>
    <w:rsid w:val="006A4359"/>
    <w:rsid w:val="006A50B8"/>
    <w:rsid w:val="006A763F"/>
    <w:rsid w:val="006A7C26"/>
    <w:rsid w:val="006B01B2"/>
    <w:rsid w:val="006B032A"/>
    <w:rsid w:val="006B0445"/>
    <w:rsid w:val="006B0A17"/>
    <w:rsid w:val="006B12C4"/>
    <w:rsid w:val="006B170A"/>
    <w:rsid w:val="006B178F"/>
    <w:rsid w:val="006B32C0"/>
    <w:rsid w:val="006B3841"/>
    <w:rsid w:val="006B39EE"/>
    <w:rsid w:val="006B3BFE"/>
    <w:rsid w:val="006B41D2"/>
    <w:rsid w:val="006B66A4"/>
    <w:rsid w:val="006B68F2"/>
    <w:rsid w:val="006B6B60"/>
    <w:rsid w:val="006B7182"/>
    <w:rsid w:val="006B7EE0"/>
    <w:rsid w:val="006C0733"/>
    <w:rsid w:val="006C08B3"/>
    <w:rsid w:val="006C0D2B"/>
    <w:rsid w:val="006C3715"/>
    <w:rsid w:val="006C3DE9"/>
    <w:rsid w:val="006C4FC7"/>
    <w:rsid w:val="006C4FE0"/>
    <w:rsid w:val="006C7130"/>
    <w:rsid w:val="006C7B30"/>
    <w:rsid w:val="006D1D9C"/>
    <w:rsid w:val="006D3639"/>
    <w:rsid w:val="006D43F0"/>
    <w:rsid w:val="006D5B05"/>
    <w:rsid w:val="006D69EC"/>
    <w:rsid w:val="006D75EF"/>
    <w:rsid w:val="006D7B6F"/>
    <w:rsid w:val="006E0236"/>
    <w:rsid w:val="006E06C6"/>
    <w:rsid w:val="006E1155"/>
    <w:rsid w:val="006E2010"/>
    <w:rsid w:val="006E2109"/>
    <w:rsid w:val="006E3D96"/>
    <w:rsid w:val="006E425E"/>
    <w:rsid w:val="006E4486"/>
    <w:rsid w:val="006E4500"/>
    <w:rsid w:val="006E46FE"/>
    <w:rsid w:val="006E5464"/>
    <w:rsid w:val="006E6017"/>
    <w:rsid w:val="006E612A"/>
    <w:rsid w:val="006E6D82"/>
    <w:rsid w:val="006F0137"/>
    <w:rsid w:val="006F0708"/>
    <w:rsid w:val="006F0F3E"/>
    <w:rsid w:val="006F1178"/>
    <w:rsid w:val="006F1744"/>
    <w:rsid w:val="006F1E3B"/>
    <w:rsid w:val="006F38A7"/>
    <w:rsid w:val="006F3972"/>
    <w:rsid w:val="006F46AB"/>
    <w:rsid w:val="006F4D0A"/>
    <w:rsid w:val="006F4DAA"/>
    <w:rsid w:val="006F5168"/>
    <w:rsid w:val="006F51D9"/>
    <w:rsid w:val="006F54A1"/>
    <w:rsid w:val="006F714C"/>
    <w:rsid w:val="006F7BC7"/>
    <w:rsid w:val="00700621"/>
    <w:rsid w:val="007006D0"/>
    <w:rsid w:val="00700D35"/>
    <w:rsid w:val="007012F0"/>
    <w:rsid w:val="00701FE4"/>
    <w:rsid w:val="00702F62"/>
    <w:rsid w:val="007030D6"/>
    <w:rsid w:val="007058AE"/>
    <w:rsid w:val="007062CC"/>
    <w:rsid w:val="00706C1B"/>
    <w:rsid w:val="00710627"/>
    <w:rsid w:val="00710AA6"/>
    <w:rsid w:val="0071185D"/>
    <w:rsid w:val="00712BA7"/>
    <w:rsid w:val="0071413B"/>
    <w:rsid w:val="00714BDB"/>
    <w:rsid w:val="0072172E"/>
    <w:rsid w:val="00721D76"/>
    <w:rsid w:val="00721DE0"/>
    <w:rsid w:val="0072443B"/>
    <w:rsid w:val="00725C7A"/>
    <w:rsid w:val="00725E2F"/>
    <w:rsid w:val="007260F0"/>
    <w:rsid w:val="00727419"/>
    <w:rsid w:val="00730A7F"/>
    <w:rsid w:val="00730D08"/>
    <w:rsid w:val="0073106B"/>
    <w:rsid w:val="00733227"/>
    <w:rsid w:val="00733C23"/>
    <w:rsid w:val="00736A8C"/>
    <w:rsid w:val="00736EFF"/>
    <w:rsid w:val="00737950"/>
    <w:rsid w:val="00737CAA"/>
    <w:rsid w:val="00737E1B"/>
    <w:rsid w:val="007400FF"/>
    <w:rsid w:val="0074015C"/>
    <w:rsid w:val="00740C90"/>
    <w:rsid w:val="00741B4F"/>
    <w:rsid w:val="007423FF"/>
    <w:rsid w:val="00743F07"/>
    <w:rsid w:val="00744193"/>
    <w:rsid w:val="0074434E"/>
    <w:rsid w:val="00745001"/>
    <w:rsid w:val="00745B05"/>
    <w:rsid w:val="00745C2E"/>
    <w:rsid w:val="00747129"/>
    <w:rsid w:val="00747225"/>
    <w:rsid w:val="00747453"/>
    <w:rsid w:val="00747C31"/>
    <w:rsid w:val="00747DBB"/>
    <w:rsid w:val="00747DCC"/>
    <w:rsid w:val="00750028"/>
    <w:rsid w:val="00750991"/>
    <w:rsid w:val="007512CB"/>
    <w:rsid w:val="00752428"/>
    <w:rsid w:val="007526F8"/>
    <w:rsid w:val="007529D6"/>
    <w:rsid w:val="00753C86"/>
    <w:rsid w:val="00753EC6"/>
    <w:rsid w:val="00754430"/>
    <w:rsid w:val="0075552E"/>
    <w:rsid w:val="00755541"/>
    <w:rsid w:val="007560CE"/>
    <w:rsid w:val="00757888"/>
    <w:rsid w:val="00757DE9"/>
    <w:rsid w:val="007603ED"/>
    <w:rsid w:val="00760912"/>
    <w:rsid w:val="00760E1F"/>
    <w:rsid w:val="00760F4A"/>
    <w:rsid w:val="0076153F"/>
    <w:rsid w:val="00761633"/>
    <w:rsid w:val="00761837"/>
    <w:rsid w:val="00764A5C"/>
    <w:rsid w:val="00765D4A"/>
    <w:rsid w:val="00767D0C"/>
    <w:rsid w:val="00770D4B"/>
    <w:rsid w:val="007713AD"/>
    <w:rsid w:val="007713FD"/>
    <w:rsid w:val="00772CDD"/>
    <w:rsid w:val="00772FE7"/>
    <w:rsid w:val="0077334A"/>
    <w:rsid w:val="00773818"/>
    <w:rsid w:val="00774C4D"/>
    <w:rsid w:val="00774C7C"/>
    <w:rsid w:val="00775807"/>
    <w:rsid w:val="007759D7"/>
    <w:rsid w:val="00776746"/>
    <w:rsid w:val="00776A07"/>
    <w:rsid w:val="00777F57"/>
    <w:rsid w:val="00780C07"/>
    <w:rsid w:val="007823D8"/>
    <w:rsid w:val="007834CE"/>
    <w:rsid w:val="007837D1"/>
    <w:rsid w:val="00783EAB"/>
    <w:rsid w:val="0078448A"/>
    <w:rsid w:val="007848E0"/>
    <w:rsid w:val="00784AA6"/>
    <w:rsid w:val="00785DA6"/>
    <w:rsid w:val="00786592"/>
    <w:rsid w:val="00786BF8"/>
    <w:rsid w:val="00787D1E"/>
    <w:rsid w:val="007902FC"/>
    <w:rsid w:val="00790954"/>
    <w:rsid w:val="00791800"/>
    <w:rsid w:val="00791D67"/>
    <w:rsid w:val="0079304C"/>
    <w:rsid w:val="0079317B"/>
    <w:rsid w:val="0079544F"/>
    <w:rsid w:val="00795456"/>
    <w:rsid w:val="007959CA"/>
    <w:rsid w:val="00795A6B"/>
    <w:rsid w:val="00795EED"/>
    <w:rsid w:val="00795F6C"/>
    <w:rsid w:val="00796209"/>
    <w:rsid w:val="007973AD"/>
    <w:rsid w:val="007A02BB"/>
    <w:rsid w:val="007A09FF"/>
    <w:rsid w:val="007A0A6A"/>
    <w:rsid w:val="007A0CBA"/>
    <w:rsid w:val="007A0DFB"/>
    <w:rsid w:val="007A1488"/>
    <w:rsid w:val="007A14C0"/>
    <w:rsid w:val="007A257A"/>
    <w:rsid w:val="007A2F62"/>
    <w:rsid w:val="007A4E7B"/>
    <w:rsid w:val="007A60B0"/>
    <w:rsid w:val="007A63C9"/>
    <w:rsid w:val="007A77CA"/>
    <w:rsid w:val="007B0640"/>
    <w:rsid w:val="007B1063"/>
    <w:rsid w:val="007B14C2"/>
    <w:rsid w:val="007B1A0F"/>
    <w:rsid w:val="007B1BB3"/>
    <w:rsid w:val="007B1D4A"/>
    <w:rsid w:val="007B52A5"/>
    <w:rsid w:val="007B52F2"/>
    <w:rsid w:val="007B537A"/>
    <w:rsid w:val="007B5C5D"/>
    <w:rsid w:val="007B5D19"/>
    <w:rsid w:val="007B61B4"/>
    <w:rsid w:val="007B6579"/>
    <w:rsid w:val="007C04E8"/>
    <w:rsid w:val="007C115C"/>
    <w:rsid w:val="007C283A"/>
    <w:rsid w:val="007C29BD"/>
    <w:rsid w:val="007C52D8"/>
    <w:rsid w:val="007C5B9A"/>
    <w:rsid w:val="007C61C4"/>
    <w:rsid w:val="007C746F"/>
    <w:rsid w:val="007D0440"/>
    <w:rsid w:val="007D0D11"/>
    <w:rsid w:val="007D1B0A"/>
    <w:rsid w:val="007D1D18"/>
    <w:rsid w:val="007D1DD2"/>
    <w:rsid w:val="007D2258"/>
    <w:rsid w:val="007D2C27"/>
    <w:rsid w:val="007D3273"/>
    <w:rsid w:val="007D523A"/>
    <w:rsid w:val="007D5333"/>
    <w:rsid w:val="007D7620"/>
    <w:rsid w:val="007D7736"/>
    <w:rsid w:val="007E117B"/>
    <w:rsid w:val="007E16AD"/>
    <w:rsid w:val="007E1808"/>
    <w:rsid w:val="007E1DBA"/>
    <w:rsid w:val="007E1F52"/>
    <w:rsid w:val="007E2BB2"/>
    <w:rsid w:val="007E2E75"/>
    <w:rsid w:val="007E416D"/>
    <w:rsid w:val="007E430A"/>
    <w:rsid w:val="007E43E6"/>
    <w:rsid w:val="007E5AC5"/>
    <w:rsid w:val="007E62C8"/>
    <w:rsid w:val="007E6C5E"/>
    <w:rsid w:val="007E6FE0"/>
    <w:rsid w:val="007E788A"/>
    <w:rsid w:val="007E78AB"/>
    <w:rsid w:val="007E7925"/>
    <w:rsid w:val="007E799F"/>
    <w:rsid w:val="007E7A83"/>
    <w:rsid w:val="007E7F07"/>
    <w:rsid w:val="007F0DC1"/>
    <w:rsid w:val="007F0E09"/>
    <w:rsid w:val="007F10F4"/>
    <w:rsid w:val="007F18F8"/>
    <w:rsid w:val="007F26E0"/>
    <w:rsid w:val="007F3413"/>
    <w:rsid w:val="007F47B8"/>
    <w:rsid w:val="007F5262"/>
    <w:rsid w:val="007F65E0"/>
    <w:rsid w:val="007F6745"/>
    <w:rsid w:val="007F7C69"/>
    <w:rsid w:val="00800F3E"/>
    <w:rsid w:val="00800F56"/>
    <w:rsid w:val="0080275C"/>
    <w:rsid w:val="00802974"/>
    <w:rsid w:val="00802F0B"/>
    <w:rsid w:val="00803350"/>
    <w:rsid w:val="008040CD"/>
    <w:rsid w:val="00804331"/>
    <w:rsid w:val="008044F0"/>
    <w:rsid w:val="00804D0F"/>
    <w:rsid w:val="00804F0C"/>
    <w:rsid w:val="00806553"/>
    <w:rsid w:val="00807891"/>
    <w:rsid w:val="0081008E"/>
    <w:rsid w:val="00810308"/>
    <w:rsid w:val="0081167D"/>
    <w:rsid w:val="008119DD"/>
    <w:rsid w:val="008125E0"/>
    <w:rsid w:val="00812EE9"/>
    <w:rsid w:val="008138D3"/>
    <w:rsid w:val="00814341"/>
    <w:rsid w:val="008146BF"/>
    <w:rsid w:val="00815179"/>
    <w:rsid w:val="008154BF"/>
    <w:rsid w:val="008157F8"/>
    <w:rsid w:val="00816010"/>
    <w:rsid w:val="0081626C"/>
    <w:rsid w:val="00816D80"/>
    <w:rsid w:val="00817019"/>
    <w:rsid w:val="008172DF"/>
    <w:rsid w:val="00820009"/>
    <w:rsid w:val="00821DC3"/>
    <w:rsid w:val="00822538"/>
    <w:rsid w:val="00823114"/>
    <w:rsid w:val="0082365D"/>
    <w:rsid w:val="00823D63"/>
    <w:rsid w:val="008250A7"/>
    <w:rsid w:val="008252F7"/>
    <w:rsid w:val="00825906"/>
    <w:rsid w:val="00827514"/>
    <w:rsid w:val="00827828"/>
    <w:rsid w:val="008278AE"/>
    <w:rsid w:val="00830104"/>
    <w:rsid w:val="00830146"/>
    <w:rsid w:val="008304B1"/>
    <w:rsid w:val="00830926"/>
    <w:rsid w:val="00831D1E"/>
    <w:rsid w:val="00832613"/>
    <w:rsid w:val="00832D28"/>
    <w:rsid w:val="008332AB"/>
    <w:rsid w:val="0083362B"/>
    <w:rsid w:val="00833785"/>
    <w:rsid w:val="00833924"/>
    <w:rsid w:val="008339DE"/>
    <w:rsid w:val="00834A6D"/>
    <w:rsid w:val="008353BE"/>
    <w:rsid w:val="0083589B"/>
    <w:rsid w:val="00835E17"/>
    <w:rsid w:val="00835F06"/>
    <w:rsid w:val="00836C01"/>
    <w:rsid w:val="00841492"/>
    <w:rsid w:val="008428CC"/>
    <w:rsid w:val="00842B9F"/>
    <w:rsid w:val="00842E25"/>
    <w:rsid w:val="00842EFB"/>
    <w:rsid w:val="0084334C"/>
    <w:rsid w:val="0084556A"/>
    <w:rsid w:val="00845A61"/>
    <w:rsid w:val="00846E18"/>
    <w:rsid w:val="00846FA6"/>
    <w:rsid w:val="00847F0C"/>
    <w:rsid w:val="00850BDB"/>
    <w:rsid w:val="0085183A"/>
    <w:rsid w:val="00852764"/>
    <w:rsid w:val="00852C97"/>
    <w:rsid w:val="00852D68"/>
    <w:rsid w:val="00853380"/>
    <w:rsid w:val="00853F19"/>
    <w:rsid w:val="008547AD"/>
    <w:rsid w:val="008549FD"/>
    <w:rsid w:val="00854E56"/>
    <w:rsid w:val="008556AE"/>
    <w:rsid w:val="00855739"/>
    <w:rsid w:val="008564BC"/>
    <w:rsid w:val="00856629"/>
    <w:rsid w:val="00857A6A"/>
    <w:rsid w:val="00857D3C"/>
    <w:rsid w:val="0086009F"/>
    <w:rsid w:val="0086078C"/>
    <w:rsid w:val="00860F6D"/>
    <w:rsid w:val="00860F81"/>
    <w:rsid w:val="008616BD"/>
    <w:rsid w:val="008627E2"/>
    <w:rsid w:val="0086325D"/>
    <w:rsid w:val="00863A35"/>
    <w:rsid w:val="00863E49"/>
    <w:rsid w:val="00864766"/>
    <w:rsid w:val="00864F61"/>
    <w:rsid w:val="00865E26"/>
    <w:rsid w:val="008663FF"/>
    <w:rsid w:val="0086682B"/>
    <w:rsid w:val="008671E9"/>
    <w:rsid w:val="008673F5"/>
    <w:rsid w:val="00870136"/>
    <w:rsid w:val="00870A89"/>
    <w:rsid w:val="00870AA8"/>
    <w:rsid w:val="00870BCB"/>
    <w:rsid w:val="008715BC"/>
    <w:rsid w:val="00874575"/>
    <w:rsid w:val="00875CFD"/>
    <w:rsid w:val="00880AA3"/>
    <w:rsid w:val="008810BC"/>
    <w:rsid w:val="008813D6"/>
    <w:rsid w:val="0088190D"/>
    <w:rsid w:val="00883367"/>
    <w:rsid w:val="00883B5B"/>
    <w:rsid w:val="00884A48"/>
    <w:rsid w:val="0088576A"/>
    <w:rsid w:val="0088585E"/>
    <w:rsid w:val="00885F49"/>
    <w:rsid w:val="008867D9"/>
    <w:rsid w:val="00886F15"/>
    <w:rsid w:val="00890840"/>
    <w:rsid w:val="008909D5"/>
    <w:rsid w:val="00890B85"/>
    <w:rsid w:val="00890C70"/>
    <w:rsid w:val="00890E47"/>
    <w:rsid w:val="00890FE7"/>
    <w:rsid w:val="008913DD"/>
    <w:rsid w:val="0089179F"/>
    <w:rsid w:val="00891FDC"/>
    <w:rsid w:val="00893CC4"/>
    <w:rsid w:val="008940A1"/>
    <w:rsid w:val="00894175"/>
    <w:rsid w:val="00894EB2"/>
    <w:rsid w:val="00895E10"/>
    <w:rsid w:val="00896593"/>
    <w:rsid w:val="00896784"/>
    <w:rsid w:val="00896B38"/>
    <w:rsid w:val="00897F42"/>
    <w:rsid w:val="008A05B9"/>
    <w:rsid w:val="008A07FF"/>
    <w:rsid w:val="008A1230"/>
    <w:rsid w:val="008A14CE"/>
    <w:rsid w:val="008A18D0"/>
    <w:rsid w:val="008A3B87"/>
    <w:rsid w:val="008A4E39"/>
    <w:rsid w:val="008A5A94"/>
    <w:rsid w:val="008A6762"/>
    <w:rsid w:val="008A7167"/>
    <w:rsid w:val="008B1496"/>
    <w:rsid w:val="008B1B8E"/>
    <w:rsid w:val="008B294E"/>
    <w:rsid w:val="008B2C93"/>
    <w:rsid w:val="008B30A7"/>
    <w:rsid w:val="008B3A00"/>
    <w:rsid w:val="008B5B04"/>
    <w:rsid w:val="008B77FC"/>
    <w:rsid w:val="008C0139"/>
    <w:rsid w:val="008C07EB"/>
    <w:rsid w:val="008C0D34"/>
    <w:rsid w:val="008C107E"/>
    <w:rsid w:val="008C2576"/>
    <w:rsid w:val="008C2738"/>
    <w:rsid w:val="008C34DA"/>
    <w:rsid w:val="008C357C"/>
    <w:rsid w:val="008C39EC"/>
    <w:rsid w:val="008C59CC"/>
    <w:rsid w:val="008C5B8F"/>
    <w:rsid w:val="008C7048"/>
    <w:rsid w:val="008C7F39"/>
    <w:rsid w:val="008D1DD0"/>
    <w:rsid w:val="008D3445"/>
    <w:rsid w:val="008D504F"/>
    <w:rsid w:val="008D759B"/>
    <w:rsid w:val="008D7925"/>
    <w:rsid w:val="008E06E8"/>
    <w:rsid w:val="008E2247"/>
    <w:rsid w:val="008E25F3"/>
    <w:rsid w:val="008E26B1"/>
    <w:rsid w:val="008E2DD4"/>
    <w:rsid w:val="008E403F"/>
    <w:rsid w:val="008E4109"/>
    <w:rsid w:val="008E4291"/>
    <w:rsid w:val="008E4781"/>
    <w:rsid w:val="008E50AA"/>
    <w:rsid w:val="008E566E"/>
    <w:rsid w:val="008E584C"/>
    <w:rsid w:val="008E644F"/>
    <w:rsid w:val="008E6615"/>
    <w:rsid w:val="008E7083"/>
    <w:rsid w:val="008F07F1"/>
    <w:rsid w:val="008F162F"/>
    <w:rsid w:val="008F19DC"/>
    <w:rsid w:val="008F414F"/>
    <w:rsid w:val="008F462F"/>
    <w:rsid w:val="008F5B62"/>
    <w:rsid w:val="008F5C9D"/>
    <w:rsid w:val="008F73C8"/>
    <w:rsid w:val="00900B80"/>
    <w:rsid w:val="00900D22"/>
    <w:rsid w:val="00900E86"/>
    <w:rsid w:val="00901319"/>
    <w:rsid w:val="00901BDD"/>
    <w:rsid w:val="009028A0"/>
    <w:rsid w:val="00903090"/>
    <w:rsid w:val="00903911"/>
    <w:rsid w:val="00903AF6"/>
    <w:rsid w:val="00905BF6"/>
    <w:rsid w:val="00905CDB"/>
    <w:rsid w:val="009063B8"/>
    <w:rsid w:val="009067E9"/>
    <w:rsid w:val="00906862"/>
    <w:rsid w:val="00906F6B"/>
    <w:rsid w:val="00907EE8"/>
    <w:rsid w:val="00911645"/>
    <w:rsid w:val="00911FB2"/>
    <w:rsid w:val="009133FB"/>
    <w:rsid w:val="00914404"/>
    <w:rsid w:val="009151F6"/>
    <w:rsid w:val="00917136"/>
    <w:rsid w:val="00920F56"/>
    <w:rsid w:val="00921D0C"/>
    <w:rsid w:val="0092221E"/>
    <w:rsid w:val="00923DEA"/>
    <w:rsid w:val="009242BD"/>
    <w:rsid w:val="00925061"/>
    <w:rsid w:val="009259C5"/>
    <w:rsid w:val="00925D03"/>
    <w:rsid w:val="00926835"/>
    <w:rsid w:val="009268B2"/>
    <w:rsid w:val="00926AAA"/>
    <w:rsid w:val="00927485"/>
    <w:rsid w:val="00927AB7"/>
    <w:rsid w:val="0093133F"/>
    <w:rsid w:val="0093164B"/>
    <w:rsid w:val="009337B9"/>
    <w:rsid w:val="009338B1"/>
    <w:rsid w:val="00937125"/>
    <w:rsid w:val="00940C10"/>
    <w:rsid w:val="00941BE7"/>
    <w:rsid w:val="00942017"/>
    <w:rsid w:val="009423C6"/>
    <w:rsid w:val="00942523"/>
    <w:rsid w:val="00942A8D"/>
    <w:rsid w:val="00942B8E"/>
    <w:rsid w:val="00943406"/>
    <w:rsid w:val="00943F70"/>
    <w:rsid w:val="009454F3"/>
    <w:rsid w:val="00946F2F"/>
    <w:rsid w:val="00947935"/>
    <w:rsid w:val="00947C83"/>
    <w:rsid w:val="00951166"/>
    <w:rsid w:val="0095190A"/>
    <w:rsid w:val="00951D8F"/>
    <w:rsid w:val="0095227E"/>
    <w:rsid w:val="009529E3"/>
    <w:rsid w:val="00952F35"/>
    <w:rsid w:val="009555D6"/>
    <w:rsid w:val="009557DD"/>
    <w:rsid w:val="00956BFA"/>
    <w:rsid w:val="00957DFF"/>
    <w:rsid w:val="00960213"/>
    <w:rsid w:val="009610F0"/>
    <w:rsid w:val="00961977"/>
    <w:rsid w:val="00961D64"/>
    <w:rsid w:val="00962401"/>
    <w:rsid w:val="00962590"/>
    <w:rsid w:val="0096268E"/>
    <w:rsid w:val="00962B1F"/>
    <w:rsid w:val="00963875"/>
    <w:rsid w:val="00963C97"/>
    <w:rsid w:val="00963CA1"/>
    <w:rsid w:val="0096445C"/>
    <w:rsid w:val="00964858"/>
    <w:rsid w:val="009648B3"/>
    <w:rsid w:val="00964A8D"/>
    <w:rsid w:val="00965D4C"/>
    <w:rsid w:val="00965D86"/>
    <w:rsid w:val="0096625F"/>
    <w:rsid w:val="00966D84"/>
    <w:rsid w:val="009678E4"/>
    <w:rsid w:val="009679D0"/>
    <w:rsid w:val="009679E7"/>
    <w:rsid w:val="009704DD"/>
    <w:rsid w:val="00970FAE"/>
    <w:rsid w:val="009717FF"/>
    <w:rsid w:val="00971981"/>
    <w:rsid w:val="00973F2D"/>
    <w:rsid w:val="009756A4"/>
    <w:rsid w:val="009759C5"/>
    <w:rsid w:val="00975A53"/>
    <w:rsid w:val="00976510"/>
    <w:rsid w:val="00976904"/>
    <w:rsid w:val="00976AE0"/>
    <w:rsid w:val="0097707B"/>
    <w:rsid w:val="009770A9"/>
    <w:rsid w:val="009771E2"/>
    <w:rsid w:val="00977639"/>
    <w:rsid w:val="0097794F"/>
    <w:rsid w:val="00977E21"/>
    <w:rsid w:val="00980C1E"/>
    <w:rsid w:val="00981BD1"/>
    <w:rsid w:val="00981DB3"/>
    <w:rsid w:val="0098306C"/>
    <w:rsid w:val="0098525B"/>
    <w:rsid w:val="00985562"/>
    <w:rsid w:val="00985D42"/>
    <w:rsid w:val="00986133"/>
    <w:rsid w:val="00987C77"/>
    <w:rsid w:val="0099010D"/>
    <w:rsid w:val="0099017D"/>
    <w:rsid w:val="0099025B"/>
    <w:rsid w:val="009905C1"/>
    <w:rsid w:val="0099155A"/>
    <w:rsid w:val="0099168E"/>
    <w:rsid w:val="0099254D"/>
    <w:rsid w:val="00992E1A"/>
    <w:rsid w:val="0099394C"/>
    <w:rsid w:val="00994EE7"/>
    <w:rsid w:val="00995CC3"/>
    <w:rsid w:val="00996EE5"/>
    <w:rsid w:val="00997046"/>
    <w:rsid w:val="009973E8"/>
    <w:rsid w:val="00997BD1"/>
    <w:rsid w:val="009A0184"/>
    <w:rsid w:val="009A09F0"/>
    <w:rsid w:val="009A14F8"/>
    <w:rsid w:val="009A1A05"/>
    <w:rsid w:val="009A1AF0"/>
    <w:rsid w:val="009A3CAF"/>
    <w:rsid w:val="009A4204"/>
    <w:rsid w:val="009A5672"/>
    <w:rsid w:val="009A5E0C"/>
    <w:rsid w:val="009B0278"/>
    <w:rsid w:val="009B0964"/>
    <w:rsid w:val="009B0CE6"/>
    <w:rsid w:val="009B200C"/>
    <w:rsid w:val="009B3CF2"/>
    <w:rsid w:val="009B48AE"/>
    <w:rsid w:val="009B5593"/>
    <w:rsid w:val="009B5952"/>
    <w:rsid w:val="009B5F03"/>
    <w:rsid w:val="009B6449"/>
    <w:rsid w:val="009C0754"/>
    <w:rsid w:val="009C36CF"/>
    <w:rsid w:val="009C3F49"/>
    <w:rsid w:val="009C4A11"/>
    <w:rsid w:val="009C4DEC"/>
    <w:rsid w:val="009C600C"/>
    <w:rsid w:val="009C659A"/>
    <w:rsid w:val="009C727A"/>
    <w:rsid w:val="009C7B80"/>
    <w:rsid w:val="009D008C"/>
    <w:rsid w:val="009D0233"/>
    <w:rsid w:val="009D077A"/>
    <w:rsid w:val="009D1533"/>
    <w:rsid w:val="009D2710"/>
    <w:rsid w:val="009D2FCD"/>
    <w:rsid w:val="009D4137"/>
    <w:rsid w:val="009D482B"/>
    <w:rsid w:val="009E0FFE"/>
    <w:rsid w:val="009E14DC"/>
    <w:rsid w:val="009E2495"/>
    <w:rsid w:val="009E2BDD"/>
    <w:rsid w:val="009E3F04"/>
    <w:rsid w:val="009E51A4"/>
    <w:rsid w:val="009E5CB1"/>
    <w:rsid w:val="009E5F93"/>
    <w:rsid w:val="009E6C0D"/>
    <w:rsid w:val="009E6E11"/>
    <w:rsid w:val="009E6EB2"/>
    <w:rsid w:val="009F0ECB"/>
    <w:rsid w:val="009F117A"/>
    <w:rsid w:val="009F21C7"/>
    <w:rsid w:val="009F29E9"/>
    <w:rsid w:val="009F2A4B"/>
    <w:rsid w:val="009F3825"/>
    <w:rsid w:val="009F3AD7"/>
    <w:rsid w:val="009F3E66"/>
    <w:rsid w:val="009F44B9"/>
    <w:rsid w:val="009F46C0"/>
    <w:rsid w:val="009F4A18"/>
    <w:rsid w:val="009F50F7"/>
    <w:rsid w:val="009F5FC4"/>
    <w:rsid w:val="009F683F"/>
    <w:rsid w:val="009F780C"/>
    <w:rsid w:val="009F7956"/>
    <w:rsid w:val="00A015A5"/>
    <w:rsid w:val="00A016B1"/>
    <w:rsid w:val="00A01DB0"/>
    <w:rsid w:val="00A022A8"/>
    <w:rsid w:val="00A02850"/>
    <w:rsid w:val="00A029D9"/>
    <w:rsid w:val="00A02E6F"/>
    <w:rsid w:val="00A02F6D"/>
    <w:rsid w:val="00A04D11"/>
    <w:rsid w:val="00A076DB"/>
    <w:rsid w:val="00A07C36"/>
    <w:rsid w:val="00A10922"/>
    <w:rsid w:val="00A10F7A"/>
    <w:rsid w:val="00A1136F"/>
    <w:rsid w:val="00A122C4"/>
    <w:rsid w:val="00A1284D"/>
    <w:rsid w:val="00A12B97"/>
    <w:rsid w:val="00A14154"/>
    <w:rsid w:val="00A1473E"/>
    <w:rsid w:val="00A14BD3"/>
    <w:rsid w:val="00A15672"/>
    <w:rsid w:val="00A16ECE"/>
    <w:rsid w:val="00A17191"/>
    <w:rsid w:val="00A171A7"/>
    <w:rsid w:val="00A1795B"/>
    <w:rsid w:val="00A17FCA"/>
    <w:rsid w:val="00A21DBA"/>
    <w:rsid w:val="00A21E8A"/>
    <w:rsid w:val="00A22F97"/>
    <w:rsid w:val="00A2409C"/>
    <w:rsid w:val="00A25567"/>
    <w:rsid w:val="00A25BEB"/>
    <w:rsid w:val="00A25D93"/>
    <w:rsid w:val="00A25DFE"/>
    <w:rsid w:val="00A2626F"/>
    <w:rsid w:val="00A269C8"/>
    <w:rsid w:val="00A27261"/>
    <w:rsid w:val="00A27DDC"/>
    <w:rsid w:val="00A30268"/>
    <w:rsid w:val="00A30CEB"/>
    <w:rsid w:val="00A30F58"/>
    <w:rsid w:val="00A32158"/>
    <w:rsid w:val="00A325DF"/>
    <w:rsid w:val="00A345C1"/>
    <w:rsid w:val="00A3495A"/>
    <w:rsid w:val="00A35162"/>
    <w:rsid w:val="00A3580A"/>
    <w:rsid w:val="00A36DE3"/>
    <w:rsid w:val="00A4183B"/>
    <w:rsid w:val="00A41944"/>
    <w:rsid w:val="00A42BF7"/>
    <w:rsid w:val="00A431EF"/>
    <w:rsid w:val="00A44215"/>
    <w:rsid w:val="00A45CBB"/>
    <w:rsid w:val="00A4607C"/>
    <w:rsid w:val="00A474E1"/>
    <w:rsid w:val="00A47822"/>
    <w:rsid w:val="00A51647"/>
    <w:rsid w:val="00A52DC1"/>
    <w:rsid w:val="00A54311"/>
    <w:rsid w:val="00A54F80"/>
    <w:rsid w:val="00A55DE2"/>
    <w:rsid w:val="00A56ECE"/>
    <w:rsid w:val="00A6050C"/>
    <w:rsid w:val="00A606AD"/>
    <w:rsid w:val="00A60BB7"/>
    <w:rsid w:val="00A621CB"/>
    <w:rsid w:val="00A62954"/>
    <w:rsid w:val="00A637CB"/>
    <w:rsid w:val="00A644A2"/>
    <w:rsid w:val="00A65298"/>
    <w:rsid w:val="00A6679D"/>
    <w:rsid w:val="00A67148"/>
    <w:rsid w:val="00A701EE"/>
    <w:rsid w:val="00A71D1F"/>
    <w:rsid w:val="00A72566"/>
    <w:rsid w:val="00A72776"/>
    <w:rsid w:val="00A749CF"/>
    <w:rsid w:val="00A76F0F"/>
    <w:rsid w:val="00A770E7"/>
    <w:rsid w:val="00A80340"/>
    <w:rsid w:val="00A810B1"/>
    <w:rsid w:val="00A81795"/>
    <w:rsid w:val="00A849E1"/>
    <w:rsid w:val="00A84A70"/>
    <w:rsid w:val="00A84C36"/>
    <w:rsid w:val="00A85115"/>
    <w:rsid w:val="00A85F39"/>
    <w:rsid w:val="00A85F4D"/>
    <w:rsid w:val="00A873EA"/>
    <w:rsid w:val="00A8755C"/>
    <w:rsid w:val="00A90740"/>
    <w:rsid w:val="00A90DA7"/>
    <w:rsid w:val="00A91A41"/>
    <w:rsid w:val="00A91D54"/>
    <w:rsid w:val="00A92173"/>
    <w:rsid w:val="00A926A5"/>
    <w:rsid w:val="00A92EA8"/>
    <w:rsid w:val="00A94479"/>
    <w:rsid w:val="00A944E8"/>
    <w:rsid w:val="00A94B54"/>
    <w:rsid w:val="00A95200"/>
    <w:rsid w:val="00A9522F"/>
    <w:rsid w:val="00A95546"/>
    <w:rsid w:val="00A96573"/>
    <w:rsid w:val="00A97A12"/>
    <w:rsid w:val="00AA044C"/>
    <w:rsid w:val="00AA082D"/>
    <w:rsid w:val="00AA08CA"/>
    <w:rsid w:val="00AA15A3"/>
    <w:rsid w:val="00AA1A9B"/>
    <w:rsid w:val="00AA2145"/>
    <w:rsid w:val="00AA248B"/>
    <w:rsid w:val="00AA3B4F"/>
    <w:rsid w:val="00AA4E8C"/>
    <w:rsid w:val="00AA526F"/>
    <w:rsid w:val="00AA5718"/>
    <w:rsid w:val="00AA5CC5"/>
    <w:rsid w:val="00AA78DA"/>
    <w:rsid w:val="00AA79EF"/>
    <w:rsid w:val="00AA7C85"/>
    <w:rsid w:val="00AB0452"/>
    <w:rsid w:val="00AB0504"/>
    <w:rsid w:val="00AB25EA"/>
    <w:rsid w:val="00AB2985"/>
    <w:rsid w:val="00AB4647"/>
    <w:rsid w:val="00AB5054"/>
    <w:rsid w:val="00AB505D"/>
    <w:rsid w:val="00AB5A0C"/>
    <w:rsid w:val="00AB68E7"/>
    <w:rsid w:val="00AB7718"/>
    <w:rsid w:val="00AB7A54"/>
    <w:rsid w:val="00AC0295"/>
    <w:rsid w:val="00AC0667"/>
    <w:rsid w:val="00AC1F6A"/>
    <w:rsid w:val="00AC247B"/>
    <w:rsid w:val="00AC309E"/>
    <w:rsid w:val="00AC3709"/>
    <w:rsid w:val="00AC37A8"/>
    <w:rsid w:val="00AC457B"/>
    <w:rsid w:val="00AC52A4"/>
    <w:rsid w:val="00AC5569"/>
    <w:rsid w:val="00AC5686"/>
    <w:rsid w:val="00AC5879"/>
    <w:rsid w:val="00AC5ACF"/>
    <w:rsid w:val="00AC6246"/>
    <w:rsid w:val="00AC628A"/>
    <w:rsid w:val="00AC6BA2"/>
    <w:rsid w:val="00AC7441"/>
    <w:rsid w:val="00AD0DE6"/>
    <w:rsid w:val="00AD129D"/>
    <w:rsid w:val="00AD136E"/>
    <w:rsid w:val="00AD165C"/>
    <w:rsid w:val="00AD269F"/>
    <w:rsid w:val="00AD37FF"/>
    <w:rsid w:val="00AD3B64"/>
    <w:rsid w:val="00AD51AB"/>
    <w:rsid w:val="00AD52C5"/>
    <w:rsid w:val="00AD5E71"/>
    <w:rsid w:val="00AD6510"/>
    <w:rsid w:val="00AD7790"/>
    <w:rsid w:val="00AD7FBA"/>
    <w:rsid w:val="00AE04EB"/>
    <w:rsid w:val="00AE0A3E"/>
    <w:rsid w:val="00AE1479"/>
    <w:rsid w:val="00AE147C"/>
    <w:rsid w:val="00AE3370"/>
    <w:rsid w:val="00AE3406"/>
    <w:rsid w:val="00AE39ED"/>
    <w:rsid w:val="00AE52E9"/>
    <w:rsid w:val="00AE5433"/>
    <w:rsid w:val="00AE56AB"/>
    <w:rsid w:val="00AE668B"/>
    <w:rsid w:val="00AE726D"/>
    <w:rsid w:val="00AF1CB4"/>
    <w:rsid w:val="00AF2273"/>
    <w:rsid w:val="00AF239B"/>
    <w:rsid w:val="00AF2FD6"/>
    <w:rsid w:val="00AF3F86"/>
    <w:rsid w:val="00AF626B"/>
    <w:rsid w:val="00AF7139"/>
    <w:rsid w:val="00B00A07"/>
    <w:rsid w:val="00B0191B"/>
    <w:rsid w:val="00B01D40"/>
    <w:rsid w:val="00B0235E"/>
    <w:rsid w:val="00B02B9C"/>
    <w:rsid w:val="00B02E3B"/>
    <w:rsid w:val="00B0300A"/>
    <w:rsid w:val="00B0354B"/>
    <w:rsid w:val="00B04302"/>
    <w:rsid w:val="00B048C2"/>
    <w:rsid w:val="00B05111"/>
    <w:rsid w:val="00B05A83"/>
    <w:rsid w:val="00B11018"/>
    <w:rsid w:val="00B11816"/>
    <w:rsid w:val="00B11C74"/>
    <w:rsid w:val="00B12FD7"/>
    <w:rsid w:val="00B13324"/>
    <w:rsid w:val="00B13375"/>
    <w:rsid w:val="00B15099"/>
    <w:rsid w:val="00B1588C"/>
    <w:rsid w:val="00B16A6D"/>
    <w:rsid w:val="00B170FE"/>
    <w:rsid w:val="00B175E7"/>
    <w:rsid w:val="00B21577"/>
    <w:rsid w:val="00B22BFB"/>
    <w:rsid w:val="00B23015"/>
    <w:rsid w:val="00B250C6"/>
    <w:rsid w:val="00B25882"/>
    <w:rsid w:val="00B25E4F"/>
    <w:rsid w:val="00B2782F"/>
    <w:rsid w:val="00B278C4"/>
    <w:rsid w:val="00B27E1A"/>
    <w:rsid w:val="00B32199"/>
    <w:rsid w:val="00B32DBD"/>
    <w:rsid w:val="00B3371B"/>
    <w:rsid w:val="00B339D9"/>
    <w:rsid w:val="00B33BB6"/>
    <w:rsid w:val="00B34311"/>
    <w:rsid w:val="00B352A5"/>
    <w:rsid w:val="00B36C2B"/>
    <w:rsid w:val="00B377E0"/>
    <w:rsid w:val="00B37A55"/>
    <w:rsid w:val="00B37F3E"/>
    <w:rsid w:val="00B400DD"/>
    <w:rsid w:val="00B404FE"/>
    <w:rsid w:val="00B40AE4"/>
    <w:rsid w:val="00B40D60"/>
    <w:rsid w:val="00B41318"/>
    <w:rsid w:val="00B427C6"/>
    <w:rsid w:val="00B43873"/>
    <w:rsid w:val="00B44391"/>
    <w:rsid w:val="00B451A4"/>
    <w:rsid w:val="00B4527A"/>
    <w:rsid w:val="00B45A32"/>
    <w:rsid w:val="00B464E3"/>
    <w:rsid w:val="00B472AF"/>
    <w:rsid w:val="00B47DFC"/>
    <w:rsid w:val="00B519BC"/>
    <w:rsid w:val="00B51D39"/>
    <w:rsid w:val="00B52ED9"/>
    <w:rsid w:val="00B533D6"/>
    <w:rsid w:val="00B53539"/>
    <w:rsid w:val="00B55F10"/>
    <w:rsid w:val="00B5609E"/>
    <w:rsid w:val="00B5710A"/>
    <w:rsid w:val="00B57350"/>
    <w:rsid w:val="00B604E8"/>
    <w:rsid w:val="00B60A35"/>
    <w:rsid w:val="00B6126A"/>
    <w:rsid w:val="00B6239E"/>
    <w:rsid w:val="00B63774"/>
    <w:rsid w:val="00B63C6D"/>
    <w:rsid w:val="00B64E53"/>
    <w:rsid w:val="00B6593F"/>
    <w:rsid w:val="00B65A95"/>
    <w:rsid w:val="00B65EFD"/>
    <w:rsid w:val="00B66070"/>
    <w:rsid w:val="00B66C92"/>
    <w:rsid w:val="00B66CFF"/>
    <w:rsid w:val="00B66E20"/>
    <w:rsid w:val="00B702D9"/>
    <w:rsid w:val="00B716F0"/>
    <w:rsid w:val="00B71776"/>
    <w:rsid w:val="00B72A4B"/>
    <w:rsid w:val="00B7388C"/>
    <w:rsid w:val="00B744AB"/>
    <w:rsid w:val="00B74FEE"/>
    <w:rsid w:val="00B762EB"/>
    <w:rsid w:val="00B76640"/>
    <w:rsid w:val="00B76B3D"/>
    <w:rsid w:val="00B76D16"/>
    <w:rsid w:val="00B7710B"/>
    <w:rsid w:val="00B77F91"/>
    <w:rsid w:val="00B8050B"/>
    <w:rsid w:val="00B80D2D"/>
    <w:rsid w:val="00B80F2D"/>
    <w:rsid w:val="00B812D6"/>
    <w:rsid w:val="00B81F69"/>
    <w:rsid w:val="00B82026"/>
    <w:rsid w:val="00B823C4"/>
    <w:rsid w:val="00B839BB"/>
    <w:rsid w:val="00B850C6"/>
    <w:rsid w:val="00B853A9"/>
    <w:rsid w:val="00B85477"/>
    <w:rsid w:val="00B86DCD"/>
    <w:rsid w:val="00B878E4"/>
    <w:rsid w:val="00B90963"/>
    <w:rsid w:val="00B9105B"/>
    <w:rsid w:val="00B911EB"/>
    <w:rsid w:val="00B92B9B"/>
    <w:rsid w:val="00B934FB"/>
    <w:rsid w:val="00B96907"/>
    <w:rsid w:val="00B972EF"/>
    <w:rsid w:val="00B977B9"/>
    <w:rsid w:val="00B97881"/>
    <w:rsid w:val="00BA0024"/>
    <w:rsid w:val="00BA09C6"/>
    <w:rsid w:val="00BA4253"/>
    <w:rsid w:val="00BA4CAD"/>
    <w:rsid w:val="00BA589B"/>
    <w:rsid w:val="00BA635D"/>
    <w:rsid w:val="00BA7330"/>
    <w:rsid w:val="00BA7652"/>
    <w:rsid w:val="00BA7838"/>
    <w:rsid w:val="00BB006B"/>
    <w:rsid w:val="00BB0978"/>
    <w:rsid w:val="00BB2C44"/>
    <w:rsid w:val="00BB3219"/>
    <w:rsid w:val="00BB3412"/>
    <w:rsid w:val="00BB3A43"/>
    <w:rsid w:val="00BB44AD"/>
    <w:rsid w:val="00BB4F8D"/>
    <w:rsid w:val="00BB653B"/>
    <w:rsid w:val="00BB6EE9"/>
    <w:rsid w:val="00BC2549"/>
    <w:rsid w:val="00BC3000"/>
    <w:rsid w:val="00BC3221"/>
    <w:rsid w:val="00BC3893"/>
    <w:rsid w:val="00BC3E40"/>
    <w:rsid w:val="00BC431A"/>
    <w:rsid w:val="00BC49E8"/>
    <w:rsid w:val="00BC4C77"/>
    <w:rsid w:val="00BC4E3A"/>
    <w:rsid w:val="00BC50F7"/>
    <w:rsid w:val="00BC597A"/>
    <w:rsid w:val="00BC69F4"/>
    <w:rsid w:val="00BC6DA8"/>
    <w:rsid w:val="00BD03BA"/>
    <w:rsid w:val="00BD03BC"/>
    <w:rsid w:val="00BD07AD"/>
    <w:rsid w:val="00BD0A46"/>
    <w:rsid w:val="00BD2378"/>
    <w:rsid w:val="00BD248B"/>
    <w:rsid w:val="00BD3692"/>
    <w:rsid w:val="00BD3F4B"/>
    <w:rsid w:val="00BD54D0"/>
    <w:rsid w:val="00BD5E83"/>
    <w:rsid w:val="00BD7706"/>
    <w:rsid w:val="00BE0242"/>
    <w:rsid w:val="00BE08E4"/>
    <w:rsid w:val="00BE1C68"/>
    <w:rsid w:val="00BE284A"/>
    <w:rsid w:val="00BE2F52"/>
    <w:rsid w:val="00BE3AAF"/>
    <w:rsid w:val="00BE43ED"/>
    <w:rsid w:val="00BE4CD8"/>
    <w:rsid w:val="00BE61B6"/>
    <w:rsid w:val="00BE6416"/>
    <w:rsid w:val="00BE684F"/>
    <w:rsid w:val="00BE6943"/>
    <w:rsid w:val="00BE6CD2"/>
    <w:rsid w:val="00BF30C0"/>
    <w:rsid w:val="00BF3A43"/>
    <w:rsid w:val="00BF3D3D"/>
    <w:rsid w:val="00BF4C9D"/>
    <w:rsid w:val="00BF5560"/>
    <w:rsid w:val="00BF60EA"/>
    <w:rsid w:val="00BF6743"/>
    <w:rsid w:val="00BF727F"/>
    <w:rsid w:val="00BF7D0D"/>
    <w:rsid w:val="00C00D98"/>
    <w:rsid w:val="00C00DC6"/>
    <w:rsid w:val="00C013EF"/>
    <w:rsid w:val="00C01C6F"/>
    <w:rsid w:val="00C024B4"/>
    <w:rsid w:val="00C03151"/>
    <w:rsid w:val="00C0380D"/>
    <w:rsid w:val="00C03910"/>
    <w:rsid w:val="00C04303"/>
    <w:rsid w:val="00C045FC"/>
    <w:rsid w:val="00C04C25"/>
    <w:rsid w:val="00C04EDE"/>
    <w:rsid w:val="00C04FD8"/>
    <w:rsid w:val="00C061F1"/>
    <w:rsid w:val="00C06DB3"/>
    <w:rsid w:val="00C10BC3"/>
    <w:rsid w:val="00C1142C"/>
    <w:rsid w:val="00C116E5"/>
    <w:rsid w:val="00C12BFB"/>
    <w:rsid w:val="00C12D02"/>
    <w:rsid w:val="00C13E39"/>
    <w:rsid w:val="00C1460C"/>
    <w:rsid w:val="00C148BF"/>
    <w:rsid w:val="00C159EF"/>
    <w:rsid w:val="00C15A8D"/>
    <w:rsid w:val="00C175FC"/>
    <w:rsid w:val="00C17CD1"/>
    <w:rsid w:val="00C211C3"/>
    <w:rsid w:val="00C21A8E"/>
    <w:rsid w:val="00C22C9A"/>
    <w:rsid w:val="00C232C1"/>
    <w:rsid w:val="00C26142"/>
    <w:rsid w:val="00C26342"/>
    <w:rsid w:val="00C26634"/>
    <w:rsid w:val="00C26641"/>
    <w:rsid w:val="00C31587"/>
    <w:rsid w:val="00C3160F"/>
    <w:rsid w:val="00C31615"/>
    <w:rsid w:val="00C31BFD"/>
    <w:rsid w:val="00C3207B"/>
    <w:rsid w:val="00C32FC9"/>
    <w:rsid w:val="00C33EB4"/>
    <w:rsid w:val="00C3450E"/>
    <w:rsid w:val="00C35B03"/>
    <w:rsid w:val="00C364BE"/>
    <w:rsid w:val="00C37A68"/>
    <w:rsid w:val="00C37E00"/>
    <w:rsid w:val="00C4022F"/>
    <w:rsid w:val="00C4178F"/>
    <w:rsid w:val="00C41D0C"/>
    <w:rsid w:val="00C437F5"/>
    <w:rsid w:val="00C43932"/>
    <w:rsid w:val="00C446D1"/>
    <w:rsid w:val="00C44ADE"/>
    <w:rsid w:val="00C46780"/>
    <w:rsid w:val="00C476EF"/>
    <w:rsid w:val="00C50BEE"/>
    <w:rsid w:val="00C50BFF"/>
    <w:rsid w:val="00C520A4"/>
    <w:rsid w:val="00C5219B"/>
    <w:rsid w:val="00C52EC8"/>
    <w:rsid w:val="00C5343A"/>
    <w:rsid w:val="00C53580"/>
    <w:rsid w:val="00C53D0F"/>
    <w:rsid w:val="00C54590"/>
    <w:rsid w:val="00C55219"/>
    <w:rsid w:val="00C55255"/>
    <w:rsid w:val="00C55662"/>
    <w:rsid w:val="00C556D3"/>
    <w:rsid w:val="00C57842"/>
    <w:rsid w:val="00C61665"/>
    <w:rsid w:val="00C6195F"/>
    <w:rsid w:val="00C619CD"/>
    <w:rsid w:val="00C632A4"/>
    <w:rsid w:val="00C63D08"/>
    <w:rsid w:val="00C64F1A"/>
    <w:rsid w:val="00C66C04"/>
    <w:rsid w:val="00C66D1A"/>
    <w:rsid w:val="00C6742A"/>
    <w:rsid w:val="00C677C0"/>
    <w:rsid w:val="00C70BE6"/>
    <w:rsid w:val="00C72E2C"/>
    <w:rsid w:val="00C73783"/>
    <w:rsid w:val="00C74F4A"/>
    <w:rsid w:val="00C75E31"/>
    <w:rsid w:val="00C7657B"/>
    <w:rsid w:val="00C8078F"/>
    <w:rsid w:val="00C81FFF"/>
    <w:rsid w:val="00C822D9"/>
    <w:rsid w:val="00C82533"/>
    <w:rsid w:val="00C82685"/>
    <w:rsid w:val="00C82759"/>
    <w:rsid w:val="00C829B5"/>
    <w:rsid w:val="00C829C6"/>
    <w:rsid w:val="00C83B7C"/>
    <w:rsid w:val="00C85AC4"/>
    <w:rsid w:val="00C87B9D"/>
    <w:rsid w:val="00C90111"/>
    <w:rsid w:val="00C903DD"/>
    <w:rsid w:val="00C908E1"/>
    <w:rsid w:val="00C90A29"/>
    <w:rsid w:val="00C90FE7"/>
    <w:rsid w:val="00C911C4"/>
    <w:rsid w:val="00C92109"/>
    <w:rsid w:val="00C9493F"/>
    <w:rsid w:val="00C949B5"/>
    <w:rsid w:val="00CA12FA"/>
    <w:rsid w:val="00CA26D9"/>
    <w:rsid w:val="00CA485A"/>
    <w:rsid w:val="00CA4EE8"/>
    <w:rsid w:val="00CA66C1"/>
    <w:rsid w:val="00CA6A9D"/>
    <w:rsid w:val="00CA6AD2"/>
    <w:rsid w:val="00CA6B97"/>
    <w:rsid w:val="00CA7C07"/>
    <w:rsid w:val="00CB06B3"/>
    <w:rsid w:val="00CB1DBF"/>
    <w:rsid w:val="00CB2186"/>
    <w:rsid w:val="00CB2957"/>
    <w:rsid w:val="00CB2BE6"/>
    <w:rsid w:val="00CB418D"/>
    <w:rsid w:val="00CB4DDA"/>
    <w:rsid w:val="00CB5045"/>
    <w:rsid w:val="00CB62A8"/>
    <w:rsid w:val="00CC136D"/>
    <w:rsid w:val="00CC160B"/>
    <w:rsid w:val="00CC23D4"/>
    <w:rsid w:val="00CC318E"/>
    <w:rsid w:val="00CC3E6C"/>
    <w:rsid w:val="00CC6127"/>
    <w:rsid w:val="00CC6A86"/>
    <w:rsid w:val="00CD1340"/>
    <w:rsid w:val="00CD1623"/>
    <w:rsid w:val="00CD329F"/>
    <w:rsid w:val="00CD46AB"/>
    <w:rsid w:val="00CD50DA"/>
    <w:rsid w:val="00CD51CF"/>
    <w:rsid w:val="00CD5324"/>
    <w:rsid w:val="00CD5526"/>
    <w:rsid w:val="00CD599C"/>
    <w:rsid w:val="00CD644B"/>
    <w:rsid w:val="00CD6540"/>
    <w:rsid w:val="00CD6D0B"/>
    <w:rsid w:val="00CD6FEF"/>
    <w:rsid w:val="00CD77B0"/>
    <w:rsid w:val="00CE0B5F"/>
    <w:rsid w:val="00CE1457"/>
    <w:rsid w:val="00CE1B54"/>
    <w:rsid w:val="00CE1C99"/>
    <w:rsid w:val="00CE1FDC"/>
    <w:rsid w:val="00CE28A3"/>
    <w:rsid w:val="00CE4001"/>
    <w:rsid w:val="00CE450C"/>
    <w:rsid w:val="00CE50A9"/>
    <w:rsid w:val="00CE51BA"/>
    <w:rsid w:val="00CE52EF"/>
    <w:rsid w:val="00CE5C9C"/>
    <w:rsid w:val="00CE603B"/>
    <w:rsid w:val="00CE65C9"/>
    <w:rsid w:val="00CE6EB4"/>
    <w:rsid w:val="00CE759C"/>
    <w:rsid w:val="00CE77F8"/>
    <w:rsid w:val="00CF0B41"/>
    <w:rsid w:val="00CF1A68"/>
    <w:rsid w:val="00CF28A4"/>
    <w:rsid w:val="00CF3B0B"/>
    <w:rsid w:val="00CF3E37"/>
    <w:rsid w:val="00CF4736"/>
    <w:rsid w:val="00CF5F3A"/>
    <w:rsid w:val="00CF6115"/>
    <w:rsid w:val="00D00058"/>
    <w:rsid w:val="00D010D9"/>
    <w:rsid w:val="00D012A4"/>
    <w:rsid w:val="00D017F8"/>
    <w:rsid w:val="00D02D13"/>
    <w:rsid w:val="00D03920"/>
    <w:rsid w:val="00D039FE"/>
    <w:rsid w:val="00D03F04"/>
    <w:rsid w:val="00D03FE1"/>
    <w:rsid w:val="00D04051"/>
    <w:rsid w:val="00D04541"/>
    <w:rsid w:val="00D049BB"/>
    <w:rsid w:val="00D06BA1"/>
    <w:rsid w:val="00D0744B"/>
    <w:rsid w:val="00D10219"/>
    <w:rsid w:val="00D104A2"/>
    <w:rsid w:val="00D104DA"/>
    <w:rsid w:val="00D11354"/>
    <w:rsid w:val="00D114F4"/>
    <w:rsid w:val="00D124C6"/>
    <w:rsid w:val="00D125C2"/>
    <w:rsid w:val="00D12894"/>
    <w:rsid w:val="00D132FB"/>
    <w:rsid w:val="00D1335F"/>
    <w:rsid w:val="00D14DDA"/>
    <w:rsid w:val="00D151A8"/>
    <w:rsid w:val="00D1534B"/>
    <w:rsid w:val="00D15958"/>
    <w:rsid w:val="00D15E9F"/>
    <w:rsid w:val="00D160E8"/>
    <w:rsid w:val="00D16866"/>
    <w:rsid w:val="00D1740A"/>
    <w:rsid w:val="00D216B0"/>
    <w:rsid w:val="00D21D26"/>
    <w:rsid w:val="00D231E7"/>
    <w:rsid w:val="00D2342A"/>
    <w:rsid w:val="00D236BF"/>
    <w:rsid w:val="00D23766"/>
    <w:rsid w:val="00D241D4"/>
    <w:rsid w:val="00D24BA5"/>
    <w:rsid w:val="00D24D79"/>
    <w:rsid w:val="00D25C3C"/>
    <w:rsid w:val="00D25F90"/>
    <w:rsid w:val="00D2611B"/>
    <w:rsid w:val="00D2697E"/>
    <w:rsid w:val="00D26986"/>
    <w:rsid w:val="00D27553"/>
    <w:rsid w:val="00D27B8F"/>
    <w:rsid w:val="00D3006B"/>
    <w:rsid w:val="00D30CF5"/>
    <w:rsid w:val="00D30CFD"/>
    <w:rsid w:val="00D32820"/>
    <w:rsid w:val="00D330C7"/>
    <w:rsid w:val="00D33339"/>
    <w:rsid w:val="00D345F3"/>
    <w:rsid w:val="00D3575A"/>
    <w:rsid w:val="00D35D55"/>
    <w:rsid w:val="00D36356"/>
    <w:rsid w:val="00D3752A"/>
    <w:rsid w:val="00D3768A"/>
    <w:rsid w:val="00D40524"/>
    <w:rsid w:val="00D40C77"/>
    <w:rsid w:val="00D4111B"/>
    <w:rsid w:val="00D427E7"/>
    <w:rsid w:val="00D434B4"/>
    <w:rsid w:val="00D437B8"/>
    <w:rsid w:val="00D43DED"/>
    <w:rsid w:val="00D444CA"/>
    <w:rsid w:val="00D45A5B"/>
    <w:rsid w:val="00D4600B"/>
    <w:rsid w:val="00D46B86"/>
    <w:rsid w:val="00D476C3"/>
    <w:rsid w:val="00D50160"/>
    <w:rsid w:val="00D504C5"/>
    <w:rsid w:val="00D50898"/>
    <w:rsid w:val="00D50F05"/>
    <w:rsid w:val="00D5119C"/>
    <w:rsid w:val="00D515C4"/>
    <w:rsid w:val="00D51F40"/>
    <w:rsid w:val="00D53301"/>
    <w:rsid w:val="00D55742"/>
    <w:rsid w:val="00D55F60"/>
    <w:rsid w:val="00D56F16"/>
    <w:rsid w:val="00D57CFE"/>
    <w:rsid w:val="00D607BC"/>
    <w:rsid w:val="00D613F6"/>
    <w:rsid w:val="00D61403"/>
    <w:rsid w:val="00D629C0"/>
    <w:rsid w:val="00D632A6"/>
    <w:rsid w:val="00D65877"/>
    <w:rsid w:val="00D65B1C"/>
    <w:rsid w:val="00D66F77"/>
    <w:rsid w:val="00D6799E"/>
    <w:rsid w:val="00D70BDE"/>
    <w:rsid w:val="00D71077"/>
    <w:rsid w:val="00D71D25"/>
    <w:rsid w:val="00D726B6"/>
    <w:rsid w:val="00D736A1"/>
    <w:rsid w:val="00D74398"/>
    <w:rsid w:val="00D7583E"/>
    <w:rsid w:val="00D75E64"/>
    <w:rsid w:val="00D76618"/>
    <w:rsid w:val="00D76AF0"/>
    <w:rsid w:val="00D76E56"/>
    <w:rsid w:val="00D80DC7"/>
    <w:rsid w:val="00D812B9"/>
    <w:rsid w:val="00D8147E"/>
    <w:rsid w:val="00D81F19"/>
    <w:rsid w:val="00D8288E"/>
    <w:rsid w:val="00D82D9F"/>
    <w:rsid w:val="00D83B38"/>
    <w:rsid w:val="00D847C8"/>
    <w:rsid w:val="00D85218"/>
    <w:rsid w:val="00D85ACE"/>
    <w:rsid w:val="00D860C4"/>
    <w:rsid w:val="00D865AC"/>
    <w:rsid w:val="00D865C2"/>
    <w:rsid w:val="00D8709A"/>
    <w:rsid w:val="00D878A3"/>
    <w:rsid w:val="00D910AB"/>
    <w:rsid w:val="00D93516"/>
    <w:rsid w:val="00D93EDA"/>
    <w:rsid w:val="00D966D9"/>
    <w:rsid w:val="00D969B3"/>
    <w:rsid w:val="00D96B9B"/>
    <w:rsid w:val="00D96D2D"/>
    <w:rsid w:val="00DA0633"/>
    <w:rsid w:val="00DA0B59"/>
    <w:rsid w:val="00DA0C2F"/>
    <w:rsid w:val="00DA0D12"/>
    <w:rsid w:val="00DA0F2E"/>
    <w:rsid w:val="00DA164C"/>
    <w:rsid w:val="00DA2E2A"/>
    <w:rsid w:val="00DA36F7"/>
    <w:rsid w:val="00DA3AA8"/>
    <w:rsid w:val="00DA44B4"/>
    <w:rsid w:val="00DA566E"/>
    <w:rsid w:val="00DA7459"/>
    <w:rsid w:val="00DA7799"/>
    <w:rsid w:val="00DA7C1D"/>
    <w:rsid w:val="00DB0860"/>
    <w:rsid w:val="00DB1F6A"/>
    <w:rsid w:val="00DB24CC"/>
    <w:rsid w:val="00DB309E"/>
    <w:rsid w:val="00DB4E2B"/>
    <w:rsid w:val="00DB588C"/>
    <w:rsid w:val="00DB6978"/>
    <w:rsid w:val="00DB6DB6"/>
    <w:rsid w:val="00DB700F"/>
    <w:rsid w:val="00DB7324"/>
    <w:rsid w:val="00DB7D0B"/>
    <w:rsid w:val="00DC1869"/>
    <w:rsid w:val="00DC1C5B"/>
    <w:rsid w:val="00DC24DC"/>
    <w:rsid w:val="00DC3CF8"/>
    <w:rsid w:val="00DC466A"/>
    <w:rsid w:val="00DC4C28"/>
    <w:rsid w:val="00DC5194"/>
    <w:rsid w:val="00DC5B0C"/>
    <w:rsid w:val="00DC60D7"/>
    <w:rsid w:val="00DC60ED"/>
    <w:rsid w:val="00DC667C"/>
    <w:rsid w:val="00DC6F8E"/>
    <w:rsid w:val="00DC72D1"/>
    <w:rsid w:val="00DC7581"/>
    <w:rsid w:val="00DD0919"/>
    <w:rsid w:val="00DD09DF"/>
    <w:rsid w:val="00DD0E85"/>
    <w:rsid w:val="00DD211F"/>
    <w:rsid w:val="00DD2213"/>
    <w:rsid w:val="00DD2B5F"/>
    <w:rsid w:val="00DD3096"/>
    <w:rsid w:val="00DD31F9"/>
    <w:rsid w:val="00DD41A3"/>
    <w:rsid w:val="00DD46B3"/>
    <w:rsid w:val="00DD50BE"/>
    <w:rsid w:val="00DD5E36"/>
    <w:rsid w:val="00DD6E0C"/>
    <w:rsid w:val="00DD7059"/>
    <w:rsid w:val="00DD7E6E"/>
    <w:rsid w:val="00DE0E60"/>
    <w:rsid w:val="00DE0F54"/>
    <w:rsid w:val="00DE120E"/>
    <w:rsid w:val="00DE1674"/>
    <w:rsid w:val="00DE2786"/>
    <w:rsid w:val="00DE2898"/>
    <w:rsid w:val="00DE2AD4"/>
    <w:rsid w:val="00DE335D"/>
    <w:rsid w:val="00DE3401"/>
    <w:rsid w:val="00DE347D"/>
    <w:rsid w:val="00DE38C5"/>
    <w:rsid w:val="00DE3C83"/>
    <w:rsid w:val="00DE3D73"/>
    <w:rsid w:val="00DE551A"/>
    <w:rsid w:val="00DE59A6"/>
    <w:rsid w:val="00DE6684"/>
    <w:rsid w:val="00DE73D4"/>
    <w:rsid w:val="00DE7781"/>
    <w:rsid w:val="00DF1693"/>
    <w:rsid w:val="00DF1CC9"/>
    <w:rsid w:val="00DF1DA6"/>
    <w:rsid w:val="00DF2702"/>
    <w:rsid w:val="00DF3F42"/>
    <w:rsid w:val="00DF44BC"/>
    <w:rsid w:val="00DF4D81"/>
    <w:rsid w:val="00DF4DB9"/>
    <w:rsid w:val="00DF517A"/>
    <w:rsid w:val="00DF548E"/>
    <w:rsid w:val="00DF6F5F"/>
    <w:rsid w:val="00E0014D"/>
    <w:rsid w:val="00E00D18"/>
    <w:rsid w:val="00E01537"/>
    <w:rsid w:val="00E01937"/>
    <w:rsid w:val="00E01F5A"/>
    <w:rsid w:val="00E02B94"/>
    <w:rsid w:val="00E0549B"/>
    <w:rsid w:val="00E0591B"/>
    <w:rsid w:val="00E05ABC"/>
    <w:rsid w:val="00E06B85"/>
    <w:rsid w:val="00E06FBF"/>
    <w:rsid w:val="00E07021"/>
    <w:rsid w:val="00E073D3"/>
    <w:rsid w:val="00E0769C"/>
    <w:rsid w:val="00E07CB3"/>
    <w:rsid w:val="00E1005A"/>
    <w:rsid w:val="00E10F0C"/>
    <w:rsid w:val="00E11860"/>
    <w:rsid w:val="00E126E2"/>
    <w:rsid w:val="00E12DAD"/>
    <w:rsid w:val="00E12EE3"/>
    <w:rsid w:val="00E13CA1"/>
    <w:rsid w:val="00E1547E"/>
    <w:rsid w:val="00E15AC4"/>
    <w:rsid w:val="00E16711"/>
    <w:rsid w:val="00E16867"/>
    <w:rsid w:val="00E177AE"/>
    <w:rsid w:val="00E2006A"/>
    <w:rsid w:val="00E20800"/>
    <w:rsid w:val="00E20D2B"/>
    <w:rsid w:val="00E212D0"/>
    <w:rsid w:val="00E21815"/>
    <w:rsid w:val="00E220C7"/>
    <w:rsid w:val="00E220EC"/>
    <w:rsid w:val="00E230DB"/>
    <w:rsid w:val="00E238E4"/>
    <w:rsid w:val="00E24445"/>
    <w:rsid w:val="00E249A2"/>
    <w:rsid w:val="00E24FA1"/>
    <w:rsid w:val="00E24FBE"/>
    <w:rsid w:val="00E25256"/>
    <w:rsid w:val="00E27485"/>
    <w:rsid w:val="00E274E7"/>
    <w:rsid w:val="00E2785A"/>
    <w:rsid w:val="00E306FC"/>
    <w:rsid w:val="00E311C1"/>
    <w:rsid w:val="00E312F8"/>
    <w:rsid w:val="00E314E8"/>
    <w:rsid w:val="00E315A3"/>
    <w:rsid w:val="00E32073"/>
    <w:rsid w:val="00E3231B"/>
    <w:rsid w:val="00E346D4"/>
    <w:rsid w:val="00E35164"/>
    <w:rsid w:val="00E3736F"/>
    <w:rsid w:val="00E40721"/>
    <w:rsid w:val="00E40E7E"/>
    <w:rsid w:val="00E41790"/>
    <w:rsid w:val="00E41AB4"/>
    <w:rsid w:val="00E41D54"/>
    <w:rsid w:val="00E42A49"/>
    <w:rsid w:val="00E45C6A"/>
    <w:rsid w:val="00E47E30"/>
    <w:rsid w:val="00E5125C"/>
    <w:rsid w:val="00E514B5"/>
    <w:rsid w:val="00E51ED5"/>
    <w:rsid w:val="00E53332"/>
    <w:rsid w:val="00E5347E"/>
    <w:rsid w:val="00E541B4"/>
    <w:rsid w:val="00E546C8"/>
    <w:rsid w:val="00E54840"/>
    <w:rsid w:val="00E54941"/>
    <w:rsid w:val="00E54B79"/>
    <w:rsid w:val="00E54C7C"/>
    <w:rsid w:val="00E555A7"/>
    <w:rsid w:val="00E57038"/>
    <w:rsid w:val="00E578AA"/>
    <w:rsid w:val="00E6109D"/>
    <w:rsid w:val="00E61589"/>
    <w:rsid w:val="00E616CE"/>
    <w:rsid w:val="00E61F79"/>
    <w:rsid w:val="00E62D7B"/>
    <w:rsid w:val="00E63739"/>
    <w:rsid w:val="00E638C1"/>
    <w:rsid w:val="00E658ED"/>
    <w:rsid w:val="00E6733C"/>
    <w:rsid w:val="00E67592"/>
    <w:rsid w:val="00E725AA"/>
    <w:rsid w:val="00E72EF8"/>
    <w:rsid w:val="00E745E8"/>
    <w:rsid w:val="00E746A0"/>
    <w:rsid w:val="00E749DE"/>
    <w:rsid w:val="00E74A42"/>
    <w:rsid w:val="00E7572D"/>
    <w:rsid w:val="00E80B0B"/>
    <w:rsid w:val="00E83A08"/>
    <w:rsid w:val="00E83CDA"/>
    <w:rsid w:val="00E87234"/>
    <w:rsid w:val="00E904B5"/>
    <w:rsid w:val="00E90F85"/>
    <w:rsid w:val="00E9216E"/>
    <w:rsid w:val="00E939BB"/>
    <w:rsid w:val="00E939DF"/>
    <w:rsid w:val="00E95807"/>
    <w:rsid w:val="00EA052C"/>
    <w:rsid w:val="00EA0B60"/>
    <w:rsid w:val="00EA2AED"/>
    <w:rsid w:val="00EA449F"/>
    <w:rsid w:val="00EA60FA"/>
    <w:rsid w:val="00EA6A50"/>
    <w:rsid w:val="00EA6A77"/>
    <w:rsid w:val="00EA76ED"/>
    <w:rsid w:val="00EA7B20"/>
    <w:rsid w:val="00EA7CB6"/>
    <w:rsid w:val="00EA7FAC"/>
    <w:rsid w:val="00EB0CB0"/>
    <w:rsid w:val="00EB158A"/>
    <w:rsid w:val="00EB2115"/>
    <w:rsid w:val="00EB2830"/>
    <w:rsid w:val="00EB2FD6"/>
    <w:rsid w:val="00EB3E4B"/>
    <w:rsid w:val="00EB411A"/>
    <w:rsid w:val="00EB4D12"/>
    <w:rsid w:val="00EB55F8"/>
    <w:rsid w:val="00EB65E2"/>
    <w:rsid w:val="00EB6E15"/>
    <w:rsid w:val="00EB7450"/>
    <w:rsid w:val="00EC02C9"/>
    <w:rsid w:val="00EC26B2"/>
    <w:rsid w:val="00EC2A1E"/>
    <w:rsid w:val="00EC396E"/>
    <w:rsid w:val="00EC539C"/>
    <w:rsid w:val="00EC5487"/>
    <w:rsid w:val="00EC5A84"/>
    <w:rsid w:val="00EC5C34"/>
    <w:rsid w:val="00EC6E5C"/>
    <w:rsid w:val="00EC75E4"/>
    <w:rsid w:val="00EC7B1C"/>
    <w:rsid w:val="00EC7CC0"/>
    <w:rsid w:val="00EC7DC1"/>
    <w:rsid w:val="00ED011B"/>
    <w:rsid w:val="00ED06F8"/>
    <w:rsid w:val="00ED1DF7"/>
    <w:rsid w:val="00ED2426"/>
    <w:rsid w:val="00ED272C"/>
    <w:rsid w:val="00ED2E3F"/>
    <w:rsid w:val="00ED2FE6"/>
    <w:rsid w:val="00ED3AFB"/>
    <w:rsid w:val="00ED458B"/>
    <w:rsid w:val="00EE0625"/>
    <w:rsid w:val="00EE09A8"/>
    <w:rsid w:val="00EE0EA9"/>
    <w:rsid w:val="00EE21C0"/>
    <w:rsid w:val="00EE24D0"/>
    <w:rsid w:val="00EE2BF9"/>
    <w:rsid w:val="00EE3912"/>
    <w:rsid w:val="00EE3A21"/>
    <w:rsid w:val="00EE3E5A"/>
    <w:rsid w:val="00EE44F2"/>
    <w:rsid w:val="00EE59A6"/>
    <w:rsid w:val="00EE5EEC"/>
    <w:rsid w:val="00EE6055"/>
    <w:rsid w:val="00EE6404"/>
    <w:rsid w:val="00EE64B1"/>
    <w:rsid w:val="00EF0980"/>
    <w:rsid w:val="00EF297C"/>
    <w:rsid w:val="00EF334E"/>
    <w:rsid w:val="00EF36DF"/>
    <w:rsid w:val="00EF3E06"/>
    <w:rsid w:val="00EF5120"/>
    <w:rsid w:val="00EF62C7"/>
    <w:rsid w:val="00EF6859"/>
    <w:rsid w:val="00EF6B58"/>
    <w:rsid w:val="00F0084E"/>
    <w:rsid w:val="00F009B9"/>
    <w:rsid w:val="00F024C6"/>
    <w:rsid w:val="00F02901"/>
    <w:rsid w:val="00F02D05"/>
    <w:rsid w:val="00F03EDE"/>
    <w:rsid w:val="00F04816"/>
    <w:rsid w:val="00F05B11"/>
    <w:rsid w:val="00F0652D"/>
    <w:rsid w:val="00F07382"/>
    <w:rsid w:val="00F11868"/>
    <w:rsid w:val="00F127F9"/>
    <w:rsid w:val="00F12CB4"/>
    <w:rsid w:val="00F13086"/>
    <w:rsid w:val="00F14AA0"/>
    <w:rsid w:val="00F1535D"/>
    <w:rsid w:val="00F1620E"/>
    <w:rsid w:val="00F164CA"/>
    <w:rsid w:val="00F20636"/>
    <w:rsid w:val="00F20B9E"/>
    <w:rsid w:val="00F22FF6"/>
    <w:rsid w:val="00F23007"/>
    <w:rsid w:val="00F230FC"/>
    <w:rsid w:val="00F23A21"/>
    <w:rsid w:val="00F24820"/>
    <w:rsid w:val="00F24B80"/>
    <w:rsid w:val="00F25BEA"/>
    <w:rsid w:val="00F25E5E"/>
    <w:rsid w:val="00F26CB2"/>
    <w:rsid w:val="00F27062"/>
    <w:rsid w:val="00F2731D"/>
    <w:rsid w:val="00F27588"/>
    <w:rsid w:val="00F301BB"/>
    <w:rsid w:val="00F309E7"/>
    <w:rsid w:val="00F317B1"/>
    <w:rsid w:val="00F327C6"/>
    <w:rsid w:val="00F32F48"/>
    <w:rsid w:val="00F341B0"/>
    <w:rsid w:val="00F35098"/>
    <w:rsid w:val="00F36686"/>
    <w:rsid w:val="00F376BF"/>
    <w:rsid w:val="00F40EE8"/>
    <w:rsid w:val="00F418DE"/>
    <w:rsid w:val="00F4295A"/>
    <w:rsid w:val="00F4439E"/>
    <w:rsid w:val="00F44FD0"/>
    <w:rsid w:val="00F45384"/>
    <w:rsid w:val="00F46981"/>
    <w:rsid w:val="00F47C9A"/>
    <w:rsid w:val="00F5010F"/>
    <w:rsid w:val="00F50683"/>
    <w:rsid w:val="00F50BF1"/>
    <w:rsid w:val="00F51032"/>
    <w:rsid w:val="00F51C25"/>
    <w:rsid w:val="00F53788"/>
    <w:rsid w:val="00F54112"/>
    <w:rsid w:val="00F55382"/>
    <w:rsid w:val="00F55649"/>
    <w:rsid w:val="00F56525"/>
    <w:rsid w:val="00F6152F"/>
    <w:rsid w:val="00F63654"/>
    <w:rsid w:val="00F641B2"/>
    <w:rsid w:val="00F64BA2"/>
    <w:rsid w:val="00F6533F"/>
    <w:rsid w:val="00F65B28"/>
    <w:rsid w:val="00F65BDF"/>
    <w:rsid w:val="00F66921"/>
    <w:rsid w:val="00F66B23"/>
    <w:rsid w:val="00F67750"/>
    <w:rsid w:val="00F70B56"/>
    <w:rsid w:val="00F70F90"/>
    <w:rsid w:val="00F72795"/>
    <w:rsid w:val="00F72E67"/>
    <w:rsid w:val="00F72FB4"/>
    <w:rsid w:val="00F73908"/>
    <w:rsid w:val="00F73A99"/>
    <w:rsid w:val="00F746CD"/>
    <w:rsid w:val="00F7490C"/>
    <w:rsid w:val="00F74983"/>
    <w:rsid w:val="00F74B12"/>
    <w:rsid w:val="00F7506B"/>
    <w:rsid w:val="00F80035"/>
    <w:rsid w:val="00F8109E"/>
    <w:rsid w:val="00F813F7"/>
    <w:rsid w:val="00F81C8E"/>
    <w:rsid w:val="00F82288"/>
    <w:rsid w:val="00F83394"/>
    <w:rsid w:val="00F839AA"/>
    <w:rsid w:val="00F840EC"/>
    <w:rsid w:val="00F861D3"/>
    <w:rsid w:val="00F8662B"/>
    <w:rsid w:val="00F86775"/>
    <w:rsid w:val="00F87734"/>
    <w:rsid w:val="00F87D51"/>
    <w:rsid w:val="00F9111D"/>
    <w:rsid w:val="00F91758"/>
    <w:rsid w:val="00F920C6"/>
    <w:rsid w:val="00F9298C"/>
    <w:rsid w:val="00F92D0E"/>
    <w:rsid w:val="00F92F21"/>
    <w:rsid w:val="00F92F6B"/>
    <w:rsid w:val="00F93F5B"/>
    <w:rsid w:val="00F94E53"/>
    <w:rsid w:val="00FA03D5"/>
    <w:rsid w:val="00FA1193"/>
    <w:rsid w:val="00FA1A53"/>
    <w:rsid w:val="00FA1F02"/>
    <w:rsid w:val="00FA2129"/>
    <w:rsid w:val="00FA3011"/>
    <w:rsid w:val="00FA3E48"/>
    <w:rsid w:val="00FA3FF5"/>
    <w:rsid w:val="00FA406A"/>
    <w:rsid w:val="00FA5DA0"/>
    <w:rsid w:val="00FA61C4"/>
    <w:rsid w:val="00FA64E2"/>
    <w:rsid w:val="00FA6BC5"/>
    <w:rsid w:val="00FA752F"/>
    <w:rsid w:val="00FA7B25"/>
    <w:rsid w:val="00FA7BAD"/>
    <w:rsid w:val="00FA7D3B"/>
    <w:rsid w:val="00FB0758"/>
    <w:rsid w:val="00FB11C4"/>
    <w:rsid w:val="00FB18D8"/>
    <w:rsid w:val="00FB2EA7"/>
    <w:rsid w:val="00FB3704"/>
    <w:rsid w:val="00FB4387"/>
    <w:rsid w:val="00FB45C7"/>
    <w:rsid w:val="00FB4F56"/>
    <w:rsid w:val="00FB580A"/>
    <w:rsid w:val="00FB6BEC"/>
    <w:rsid w:val="00FB6F3F"/>
    <w:rsid w:val="00FB72E5"/>
    <w:rsid w:val="00FB75F2"/>
    <w:rsid w:val="00FC0571"/>
    <w:rsid w:val="00FC087B"/>
    <w:rsid w:val="00FC087D"/>
    <w:rsid w:val="00FC1FC8"/>
    <w:rsid w:val="00FC2DB0"/>
    <w:rsid w:val="00FC2DB9"/>
    <w:rsid w:val="00FC37F1"/>
    <w:rsid w:val="00FC394A"/>
    <w:rsid w:val="00FC3955"/>
    <w:rsid w:val="00FC398B"/>
    <w:rsid w:val="00FC48C3"/>
    <w:rsid w:val="00FC5A2C"/>
    <w:rsid w:val="00FC7D69"/>
    <w:rsid w:val="00FD0491"/>
    <w:rsid w:val="00FD05D2"/>
    <w:rsid w:val="00FD2333"/>
    <w:rsid w:val="00FD24F5"/>
    <w:rsid w:val="00FD2DFB"/>
    <w:rsid w:val="00FD3E1D"/>
    <w:rsid w:val="00FD4586"/>
    <w:rsid w:val="00FD50B6"/>
    <w:rsid w:val="00FD573B"/>
    <w:rsid w:val="00FD7CE9"/>
    <w:rsid w:val="00FD7E8A"/>
    <w:rsid w:val="00FE046F"/>
    <w:rsid w:val="00FE0B51"/>
    <w:rsid w:val="00FE19C3"/>
    <w:rsid w:val="00FE21BF"/>
    <w:rsid w:val="00FE4D17"/>
    <w:rsid w:val="00FE7403"/>
    <w:rsid w:val="00FE7571"/>
    <w:rsid w:val="00FF0D74"/>
    <w:rsid w:val="00FF0E4B"/>
    <w:rsid w:val="00FF2D98"/>
    <w:rsid w:val="00FF3144"/>
    <w:rsid w:val="00FF4BDE"/>
    <w:rsid w:val="00FF5134"/>
    <w:rsid w:val="00FF5791"/>
    <w:rsid w:val="00FF58DD"/>
    <w:rsid w:val="00FF5B94"/>
    <w:rsid w:val="00FF60F8"/>
    <w:rsid w:val="00FF7A36"/>
    <w:rsid w:val="00FF7B33"/>
    <w:rsid w:val="01557003"/>
    <w:rsid w:val="01A61472"/>
    <w:rsid w:val="05F2566A"/>
    <w:rsid w:val="06E17719"/>
    <w:rsid w:val="084662F8"/>
    <w:rsid w:val="08632673"/>
    <w:rsid w:val="091E6B1D"/>
    <w:rsid w:val="09D4024E"/>
    <w:rsid w:val="0D5A6E00"/>
    <w:rsid w:val="0FC81D84"/>
    <w:rsid w:val="10204D46"/>
    <w:rsid w:val="11524191"/>
    <w:rsid w:val="17EC56CB"/>
    <w:rsid w:val="18A02C67"/>
    <w:rsid w:val="18E02DEE"/>
    <w:rsid w:val="1A516401"/>
    <w:rsid w:val="1BE94AE7"/>
    <w:rsid w:val="1C121B5F"/>
    <w:rsid w:val="1EA933CB"/>
    <w:rsid w:val="20041550"/>
    <w:rsid w:val="22234BC2"/>
    <w:rsid w:val="23314907"/>
    <w:rsid w:val="25696D0B"/>
    <w:rsid w:val="25CD046B"/>
    <w:rsid w:val="260F4EA2"/>
    <w:rsid w:val="28067F14"/>
    <w:rsid w:val="2856510A"/>
    <w:rsid w:val="286B773C"/>
    <w:rsid w:val="29B570DA"/>
    <w:rsid w:val="2A4E1620"/>
    <w:rsid w:val="2B014671"/>
    <w:rsid w:val="2B16061F"/>
    <w:rsid w:val="2C557F8B"/>
    <w:rsid w:val="2CDB683C"/>
    <w:rsid w:val="308D7C41"/>
    <w:rsid w:val="3185341B"/>
    <w:rsid w:val="331A28B9"/>
    <w:rsid w:val="33653315"/>
    <w:rsid w:val="33E96577"/>
    <w:rsid w:val="34563A81"/>
    <w:rsid w:val="36F73446"/>
    <w:rsid w:val="39817AD7"/>
    <w:rsid w:val="3A7941C8"/>
    <w:rsid w:val="3AD87847"/>
    <w:rsid w:val="3C8D3110"/>
    <w:rsid w:val="3E860A7C"/>
    <w:rsid w:val="40724992"/>
    <w:rsid w:val="439B680F"/>
    <w:rsid w:val="442F1579"/>
    <w:rsid w:val="486F0FE9"/>
    <w:rsid w:val="48A90702"/>
    <w:rsid w:val="48D7597D"/>
    <w:rsid w:val="4BA81516"/>
    <w:rsid w:val="4CE623F6"/>
    <w:rsid w:val="4ED92B46"/>
    <w:rsid w:val="4F221B98"/>
    <w:rsid w:val="509413D0"/>
    <w:rsid w:val="54435DFA"/>
    <w:rsid w:val="54D152BE"/>
    <w:rsid w:val="55056665"/>
    <w:rsid w:val="55AD6372"/>
    <w:rsid w:val="55BB04CC"/>
    <w:rsid w:val="571D0981"/>
    <w:rsid w:val="57885D8F"/>
    <w:rsid w:val="59612FAB"/>
    <w:rsid w:val="5E0314BA"/>
    <w:rsid w:val="5E314D33"/>
    <w:rsid w:val="5E56377C"/>
    <w:rsid w:val="5F7079E4"/>
    <w:rsid w:val="608B0B0D"/>
    <w:rsid w:val="619750FC"/>
    <w:rsid w:val="61B80C98"/>
    <w:rsid w:val="638914B1"/>
    <w:rsid w:val="67F62EFA"/>
    <w:rsid w:val="680609C6"/>
    <w:rsid w:val="69B4157E"/>
    <w:rsid w:val="6F96286D"/>
    <w:rsid w:val="701A6FE8"/>
    <w:rsid w:val="709D5A7E"/>
    <w:rsid w:val="70EB7E82"/>
    <w:rsid w:val="7315786E"/>
    <w:rsid w:val="75363AA4"/>
    <w:rsid w:val="774F46C7"/>
    <w:rsid w:val="78464E8C"/>
    <w:rsid w:val="7A4D600D"/>
    <w:rsid w:val="7CC72E43"/>
    <w:rsid w:val="7DD677ED"/>
    <w:rsid w:val="7EFF7286"/>
    <w:rsid w:val="7FC25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72" w:line="249" w:lineRule="auto"/>
      <w:ind w:left="218" w:hanging="10"/>
    </w:pPr>
    <w:rPr>
      <w:rFonts w:ascii="仿宋" w:hAnsi="仿宋" w:eastAsia="仿宋" w:cs="仿宋"/>
      <w:color w:val="000000"/>
      <w:kern w:val="2"/>
      <w:sz w:val="24"/>
      <w:szCs w:val="22"/>
      <w:lang w:val="en-US" w:eastAsia="zh-CN" w:bidi="ar-SA"/>
    </w:rPr>
  </w:style>
  <w:style w:type="paragraph" w:styleId="3">
    <w:name w:val="heading 1"/>
    <w:basedOn w:val="1"/>
    <w:next w:val="1"/>
    <w:link w:val="34"/>
    <w:qFormat/>
    <w:uiPriority w:val="0"/>
    <w:pPr>
      <w:keepNext/>
      <w:keepLines/>
      <w:spacing w:after="326" w:line="259" w:lineRule="auto"/>
      <w:ind w:left="95"/>
      <w:jc w:val="center"/>
      <w:outlineLvl w:val="0"/>
    </w:pPr>
    <w:rPr>
      <w:rFonts w:ascii="宋体" w:hAnsi="宋体" w:eastAsia="宋体" w:cs="Times New Roman"/>
      <w:kern w:val="0"/>
      <w:sz w:val="36"/>
      <w:szCs w:val="20"/>
    </w:rPr>
  </w:style>
  <w:style w:type="paragraph" w:styleId="2">
    <w:name w:val="heading 2"/>
    <w:basedOn w:val="1"/>
    <w:next w:val="1"/>
    <w:link w:val="35"/>
    <w:qFormat/>
    <w:uiPriority w:val="0"/>
    <w:pPr>
      <w:keepNext/>
      <w:keepLines/>
      <w:spacing w:after="0" w:line="259" w:lineRule="auto"/>
      <w:outlineLvl w:val="1"/>
    </w:pPr>
    <w:rPr>
      <w:sz w:val="22"/>
    </w:rPr>
  </w:style>
  <w:style w:type="paragraph" w:styleId="4">
    <w:name w:val="heading 3"/>
    <w:basedOn w:val="1"/>
    <w:next w:val="1"/>
    <w:link w:val="36"/>
    <w:qFormat/>
    <w:uiPriority w:val="0"/>
    <w:pPr>
      <w:keepNext/>
      <w:keepLines/>
      <w:spacing w:after="326" w:line="259" w:lineRule="auto"/>
      <w:ind w:left="95"/>
      <w:jc w:val="center"/>
      <w:outlineLvl w:val="2"/>
    </w:pPr>
    <w:rPr>
      <w:rFonts w:ascii="宋体" w:hAnsi="Times New Roman" w:eastAsia="宋体" w:cs="宋体"/>
      <w:sz w:val="22"/>
    </w:rPr>
  </w:style>
  <w:style w:type="paragraph" w:styleId="5">
    <w:name w:val="heading 4"/>
    <w:basedOn w:val="1"/>
    <w:next w:val="1"/>
    <w:link w:val="37"/>
    <w:qFormat/>
    <w:uiPriority w:val="0"/>
    <w:pPr>
      <w:keepNext/>
      <w:keepLines/>
      <w:spacing w:before="280" w:after="290" w:line="376" w:lineRule="auto"/>
      <w:outlineLvl w:val="3"/>
    </w:pPr>
    <w:rPr>
      <w:rFonts w:ascii="等线 Light" w:hAnsi="等线 Light" w:eastAsia="等线 Light" w:cs="Times New Roman"/>
      <w:b/>
      <w:bCs/>
      <w:kern w:val="0"/>
      <w:sz w:val="28"/>
      <w:szCs w:val="28"/>
    </w:rPr>
  </w:style>
  <w:style w:type="paragraph" w:styleId="6">
    <w:name w:val="heading 5"/>
    <w:basedOn w:val="1"/>
    <w:next w:val="1"/>
    <w:link w:val="38"/>
    <w:qFormat/>
    <w:uiPriority w:val="0"/>
    <w:pPr>
      <w:keepNext/>
      <w:keepLines/>
      <w:spacing w:before="280" w:after="290" w:line="376" w:lineRule="auto"/>
      <w:outlineLvl w:val="4"/>
    </w:pPr>
    <w:rPr>
      <w:rFonts w:cs="Times New Roman"/>
      <w:b/>
      <w:bCs/>
      <w:kern w:val="0"/>
      <w:sz w:val="28"/>
      <w:szCs w:val="28"/>
    </w:rPr>
  </w:style>
  <w:style w:type="paragraph" w:styleId="7">
    <w:name w:val="heading 6"/>
    <w:basedOn w:val="1"/>
    <w:next w:val="1"/>
    <w:link w:val="39"/>
    <w:qFormat/>
    <w:uiPriority w:val="0"/>
    <w:pPr>
      <w:keepNext/>
      <w:keepLines/>
      <w:spacing w:before="240" w:after="64" w:line="320" w:lineRule="auto"/>
      <w:outlineLvl w:val="5"/>
    </w:pPr>
    <w:rPr>
      <w:rFonts w:ascii="等线 Light" w:hAnsi="等线 Light" w:eastAsia="等线 Light" w:cs="Times New Roman"/>
      <w:b/>
      <w:bCs/>
      <w:kern w:val="0"/>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spacing w:after="0"/>
      <w:ind w:left="1440"/>
    </w:pPr>
    <w:rPr>
      <w:rFonts w:ascii="等线" w:eastAsia="等线"/>
      <w:sz w:val="18"/>
      <w:szCs w:val="18"/>
    </w:rPr>
  </w:style>
  <w:style w:type="paragraph" w:styleId="9">
    <w:name w:val="Document Map"/>
    <w:basedOn w:val="1"/>
    <w:link w:val="40"/>
    <w:semiHidden/>
    <w:qFormat/>
    <w:uiPriority w:val="0"/>
    <w:pPr>
      <w:shd w:val="clear" w:color="auto" w:fill="000080"/>
    </w:pPr>
    <w:rPr>
      <w:rFonts w:ascii="宋体" w:eastAsia="宋体" w:cs="Times New Roman"/>
      <w:kern w:val="0"/>
      <w:sz w:val="18"/>
      <w:szCs w:val="18"/>
    </w:rPr>
  </w:style>
  <w:style w:type="paragraph" w:styleId="10">
    <w:name w:val="annotation text"/>
    <w:basedOn w:val="1"/>
    <w:link w:val="41"/>
    <w:semiHidden/>
    <w:unhideWhenUsed/>
    <w:qFormat/>
    <w:uiPriority w:val="99"/>
    <w:rPr>
      <w:rFonts w:cs="Times New Roman"/>
      <w:kern w:val="0"/>
      <w:sz w:val="22"/>
    </w:rPr>
  </w:style>
  <w:style w:type="paragraph" w:styleId="11">
    <w:name w:val="Body Text"/>
    <w:basedOn w:val="1"/>
    <w:link w:val="42"/>
    <w:qFormat/>
    <w:uiPriority w:val="0"/>
    <w:pPr>
      <w:spacing w:after="120"/>
    </w:pPr>
    <w:rPr>
      <w:rFonts w:cs="Times New Roman"/>
      <w:kern w:val="0"/>
      <w:szCs w:val="20"/>
    </w:rPr>
  </w:style>
  <w:style w:type="paragraph" w:styleId="12">
    <w:name w:val="toc 5"/>
    <w:basedOn w:val="1"/>
    <w:next w:val="1"/>
    <w:qFormat/>
    <w:uiPriority w:val="39"/>
    <w:pPr>
      <w:spacing w:after="0"/>
      <w:ind w:left="960"/>
    </w:pPr>
    <w:rPr>
      <w:rFonts w:ascii="等线" w:eastAsia="等线"/>
      <w:sz w:val="18"/>
      <w:szCs w:val="18"/>
    </w:rPr>
  </w:style>
  <w:style w:type="paragraph" w:styleId="13">
    <w:name w:val="toc 3"/>
    <w:basedOn w:val="1"/>
    <w:next w:val="1"/>
    <w:qFormat/>
    <w:uiPriority w:val="39"/>
    <w:pPr>
      <w:spacing w:after="0"/>
      <w:ind w:left="480"/>
    </w:pPr>
    <w:rPr>
      <w:rFonts w:ascii="等线" w:eastAsia="等线"/>
      <w:i/>
      <w:iCs/>
      <w:sz w:val="20"/>
      <w:szCs w:val="20"/>
    </w:rPr>
  </w:style>
  <w:style w:type="paragraph" w:styleId="14">
    <w:name w:val="toc 8"/>
    <w:basedOn w:val="1"/>
    <w:next w:val="1"/>
    <w:qFormat/>
    <w:uiPriority w:val="39"/>
    <w:pPr>
      <w:spacing w:after="0"/>
      <w:ind w:left="1680"/>
    </w:pPr>
    <w:rPr>
      <w:rFonts w:ascii="等线" w:eastAsia="等线"/>
      <w:sz w:val="18"/>
      <w:szCs w:val="18"/>
    </w:rPr>
  </w:style>
  <w:style w:type="paragraph" w:styleId="15">
    <w:name w:val="Date"/>
    <w:basedOn w:val="1"/>
    <w:next w:val="1"/>
    <w:link w:val="43"/>
    <w:semiHidden/>
    <w:qFormat/>
    <w:uiPriority w:val="0"/>
    <w:pPr>
      <w:ind w:left="100" w:leftChars="2500"/>
    </w:pPr>
    <w:rPr>
      <w:rFonts w:cs="Times New Roman"/>
      <w:kern w:val="0"/>
      <w:szCs w:val="20"/>
    </w:rPr>
  </w:style>
  <w:style w:type="paragraph" w:styleId="16">
    <w:name w:val="Balloon Text"/>
    <w:basedOn w:val="1"/>
    <w:link w:val="44"/>
    <w:semiHidden/>
    <w:qFormat/>
    <w:uiPriority w:val="0"/>
    <w:pPr>
      <w:spacing w:after="0" w:line="240" w:lineRule="auto"/>
    </w:pPr>
    <w:rPr>
      <w:rFonts w:cs="Times New Roman"/>
      <w:kern w:val="0"/>
      <w:sz w:val="18"/>
      <w:szCs w:val="18"/>
    </w:rPr>
  </w:style>
  <w:style w:type="paragraph" w:styleId="17">
    <w:name w:val="footer"/>
    <w:basedOn w:val="1"/>
    <w:link w:val="45"/>
    <w:qFormat/>
    <w:uiPriority w:val="0"/>
    <w:pPr>
      <w:tabs>
        <w:tab w:val="center" w:pos="4153"/>
        <w:tab w:val="right" w:pos="8306"/>
      </w:tabs>
      <w:snapToGrid w:val="0"/>
      <w:spacing w:line="240" w:lineRule="auto"/>
    </w:pPr>
    <w:rPr>
      <w:rFonts w:ascii="Times New Roman" w:hAnsi="Times New Roman" w:eastAsia="宋体" w:cs="Times New Roman"/>
      <w:color w:val="auto"/>
      <w:kern w:val="0"/>
      <w:sz w:val="18"/>
      <w:szCs w:val="18"/>
    </w:rPr>
  </w:style>
  <w:style w:type="paragraph" w:styleId="18">
    <w:name w:val="header"/>
    <w:basedOn w:val="1"/>
    <w:link w:val="46"/>
    <w:qFormat/>
    <w:uiPriority w:val="0"/>
    <w:pPr>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color w:val="auto"/>
      <w:kern w:val="0"/>
      <w:sz w:val="18"/>
      <w:szCs w:val="18"/>
    </w:rPr>
  </w:style>
  <w:style w:type="paragraph" w:styleId="19">
    <w:name w:val="toc 1"/>
    <w:basedOn w:val="1"/>
    <w:next w:val="1"/>
    <w:qFormat/>
    <w:uiPriority w:val="39"/>
    <w:pPr>
      <w:spacing w:before="120" w:after="120"/>
      <w:ind w:left="0"/>
    </w:pPr>
    <w:rPr>
      <w:rFonts w:ascii="等线" w:eastAsia="等线"/>
      <w:b/>
      <w:bCs/>
      <w:caps/>
      <w:sz w:val="20"/>
      <w:szCs w:val="20"/>
    </w:rPr>
  </w:style>
  <w:style w:type="paragraph" w:styleId="20">
    <w:name w:val="toc 4"/>
    <w:basedOn w:val="1"/>
    <w:next w:val="1"/>
    <w:qFormat/>
    <w:uiPriority w:val="39"/>
    <w:pPr>
      <w:spacing w:after="0"/>
      <w:ind w:left="720"/>
    </w:pPr>
    <w:rPr>
      <w:rFonts w:ascii="等线" w:eastAsia="等线"/>
      <w:sz w:val="18"/>
      <w:szCs w:val="18"/>
    </w:rPr>
  </w:style>
  <w:style w:type="paragraph" w:styleId="21">
    <w:name w:val="toc 6"/>
    <w:basedOn w:val="1"/>
    <w:next w:val="1"/>
    <w:qFormat/>
    <w:uiPriority w:val="39"/>
    <w:pPr>
      <w:spacing w:after="0"/>
      <w:ind w:left="1200"/>
    </w:pPr>
    <w:rPr>
      <w:rFonts w:ascii="等线" w:eastAsia="等线"/>
      <w:sz w:val="18"/>
      <w:szCs w:val="18"/>
    </w:rPr>
  </w:style>
  <w:style w:type="paragraph" w:styleId="22">
    <w:name w:val="Body Text Indent 3"/>
    <w:basedOn w:val="1"/>
    <w:link w:val="47"/>
    <w:uiPriority w:val="0"/>
    <w:pPr>
      <w:widowControl w:val="0"/>
      <w:spacing w:after="120" w:line="240" w:lineRule="auto"/>
      <w:ind w:left="420" w:leftChars="200" w:firstLine="0"/>
      <w:jc w:val="both"/>
    </w:pPr>
    <w:rPr>
      <w:rFonts w:ascii="Times New Roman" w:hAnsi="Times New Roman" w:eastAsia="宋体" w:cs="Times New Roman"/>
      <w:color w:val="auto"/>
      <w:kern w:val="0"/>
      <w:sz w:val="16"/>
      <w:szCs w:val="16"/>
    </w:rPr>
  </w:style>
  <w:style w:type="paragraph" w:styleId="23">
    <w:name w:val="toc 2"/>
    <w:basedOn w:val="1"/>
    <w:next w:val="1"/>
    <w:qFormat/>
    <w:uiPriority w:val="39"/>
    <w:pPr>
      <w:spacing w:after="0"/>
      <w:ind w:left="240"/>
    </w:pPr>
    <w:rPr>
      <w:rFonts w:ascii="等线" w:eastAsia="等线"/>
      <w:smallCaps/>
      <w:sz w:val="20"/>
      <w:szCs w:val="20"/>
    </w:rPr>
  </w:style>
  <w:style w:type="paragraph" w:styleId="24">
    <w:name w:val="toc 9"/>
    <w:basedOn w:val="1"/>
    <w:next w:val="1"/>
    <w:qFormat/>
    <w:uiPriority w:val="39"/>
    <w:pPr>
      <w:spacing w:after="0"/>
      <w:ind w:left="1920"/>
    </w:pPr>
    <w:rPr>
      <w:rFonts w:ascii="等线" w:eastAsia="等线"/>
      <w:sz w:val="18"/>
      <w:szCs w:val="18"/>
    </w:rPr>
  </w:style>
  <w:style w:type="paragraph" w:styleId="25">
    <w:name w:val="Normal (Web)"/>
    <w:basedOn w:val="1"/>
    <w:qFormat/>
    <w:uiPriority w:val="0"/>
    <w:pPr>
      <w:spacing w:before="100" w:beforeAutospacing="1" w:after="100" w:afterAutospacing="1" w:line="240" w:lineRule="auto"/>
      <w:ind w:left="0" w:firstLine="0"/>
    </w:pPr>
    <w:rPr>
      <w:rFonts w:ascii="宋体" w:hAnsi="宋体" w:eastAsia="等线" w:cs="宋体"/>
      <w:color w:val="auto"/>
      <w:kern w:val="0"/>
      <w:szCs w:val="24"/>
    </w:rPr>
  </w:style>
  <w:style w:type="paragraph" w:styleId="26">
    <w:name w:val="annotation subject"/>
    <w:basedOn w:val="10"/>
    <w:next w:val="10"/>
    <w:link w:val="48"/>
    <w:semiHidden/>
    <w:unhideWhenUsed/>
    <w:qFormat/>
    <w:uiPriority w:val="99"/>
    <w:rPr>
      <w:b/>
      <w:bCs/>
    </w:rPr>
  </w:style>
  <w:style w:type="table" w:styleId="28">
    <w:name w:val="Table Grid"/>
    <w:basedOn w:val="2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locked/>
    <w:uiPriority w:val="0"/>
    <w:rPr>
      <w:rFonts w:cs="Times New Roman"/>
      <w:b/>
      <w:bCs/>
    </w:rPr>
  </w:style>
  <w:style w:type="character" w:styleId="31">
    <w:name w:val="page number"/>
    <w:qFormat/>
    <w:uiPriority w:val="0"/>
    <w:rPr>
      <w:rFonts w:cs="Times New Roman"/>
    </w:rPr>
  </w:style>
  <w:style w:type="character" w:styleId="32">
    <w:name w:val="Hyperlink"/>
    <w:qFormat/>
    <w:uiPriority w:val="99"/>
    <w:rPr>
      <w:rFonts w:cs="Times New Roman"/>
      <w:color w:val="0000FF"/>
      <w:u w:val="single"/>
    </w:rPr>
  </w:style>
  <w:style w:type="character" w:styleId="33">
    <w:name w:val="annotation reference"/>
    <w:semiHidden/>
    <w:unhideWhenUsed/>
    <w:qFormat/>
    <w:uiPriority w:val="99"/>
    <w:rPr>
      <w:rFonts w:cs="Times New Roman"/>
      <w:sz w:val="21"/>
      <w:szCs w:val="21"/>
    </w:rPr>
  </w:style>
  <w:style w:type="character" w:customStyle="1" w:styleId="34">
    <w:name w:val="标题 1 Char"/>
    <w:link w:val="3"/>
    <w:qFormat/>
    <w:locked/>
    <w:uiPriority w:val="0"/>
    <w:rPr>
      <w:rFonts w:ascii="宋体" w:hAnsi="宋体" w:eastAsia="宋体" w:cs="宋体"/>
      <w:color w:val="000000"/>
      <w:sz w:val="36"/>
    </w:rPr>
  </w:style>
  <w:style w:type="character" w:customStyle="1" w:styleId="35">
    <w:name w:val="标题 2 Char"/>
    <w:link w:val="2"/>
    <w:qFormat/>
    <w:locked/>
    <w:uiPriority w:val="0"/>
    <w:rPr>
      <w:rFonts w:ascii="仿宋" w:hAnsi="仿宋" w:eastAsia="仿宋" w:cs="仿宋"/>
      <w:color w:val="000000"/>
      <w:kern w:val="2"/>
      <w:sz w:val="22"/>
      <w:szCs w:val="22"/>
      <w:lang w:val="en-US" w:eastAsia="zh-CN" w:bidi="ar-SA"/>
    </w:rPr>
  </w:style>
  <w:style w:type="character" w:customStyle="1" w:styleId="36">
    <w:name w:val="标题 3 Char"/>
    <w:link w:val="4"/>
    <w:qFormat/>
    <w:locked/>
    <w:uiPriority w:val="0"/>
    <w:rPr>
      <w:rFonts w:ascii="宋体" w:eastAsia="宋体" w:cs="宋体"/>
      <w:color w:val="000000"/>
      <w:kern w:val="2"/>
      <w:sz w:val="22"/>
      <w:szCs w:val="22"/>
      <w:lang w:val="en-US" w:eastAsia="zh-CN" w:bidi="ar-SA"/>
    </w:rPr>
  </w:style>
  <w:style w:type="character" w:customStyle="1" w:styleId="37">
    <w:name w:val="标题 4 Char"/>
    <w:link w:val="5"/>
    <w:semiHidden/>
    <w:qFormat/>
    <w:locked/>
    <w:uiPriority w:val="0"/>
    <w:rPr>
      <w:rFonts w:ascii="等线 Light" w:hAnsi="等线 Light" w:eastAsia="等线 Light" w:cs="Times New Roman"/>
      <w:b/>
      <w:bCs/>
      <w:color w:val="000000"/>
      <w:sz w:val="28"/>
      <w:szCs w:val="28"/>
    </w:rPr>
  </w:style>
  <w:style w:type="character" w:customStyle="1" w:styleId="38">
    <w:name w:val="标题 5 Char"/>
    <w:link w:val="6"/>
    <w:semiHidden/>
    <w:qFormat/>
    <w:locked/>
    <w:uiPriority w:val="0"/>
    <w:rPr>
      <w:rFonts w:ascii="仿宋" w:hAnsi="仿宋" w:eastAsia="仿宋" w:cs="仿宋"/>
      <w:b/>
      <w:bCs/>
      <w:color w:val="000000"/>
      <w:sz w:val="28"/>
      <w:szCs w:val="28"/>
    </w:rPr>
  </w:style>
  <w:style w:type="character" w:customStyle="1" w:styleId="39">
    <w:name w:val="标题 6 Char"/>
    <w:link w:val="7"/>
    <w:semiHidden/>
    <w:qFormat/>
    <w:locked/>
    <w:uiPriority w:val="0"/>
    <w:rPr>
      <w:rFonts w:ascii="等线 Light" w:hAnsi="等线 Light" w:eastAsia="等线 Light" w:cs="Times New Roman"/>
      <w:b/>
      <w:bCs/>
      <w:color w:val="000000"/>
      <w:sz w:val="24"/>
      <w:szCs w:val="24"/>
    </w:rPr>
  </w:style>
  <w:style w:type="character" w:customStyle="1" w:styleId="40">
    <w:name w:val="文档结构图 Char"/>
    <w:link w:val="9"/>
    <w:semiHidden/>
    <w:qFormat/>
    <w:locked/>
    <w:uiPriority w:val="99"/>
    <w:rPr>
      <w:rFonts w:ascii="宋体" w:hAnsi="仿宋" w:cs="仿宋"/>
      <w:color w:val="000000"/>
      <w:sz w:val="18"/>
      <w:szCs w:val="18"/>
    </w:rPr>
  </w:style>
  <w:style w:type="character" w:customStyle="1" w:styleId="41">
    <w:name w:val="批注文字 Char"/>
    <w:link w:val="10"/>
    <w:semiHidden/>
    <w:qFormat/>
    <w:locked/>
    <w:uiPriority w:val="99"/>
    <w:rPr>
      <w:rFonts w:ascii="仿宋" w:hAnsi="仿宋" w:eastAsia="仿宋" w:cs="仿宋"/>
      <w:color w:val="000000"/>
      <w:sz w:val="22"/>
      <w:szCs w:val="22"/>
    </w:rPr>
  </w:style>
  <w:style w:type="character" w:customStyle="1" w:styleId="42">
    <w:name w:val="正文文本 Char"/>
    <w:link w:val="11"/>
    <w:qFormat/>
    <w:locked/>
    <w:uiPriority w:val="0"/>
    <w:rPr>
      <w:rFonts w:ascii="仿宋" w:hAnsi="仿宋" w:eastAsia="仿宋" w:cs="仿宋"/>
      <w:color w:val="000000"/>
      <w:sz w:val="24"/>
    </w:rPr>
  </w:style>
  <w:style w:type="character" w:customStyle="1" w:styleId="43">
    <w:name w:val="日期 Char"/>
    <w:link w:val="15"/>
    <w:semiHidden/>
    <w:qFormat/>
    <w:locked/>
    <w:uiPriority w:val="0"/>
    <w:rPr>
      <w:rFonts w:ascii="仿宋" w:hAnsi="仿宋" w:eastAsia="仿宋" w:cs="仿宋"/>
      <w:color w:val="000000"/>
      <w:sz w:val="24"/>
    </w:rPr>
  </w:style>
  <w:style w:type="character" w:customStyle="1" w:styleId="44">
    <w:name w:val="批注框文本 Char"/>
    <w:link w:val="16"/>
    <w:semiHidden/>
    <w:qFormat/>
    <w:locked/>
    <w:uiPriority w:val="0"/>
    <w:rPr>
      <w:rFonts w:ascii="仿宋" w:hAnsi="仿宋" w:eastAsia="仿宋" w:cs="仿宋"/>
      <w:color w:val="000000"/>
      <w:sz w:val="18"/>
      <w:szCs w:val="18"/>
    </w:rPr>
  </w:style>
  <w:style w:type="character" w:customStyle="1" w:styleId="45">
    <w:name w:val="页脚 Char"/>
    <w:link w:val="17"/>
    <w:qFormat/>
    <w:locked/>
    <w:uiPriority w:val="0"/>
    <w:rPr>
      <w:rFonts w:cs="Times New Roman"/>
      <w:sz w:val="18"/>
      <w:szCs w:val="18"/>
    </w:rPr>
  </w:style>
  <w:style w:type="character" w:customStyle="1" w:styleId="46">
    <w:name w:val="页眉 Char"/>
    <w:link w:val="18"/>
    <w:qFormat/>
    <w:locked/>
    <w:uiPriority w:val="0"/>
    <w:rPr>
      <w:rFonts w:cs="Times New Roman"/>
      <w:sz w:val="18"/>
      <w:szCs w:val="18"/>
    </w:rPr>
  </w:style>
  <w:style w:type="character" w:customStyle="1" w:styleId="47">
    <w:name w:val="正文文本缩进 3 Char"/>
    <w:link w:val="22"/>
    <w:qFormat/>
    <w:locked/>
    <w:uiPriority w:val="0"/>
    <w:rPr>
      <w:rFonts w:ascii="Times New Roman" w:hAnsi="Times New Roman" w:eastAsia="宋体" w:cs="Times New Roman"/>
      <w:sz w:val="16"/>
      <w:szCs w:val="16"/>
    </w:rPr>
  </w:style>
  <w:style w:type="character" w:customStyle="1" w:styleId="48">
    <w:name w:val="批注主题 Char"/>
    <w:link w:val="26"/>
    <w:semiHidden/>
    <w:qFormat/>
    <w:locked/>
    <w:uiPriority w:val="99"/>
    <w:rPr>
      <w:rFonts w:ascii="仿宋" w:hAnsi="仿宋" w:eastAsia="仿宋" w:cs="仿宋"/>
      <w:b/>
      <w:bCs/>
      <w:color w:val="000000"/>
      <w:sz w:val="22"/>
      <w:szCs w:val="22"/>
    </w:rPr>
  </w:style>
  <w:style w:type="paragraph" w:styleId="49">
    <w:name w:val="List Paragraph"/>
    <w:basedOn w:val="1"/>
    <w:qFormat/>
    <w:uiPriority w:val="34"/>
    <w:pPr>
      <w:ind w:firstLine="420" w:firstLineChars="200"/>
    </w:pPr>
  </w:style>
  <w:style w:type="paragraph" w:customStyle="1" w:styleId="50">
    <w:name w:val="Default"/>
    <w:qFormat/>
    <w:uiPriority w:val="0"/>
    <w:pPr>
      <w:widowControl w:val="0"/>
      <w:autoSpaceDE w:val="0"/>
      <w:autoSpaceDN w:val="0"/>
      <w:adjustRightInd w:val="0"/>
    </w:pPr>
    <w:rPr>
      <w:rFonts w:ascii="仿宋" w:hAnsi="仿宋" w:eastAsia="等线" w:cs="仿宋"/>
      <w:color w:val="000000"/>
      <w:sz w:val="24"/>
      <w:szCs w:val="24"/>
      <w:lang w:val="en-US" w:eastAsia="zh-CN" w:bidi="ar-SA"/>
    </w:rPr>
  </w:style>
  <w:style w:type="paragraph" w:customStyle="1" w:styleId="51">
    <w:name w:val="Table Paragraph"/>
    <w:basedOn w:val="1"/>
    <w:qFormat/>
    <w:uiPriority w:val="0"/>
    <w:pPr>
      <w:widowControl w:val="0"/>
      <w:spacing w:after="0" w:line="240" w:lineRule="auto"/>
      <w:ind w:left="0" w:firstLine="0"/>
    </w:pPr>
    <w:rPr>
      <w:rFonts w:ascii="等线" w:hAnsi="等线" w:eastAsia="等线" w:cs="Times New Roman"/>
      <w:color w:val="auto"/>
      <w:kern w:val="0"/>
      <w:sz w:val="22"/>
      <w:lang w:eastAsia="en-US"/>
    </w:rPr>
  </w:style>
  <w:style w:type="paragraph" w:customStyle="1" w:styleId="52">
    <w:name w:val="标题1（自）"/>
    <w:next w:val="1"/>
    <w:qFormat/>
    <w:uiPriority w:val="0"/>
    <w:pPr>
      <w:widowControl w:val="0"/>
      <w:spacing w:beforeLines="50" w:afterLines="50"/>
      <w:jc w:val="center"/>
      <w:outlineLvl w:val="0"/>
    </w:pPr>
    <w:rPr>
      <w:rFonts w:ascii="方正小标宋简体" w:hAnsi="方正小标宋简体" w:eastAsia="方正小标宋简体" w:cs="Times New Roman"/>
      <w:sz w:val="44"/>
      <w:szCs w:val="32"/>
      <w:lang w:val="en-US" w:eastAsia="zh-CN" w:bidi="ar-SA"/>
    </w:rPr>
  </w:style>
  <w:style w:type="paragraph" w:customStyle="1" w:styleId="53">
    <w:name w:val="正文（三号）"/>
    <w:qFormat/>
    <w:uiPriority w:val="0"/>
    <w:pPr>
      <w:widowControl w:val="0"/>
      <w:ind w:firstLine="880" w:firstLineChars="200"/>
      <w:jc w:val="both"/>
    </w:pPr>
    <w:rPr>
      <w:rFonts w:ascii="宋体" w:hAnsi="宋体" w:eastAsia="宋体" w:cs="Times New Roman"/>
      <w:sz w:val="28"/>
      <w:szCs w:val="32"/>
      <w:lang w:val="en-US" w:eastAsia="zh-CN" w:bidi="ar-SA"/>
    </w:rPr>
  </w:style>
  <w:style w:type="paragraph" w:customStyle="1" w:styleId="54">
    <w:name w:val="标题2（自）"/>
    <w:next w:val="53"/>
    <w:qFormat/>
    <w:uiPriority w:val="0"/>
    <w:pPr>
      <w:widowControl w:val="0"/>
      <w:spacing w:beforeLines="50" w:afterLines="50"/>
      <w:jc w:val="center"/>
      <w:outlineLvl w:val="1"/>
    </w:pPr>
    <w:rPr>
      <w:rFonts w:ascii="黑体" w:hAnsi="黑体" w:eastAsia="黑体" w:cs="Times New Roman"/>
      <w:b/>
      <w:sz w:val="32"/>
      <w:szCs w:val="32"/>
      <w:lang w:val="en-US" w:eastAsia="zh-CN" w:bidi="ar-SA"/>
    </w:rPr>
  </w:style>
  <w:style w:type="paragraph" w:customStyle="1" w:styleId="55">
    <w:name w:val="段"/>
    <w:link w:val="56"/>
    <w:qFormat/>
    <w:uiPriority w:val="0"/>
    <w:pPr>
      <w:tabs>
        <w:tab w:val="center" w:pos="4201"/>
        <w:tab w:val="right" w:leader="dot" w:pos="9298"/>
      </w:tabs>
      <w:autoSpaceDE w:val="0"/>
      <w:autoSpaceDN w:val="0"/>
      <w:ind w:firstLine="420" w:firstLineChars="200"/>
      <w:jc w:val="both"/>
    </w:pPr>
    <w:rPr>
      <w:rFonts w:ascii="宋体" w:hAnsi="Times New Roman" w:eastAsia="Times New Roman" w:cs="Times New Roman"/>
      <w:sz w:val="21"/>
      <w:lang w:val="en-US" w:eastAsia="zh-CN" w:bidi="ar-SA"/>
    </w:rPr>
  </w:style>
  <w:style w:type="character" w:customStyle="1" w:styleId="56">
    <w:name w:val="段 Char"/>
    <w:link w:val="55"/>
    <w:qFormat/>
    <w:locked/>
    <w:uiPriority w:val="0"/>
    <w:rPr>
      <w:rFonts w:ascii="宋体" w:eastAsia="Times New Roman"/>
      <w:sz w:val="21"/>
      <w:lang w:val="en-US" w:eastAsia="zh-CN" w:bidi="ar-SA"/>
    </w:rPr>
  </w:style>
  <w:style w:type="paragraph" w:customStyle="1" w:styleId="57">
    <w:name w:val="字母编号列项（一级）"/>
    <w:qFormat/>
    <w:uiPriority w:val="0"/>
    <w:pPr>
      <w:tabs>
        <w:tab w:val="left" w:pos="780"/>
        <w:tab w:val="left" w:pos="839"/>
      </w:tabs>
      <w:ind w:left="780" w:hanging="360"/>
      <w:jc w:val="both"/>
    </w:pPr>
    <w:rPr>
      <w:rFonts w:ascii="宋体" w:hAnsi="Times New Roman" w:eastAsia="宋体" w:cs="Times New Roman"/>
      <w:sz w:val="21"/>
      <w:lang w:val="en-US" w:eastAsia="zh-CN" w:bidi="ar-SA"/>
    </w:rPr>
  </w:style>
  <w:style w:type="paragraph" w:customStyle="1" w:styleId="58">
    <w:name w:val="数字编号列项（二级）"/>
    <w:qFormat/>
    <w:uiPriority w:val="0"/>
    <w:pPr>
      <w:tabs>
        <w:tab w:val="left" w:pos="780"/>
        <w:tab w:val="left" w:pos="1259"/>
      </w:tabs>
      <w:ind w:left="780" w:hanging="360"/>
      <w:jc w:val="both"/>
    </w:pPr>
    <w:rPr>
      <w:rFonts w:ascii="宋体" w:hAnsi="Times New Roman" w:eastAsia="宋体" w:cs="Times New Roman"/>
      <w:sz w:val="21"/>
      <w:lang w:val="en-US" w:eastAsia="zh-CN" w:bidi="ar-SA"/>
    </w:rPr>
  </w:style>
  <w:style w:type="paragraph" w:customStyle="1" w:styleId="59">
    <w:name w:val="三级条标题"/>
    <w:basedOn w:val="1"/>
    <w:next w:val="55"/>
    <w:qFormat/>
    <w:uiPriority w:val="0"/>
    <w:pPr>
      <w:tabs>
        <w:tab w:val="left" w:pos="1620"/>
      </w:tabs>
      <w:spacing w:beforeLines="50" w:afterLines="50" w:line="240" w:lineRule="auto"/>
      <w:ind w:left="0" w:hanging="360"/>
      <w:outlineLvl w:val="4"/>
    </w:pPr>
    <w:rPr>
      <w:rFonts w:ascii="黑体" w:hAnsi="Times New Roman" w:eastAsia="黑体" w:cs="Times New Roman"/>
      <w:color w:val="auto"/>
      <w:kern w:val="0"/>
      <w:sz w:val="21"/>
      <w:szCs w:val="21"/>
    </w:rPr>
  </w:style>
  <w:style w:type="paragraph" w:customStyle="1" w:styleId="60">
    <w:name w:val="二级条标题"/>
    <w:basedOn w:val="1"/>
    <w:next w:val="55"/>
    <w:qFormat/>
    <w:uiPriority w:val="0"/>
    <w:pPr>
      <w:tabs>
        <w:tab w:val="left" w:pos="1200"/>
      </w:tabs>
      <w:spacing w:beforeLines="50" w:afterLines="50" w:line="240" w:lineRule="auto"/>
      <w:ind w:left="1200" w:hanging="360"/>
      <w:outlineLvl w:val="3"/>
    </w:pPr>
    <w:rPr>
      <w:rFonts w:ascii="黑体" w:hAnsi="Times New Roman" w:eastAsia="黑体" w:cs="Times New Roman"/>
      <w:color w:val="auto"/>
      <w:kern w:val="0"/>
      <w:sz w:val="21"/>
      <w:szCs w:val="21"/>
    </w:rPr>
  </w:style>
  <w:style w:type="paragraph" w:customStyle="1" w:styleId="61">
    <w:name w:val="附录表标题"/>
    <w:basedOn w:val="1"/>
    <w:next w:val="55"/>
    <w:qFormat/>
    <w:uiPriority w:val="0"/>
    <w:pPr>
      <w:widowControl w:val="0"/>
      <w:spacing w:beforeLines="50" w:afterLines="50" w:line="240" w:lineRule="auto"/>
      <w:ind w:left="567" w:hanging="567"/>
      <w:jc w:val="center"/>
    </w:pPr>
    <w:rPr>
      <w:rFonts w:ascii="黑体" w:hAnsi="Times New Roman" w:eastAsia="黑体" w:cs="Times New Roman"/>
      <w:color w:val="auto"/>
      <w:sz w:val="21"/>
      <w:szCs w:val="21"/>
    </w:rPr>
  </w:style>
  <w:style w:type="paragraph" w:customStyle="1" w:styleId="62">
    <w:name w:val="列出段落1"/>
    <w:basedOn w:val="1"/>
    <w:qFormat/>
    <w:uiPriority w:val="0"/>
    <w:pPr>
      <w:ind w:firstLine="420" w:firstLineChars="200"/>
    </w:pPr>
  </w:style>
  <w:style w:type="paragraph" w:customStyle="1" w:styleId="63">
    <w:name w:val="_Style 62"/>
    <w:basedOn w:val="3"/>
    <w:next w:val="1"/>
    <w:semiHidden/>
    <w:unhideWhenUsed/>
    <w:qFormat/>
    <w:uiPriority w:val="39"/>
    <w:pPr>
      <w:spacing w:before="480" w:after="0" w:line="276" w:lineRule="auto"/>
      <w:ind w:left="0" w:firstLine="0"/>
      <w:jc w:val="left"/>
      <w:outlineLvl w:val="9"/>
    </w:pPr>
    <w:rPr>
      <w:rFonts w:ascii="Cambria" w:hAnsi="Cambria"/>
      <w:b/>
      <w:bCs/>
      <w:color w:val="365F91"/>
      <w:sz w:val="28"/>
      <w:szCs w:val="28"/>
    </w:rPr>
  </w:style>
  <w:style w:type="character" w:customStyle="1" w:styleId="64">
    <w:name w:val="正文文本 Char1"/>
    <w:semiHidden/>
    <w:qFormat/>
    <w:uiPriority w:val="99"/>
    <w:rPr>
      <w:rFonts w:ascii="仿宋" w:hAnsi="仿宋" w:eastAsia="仿宋" w:cs="仿宋"/>
      <w:color w:val="000000"/>
      <w:sz w:val="24"/>
      <w:szCs w:val="22"/>
    </w:rPr>
  </w:style>
  <w:style w:type="character" w:customStyle="1" w:styleId="65">
    <w:name w:val="正文文本 Char123"/>
    <w:semiHidden/>
    <w:qFormat/>
    <w:uiPriority w:val="99"/>
    <w:rPr>
      <w:rFonts w:ascii="仿宋" w:hAnsi="仿宋" w:eastAsia="仿宋" w:cs="仿宋"/>
      <w:color w:val="000000"/>
      <w:sz w:val="22"/>
      <w:szCs w:val="22"/>
    </w:rPr>
  </w:style>
  <w:style w:type="character" w:customStyle="1" w:styleId="66">
    <w:name w:val="正文文本 Char122"/>
    <w:semiHidden/>
    <w:qFormat/>
    <w:uiPriority w:val="99"/>
    <w:rPr>
      <w:rFonts w:ascii="仿宋" w:hAnsi="仿宋" w:eastAsia="仿宋" w:cs="仿宋"/>
      <w:color w:val="000000"/>
      <w:sz w:val="22"/>
      <w:szCs w:val="22"/>
    </w:rPr>
  </w:style>
  <w:style w:type="character" w:customStyle="1" w:styleId="67">
    <w:name w:val="正文文本 Char121"/>
    <w:semiHidden/>
    <w:qFormat/>
    <w:uiPriority w:val="99"/>
    <w:rPr>
      <w:rFonts w:ascii="仿宋" w:hAnsi="仿宋" w:eastAsia="仿宋" w:cs="仿宋"/>
      <w:color w:val="000000"/>
      <w:sz w:val="22"/>
      <w:szCs w:val="22"/>
    </w:rPr>
  </w:style>
  <w:style w:type="character" w:customStyle="1" w:styleId="68">
    <w:name w:val="正文文本 Char120"/>
    <w:semiHidden/>
    <w:qFormat/>
    <w:uiPriority w:val="99"/>
    <w:rPr>
      <w:rFonts w:ascii="仿宋" w:hAnsi="仿宋" w:eastAsia="仿宋" w:cs="仿宋"/>
      <w:color w:val="000000"/>
      <w:sz w:val="22"/>
      <w:szCs w:val="22"/>
    </w:rPr>
  </w:style>
  <w:style w:type="character" w:customStyle="1" w:styleId="69">
    <w:name w:val="正文文本 Char119"/>
    <w:semiHidden/>
    <w:qFormat/>
    <w:uiPriority w:val="99"/>
    <w:rPr>
      <w:rFonts w:ascii="仿宋" w:hAnsi="仿宋" w:eastAsia="仿宋" w:cs="仿宋"/>
      <w:color w:val="000000"/>
      <w:sz w:val="22"/>
      <w:szCs w:val="22"/>
    </w:rPr>
  </w:style>
  <w:style w:type="character" w:customStyle="1" w:styleId="70">
    <w:name w:val="正文文本 Char118"/>
    <w:semiHidden/>
    <w:qFormat/>
    <w:uiPriority w:val="99"/>
    <w:rPr>
      <w:rFonts w:ascii="仿宋" w:hAnsi="仿宋" w:eastAsia="仿宋" w:cs="仿宋"/>
      <w:color w:val="000000"/>
      <w:sz w:val="22"/>
      <w:szCs w:val="22"/>
    </w:rPr>
  </w:style>
  <w:style w:type="character" w:customStyle="1" w:styleId="71">
    <w:name w:val="正文文本 Char117"/>
    <w:semiHidden/>
    <w:qFormat/>
    <w:uiPriority w:val="99"/>
    <w:rPr>
      <w:rFonts w:ascii="仿宋" w:hAnsi="仿宋" w:eastAsia="仿宋" w:cs="仿宋"/>
      <w:color w:val="000000"/>
      <w:sz w:val="22"/>
      <w:szCs w:val="22"/>
    </w:rPr>
  </w:style>
  <w:style w:type="character" w:customStyle="1" w:styleId="72">
    <w:name w:val="正文文本 Char116"/>
    <w:semiHidden/>
    <w:qFormat/>
    <w:uiPriority w:val="99"/>
    <w:rPr>
      <w:rFonts w:ascii="仿宋" w:hAnsi="仿宋" w:eastAsia="仿宋" w:cs="仿宋"/>
      <w:color w:val="000000"/>
      <w:sz w:val="22"/>
      <w:szCs w:val="22"/>
    </w:rPr>
  </w:style>
  <w:style w:type="character" w:customStyle="1" w:styleId="73">
    <w:name w:val="正文文本 Char115"/>
    <w:semiHidden/>
    <w:qFormat/>
    <w:uiPriority w:val="99"/>
    <w:rPr>
      <w:rFonts w:ascii="仿宋" w:hAnsi="仿宋" w:eastAsia="仿宋" w:cs="仿宋"/>
      <w:color w:val="000000"/>
      <w:sz w:val="22"/>
      <w:szCs w:val="22"/>
    </w:rPr>
  </w:style>
  <w:style w:type="character" w:customStyle="1" w:styleId="74">
    <w:name w:val="正文文本 Char114"/>
    <w:semiHidden/>
    <w:qFormat/>
    <w:uiPriority w:val="99"/>
    <w:rPr>
      <w:rFonts w:ascii="仿宋" w:hAnsi="仿宋" w:eastAsia="仿宋" w:cs="仿宋"/>
      <w:color w:val="000000"/>
      <w:sz w:val="22"/>
      <w:szCs w:val="22"/>
    </w:rPr>
  </w:style>
  <w:style w:type="character" w:customStyle="1" w:styleId="75">
    <w:name w:val="正文文本 Char113"/>
    <w:semiHidden/>
    <w:qFormat/>
    <w:uiPriority w:val="99"/>
    <w:rPr>
      <w:rFonts w:ascii="仿宋" w:hAnsi="仿宋" w:eastAsia="仿宋" w:cs="仿宋"/>
      <w:color w:val="000000"/>
      <w:sz w:val="22"/>
      <w:szCs w:val="22"/>
    </w:rPr>
  </w:style>
  <w:style w:type="character" w:customStyle="1" w:styleId="76">
    <w:name w:val="正文文本 Char112"/>
    <w:semiHidden/>
    <w:qFormat/>
    <w:uiPriority w:val="99"/>
    <w:rPr>
      <w:rFonts w:ascii="仿宋" w:hAnsi="仿宋" w:eastAsia="仿宋" w:cs="仿宋"/>
      <w:color w:val="000000"/>
      <w:sz w:val="22"/>
      <w:szCs w:val="22"/>
    </w:rPr>
  </w:style>
  <w:style w:type="character" w:customStyle="1" w:styleId="77">
    <w:name w:val="正文文本 Char111"/>
    <w:semiHidden/>
    <w:qFormat/>
    <w:uiPriority w:val="99"/>
    <w:rPr>
      <w:rFonts w:ascii="仿宋" w:hAnsi="仿宋" w:eastAsia="仿宋" w:cs="仿宋"/>
      <w:color w:val="000000"/>
      <w:sz w:val="22"/>
      <w:szCs w:val="22"/>
    </w:rPr>
  </w:style>
  <w:style w:type="character" w:customStyle="1" w:styleId="78">
    <w:name w:val="正文文本 Char110"/>
    <w:semiHidden/>
    <w:qFormat/>
    <w:uiPriority w:val="99"/>
    <w:rPr>
      <w:rFonts w:ascii="仿宋" w:hAnsi="仿宋" w:eastAsia="仿宋" w:cs="仿宋"/>
      <w:color w:val="000000"/>
      <w:sz w:val="22"/>
      <w:szCs w:val="22"/>
    </w:rPr>
  </w:style>
  <w:style w:type="character" w:customStyle="1" w:styleId="79">
    <w:name w:val="正文文本 Char19"/>
    <w:semiHidden/>
    <w:qFormat/>
    <w:uiPriority w:val="99"/>
    <w:rPr>
      <w:rFonts w:ascii="仿宋" w:hAnsi="仿宋" w:eastAsia="仿宋" w:cs="仿宋"/>
      <w:color w:val="000000"/>
      <w:sz w:val="22"/>
      <w:szCs w:val="22"/>
    </w:rPr>
  </w:style>
  <w:style w:type="character" w:customStyle="1" w:styleId="80">
    <w:name w:val="正文文本 Char18"/>
    <w:semiHidden/>
    <w:qFormat/>
    <w:uiPriority w:val="99"/>
    <w:rPr>
      <w:rFonts w:ascii="仿宋" w:hAnsi="仿宋" w:eastAsia="仿宋" w:cs="仿宋"/>
      <w:color w:val="000000"/>
      <w:sz w:val="22"/>
      <w:szCs w:val="22"/>
    </w:rPr>
  </w:style>
  <w:style w:type="character" w:customStyle="1" w:styleId="81">
    <w:name w:val="正文文本 Char17"/>
    <w:semiHidden/>
    <w:qFormat/>
    <w:uiPriority w:val="99"/>
    <w:rPr>
      <w:rFonts w:ascii="仿宋" w:hAnsi="仿宋" w:eastAsia="仿宋" w:cs="仿宋"/>
      <w:color w:val="000000"/>
      <w:sz w:val="22"/>
      <w:szCs w:val="22"/>
    </w:rPr>
  </w:style>
  <w:style w:type="character" w:customStyle="1" w:styleId="82">
    <w:name w:val="正文文本 Char16"/>
    <w:semiHidden/>
    <w:qFormat/>
    <w:uiPriority w:val="99"/>
    <w:rPr>
      <w:rFonts w:ascii="仿宋" w:hAnsi="仿宋" w:eastAsia="仿宋" w:cs="仿宋"/>
      <w:color w:val="000000"/>
      <w:sz w:val="22"/>
      <w:szCs w:val="22"/>
    </w:rPr>
  </w:style>
  <w:style w:type="character" w:customStyle="1" w:styleId="83">
    <w:name w:val="正文文本 Char15"/>
    <w:semiHidden/>
    <w:qFormat/>
    <w:uiPriority w:val="99"/>
    <w:rPr>
      <w:rFonts w:ascii="仿宋" w:hAnsi="仿宋" w:eastAsia="仿宋" w:cs="仿宋"/>
      <w:color w:val="000000"/>
      <w:sz w:val="22"/>
      <w:szCs w:val="22"/>
    </w:rPr>
  </w:style>
  <w:style w:type="character" w:customStyle="1" w:styleId="84">
    <w:name w:val="正文文本 Char14"/>
    <w:semiHidden/>
    <w:qFormat/>
    <w:uiPriority w:val="99"/>
    <w:rPr>
      <w:rFonts w:ascii="仿宋" w:hAnsi="仿宋" w:eastAsia="仿宋" w:cs="仿宋"/>
      <w:color w:val="000000"/>
      <w:sz w:val="22"/>
      <w:szCs w:val="22"/>
    </w:rPr>
  </w:style>
  <w:style w:type="character" w:customStyle="1" w:styleId="85">
    <w:name w:val="正文文本 Char13"/>
    <w:semiHidden/>
    <w:qFormat/>
    <w:uiPriority w:val="99"/>
    <w:rPr>
      <w:rFonts w:ascii="仿宋" w:hAnsi="仿宋" w:eastAsia="仿宋" w:cs="仿宋"/>
      <w:color w:val="000000"/>
      <w:sz w:val="22"/>
      <w:szCs w:val="22"/>
    </w:rPr>
  </w:style>
  <w:style w:type="character" w:customStyle="1" w:styleId="86">
    <w:name w:val="正文文本 Char12"/>
    <w:semiHidden/>
    <w:qFormat/>
    <w:uiPriority w:val="99"/>
    <w:rPr>
      <w:rFonts w:ascii="仿宋" w:hAnsi="仿宋" w:eastAsia="仿宋" w:cs="仿宋"/>
      <w:color w:val="000000"/>
      <w:sz w:val="22"/>
      <w:szCs w:val="22"/>
    </w:rPr>
  </w:style>
  <w:style w:type="character" w:customStyle="1" w:styleId="87">
    <w:name w:val="正文文本 Char11"/>
    <w:semiHidden/>
    <w:qFormat/>
    <w:uiPriority w:val="99"/>
    <w:rPr>
      <w:rFonts w:ascii="仿宋" w:hAnsi="仿宋" w:eastAsia="仿宋" w:cs="仿宋"/>
      <w:color w:val="000000"/>
      <w:sz w:val="22"/>
      <w:szCs w:val="22"/>
    </w:rPr>
  </w:style>
  <w:style w:type="character" w:customStyle="1" w:styleId="88">
    <w:name w:val="日期 Char1"/>
    <w:semiHidden/>
    <w:qFormat/>
    <w:uiPriority w:val="99"/>
    <w:rPr>
      <w:rFonts w:ascii="仿宋" w:hAnsi="仿宋" w:eastAsia="仿宋" w:cs="仿宋"/>
      <w:color w:val="000000"/>
      <w:sz w:val="24"/>
      <w:szCs w:val="22"/>
    </w:rPr>
  </w:style>
  <w:style w:type="character" w:customStyle="1" w:styleId="89">
    <w:name w:val="日期 Char123"/>
    <w:semiHidden/>
    <w:qFormat/>
    <w:uiPriority w:val="99"/>
    <w:rPr>
      <w:rFonts w:ascii="仿宋" w:hAnsi="仿宋" w:eastAsia="仿宋" w:cs="仿宋"/>
      <w:color w:val="000000"/>
      <w:sz w:val="22"/>
      <w:szCs w:val="22"/>
    </w:rPr>
  </w:style>
  <w:style w:type="character" w:customStyle="1" w:styleId="90">
    <w:name w:val="日期 Char122"/>
    <w:semiHidden/>
    <w:qFormat/>
    <w:uiPriority w:val="99"/>
    <w:rPr>
      <w:rFonts w:ascii="仿宋" w:hAnsi="仿宋" w:eastAsia="仿宋" w:cs="仿宋"/>
      <w:color w:val="000000"/>
      <w:sz w:val="22"/>
      <w:szCs w:val="22"/>
    </w:rPr>
  </w:style>
  <w:style w:type="character" w:customStyle="1" w:styleId="91">
    <w:name w:val="日期 Char121"/>
    <w:semiHidden/>
    <w:qFormat/>
    <w:uiPriority w:val="99"/>
    <w:rPr>
      <w:rFonts w:ascii="仿宋" w:hAnsi="仿宋" w:eastAsia="仿宋" w:cs="仿宋"/>
      <w:color w:val="000000"/>
      <w:sz w:val="22"/>
      <w:szCs w:val="22"/>
    </w:rPr>
  </w:style>
  <w:style w:type="character" w:customStyle="1" w:styleId="92">
    <w:name w:val="日期 Char120"/>
    <w:semiHidden/>
    <w:qFormat/>
    <w:uiPriority w:val="99"/>
    <w:rPr>
      <w:rFonts w:ascii="仿宋" w:hAnsi="仿宋" w:eastAsia="仿宋" w:cs="仿宋"/>
      <w:color w:val="000000"/>
      <w:sz w:val="22"/>
      <w:szCs w:val="22"/>
    </w:rPr>
  </w:style>
  <w:style w:type="character" w:customStyle="1" w:styleId="93">
    <w:name w:val="日期 Char119"/>
    <w:semiHidden/>
    <w:qFormat/>
    <w:uiPriority w:val="99"/>
    <w:rPr>
      <w:rFonts w:ascii="仿宋" w:hAnsi="仿宋" w:eastAsia="仿宋" w:cs="仿宋"/>
      <w:color w:val="000000"/>
      <w:sz w:val="22"/>
      <w:szCs w:val="22"/>
    </w:rPr>
  </w:style>
  <w:style w:type="character" w:customStyle="1" w:styleId="94">
    <w:name w:val="日期 Char118"/>
    <w:semiHidden/>
    <w:qFormat/>
    <w:uiPriority w:val="99"/>
    <w:rPr>
      <w:rFonts w:ascii="仿宋" w:hAnsi="仿宋" w:eastAsia="仿宋" w:cs="仿宋"/>
      <w:color w:val="000000"/>
      <w:sz w:val="22"/>
      <w:szCs w:val="22"/>
    </w:rPr>
  </w:style>
  <w:style w:type="character" w:customStyle="1" w:styleId="95">
    <w:name w:val="日期 Char117"/>
    <w:semiHidden/>
    <w:qFormat/>
    <w:uiPriority w:val="99"/>
    <w:rPr>
      <w:rFonts w:ascii="仿宋" w:hAnsi="仿宋" w:eastAsia="仿宋" w:cs="仿宋"/>
      <w:color w:val="000000"/>
      <w:sz w:val="22"/>
      <w:szCs w:val="22"/>
    </w:rPr>
  </w:style>
  <w:style w:type="character" w:customStyle="1" w:styleId="96">
    <w:name w:val="日期 Char116"/>
    <w:semiHidden/>
    <w:qFormat/>
    <w:uiPriority w:val="99"/>
    <w:rPr>
      <w:rFonts w:ascii="仿宋" w:hAnsi="仿宋" w:eastAsia="仿宋" w:cs="仿宋"/>
      <w:color w:val="000000"/>
      <w:sz w:val="22"/>
      <w:szCs w:val="22"/>
    </w:rPr>
  </w:style>
  <w:style w:type="character" w:customStyle="1" w:styleId="97">
    <w:name w:val="日期 Char115"/>
    <w:semiHidden/>
    <w:qFormat/>
    <w:uiPriority w:val="99"/>
    <w:rPr>
      <w:rFonts w:ascii="仿宋" w:hAnsi="仿宋" w:eastAsia="仿宋" w:cs="仿宋"/>
      <w:color w:val="000000"/>
      <w:sz w:val="22"/>
      <w:szCs w:val="22"/>
    </w:rPr>
  </w:style>
  <w:style w:type="character" w:customStyle="1" w:styleId="98">
    <w:name w:val="日期 Char114"/>
    <w:semiHidden/>
    <w:qFormat/>
    <w:uiPriority w:val="99"/>
    <w:rPr>
      <w:rFonts w:ascii="仿宋" w:hAnsi="仿宋" w:eastAsia="仿宋" w:cs="仿宋"/>
      <w:color w:val="000000"/>
      <w:sz w:val="22"/>
      <w:szCs w:val="22"/>
    </w:rPr>
  </w:style>
  <w:style w:type="character" w:customStyle="1" w:styleId="99">
    <w:name w:val="日期 Char113"/>
    <w:semiHidden/>
    <w:qFormat/>
    <w:uiPriority w:val="99"/>
    <w:rPr>
      <w:rFonts w:ascii="仿宋" w:hAnsi="仿宋" w:eastAsia="仿宋" w:cs="仿宋"/>
      <w:color w:val="000000"/>
      <w:sz w:val="22"/>
      <w:szCs w:val="22"/>
    </w:rPr>
  </w:style>
  <w:style w:type="character" w:customStyle="1" w:styleId="100">
    <w:name w:val="日期 Char112"/>
    <w:semiHidden/>
    <w:qFormat/>
    <w:uiPriority w:val="99"/>
    <w:rPr>
      <w:rFonts w:ascii="仿宋" w:hAnsi="仿宋" w:eastAsia="仿宋" w:cs="仿宋"/>
      <w:color w:val="000000"/>
      <w:sz w:val="22"/>
      <w:szCs w:val="22"/>
    </w:rPr>
  </w:style>
  <w:style w:type="character" w:customStyle="1" w:styleId="101">
    <w:name w:val="日期 Char111"/>
    <w:semiHidden/>
    <w:qFormat/>
    <w:uiPriority w:val="99"/>
    <w:rPr>
      <w:rFonts w:ascii="仿宋" w:hAnsi="仿宋" w:eastAsia="仿宋" w:cs="仿宋"/>
      <w:color w:val="000000"/>
      <w:sz w:val="22"/>
      <w:szCs w:val="22"/>
    </w:rPr>
  </w:style>
  <w:style w:type="character" w:customStyle="1" w:styleId="102">
    <w:name w:val="日期 Char110"/>
    <w:semiHidden/>
    <w:qFormat/>
    <w:uiPriority w:val="99"/>
    <w:rPr>
      <w:rFonts w:ascii="仿宋" w:hAnsi="仿宋" w:eastAsia="仿宋" w:cs="仿宋"/>
      <w:color w:val="000000"/>
      <w:sz w:val="22"/>
      <w:szCs w:val="22"/>
    </w:rPr>
  </w:style>
  <w:style w:type="character" w:customStyle="1" w:styleId="103">
    <w:name w:val="日期 Char19"/>
    <w:semiHidden/>
    <w:qFormat/>
    <w:uiPriority w:val="99"/>
    <w:rPr>
      <w:rFonts w:ascii="仿宋" w:hAnsi="仿宋" w:eastAsia="仿宋" w:cs="仿宋"/>
      <w:color w:val="000000"/>
      <w:sz w:val="22"/>
      <w:szCs w:val="22"/>
    </w:rPr>
  </w:style>
  <w:style w:type="character" w:customStyle="1" w:styleId="104">
    <w:name w:val="日期 Char18"/>
    <w:semiHidden/>
    <w:qFormat/>
    <w:uiPriority w:val="99"/>
    <w:rPr>
      <w:rFonts w:ascii="仿宋" w:hAnsi="仿宋" w:eastAsia="仿宋" w:cs="仿宋"/>
      <w:color w:val="000000"/>
      <w:sz w:val="22"/>
      <w:szCs w:val="22"/>
    </w:rPr>
  </w:style>
  <w:style w:type="character" w:customStyle="1" w:styleId="105">
    <w:name w:val="日期 Char17"/>
    <w:semiHidden/>
    <w:qFormat/>
    <w:uiPriority w:val="99"/>
    <w:rPr>
      <w:rFonts w:ascii="仿宋" w:hAnsi="仿宋" w:eastAsia="仿宋" w:cs="仿宋"/>
      <w:color w:val="000000"/>
      <w:sz w:val="22"/>
      <w:szCs w:val="22"/>
    </w:rPr>
  </w:style>
  <w:style w:type="character" w:customStyle="1" w:styleId="106">
    <w:name w:val="日期 Char16"/>
    <w:semiHidden/>
    <w:qFormat/>
    <w:uiPriority w:val="99"/>
    <w:rPr>
      <w:rFonts w:ascii="仿宋" w:hAnsi="仿宋" w:eastAsia="仿宋" w:cs="仿宋"/>
      <w:color w:val="000000"/>
      <w:sz w:val="22"/>
      <w:szCs w:val="22"/>
    </w:rPr>
  </w:style>
  <w:style w:type="character" w:customStyle="1" w:styleId="107">
    <w:name w:val="日期 Char15"/>
    <w:semiHidden/>
    <w:qFormat/>
    <w:uiPriority w:val="99"/>
    <w:rPr>
      <w:rFonts w:ascii="仿宋" w:hAnsi="仿宋" w:eastAsia="仿宋" w:cs="仿宋"/>
      <w:color w:val="000000"/>
      <w:sz w:val="22"/>
      <w:szCs w:val="22"/>
    </w:rPr>
  </w:style>
  <w:style w:type="character" w:customStyle="1" w:styleId="108">
    <w:name w:val="日期 Char14"/>
    <w:semiHidden/>
    <w:qFormat/>
    <w:uiPriority w:val="99"/>
    <w:rPr>
      <w:rFonts w:ascii="仿宋" w:hAnsi="仿宋" w:eastAsia="仿宋" w:cs="仿宋"/>
      <w:color w:val="000000"/>
      <w:sz w:val="22"/>
      <w:szCs w:val="22"/>
    </w:rPr>
  </w:style>
  <w:style w:type="character" w:customStyle="1" w:styleId="109">
    <w:name w:val="日期 Char13"/>
    <w:semiHidden/>
    <w:qFormat/>
    <w:uiPriority w:val="99"/>
    <w:rPr>
      <w:rFonts w:ascii="仿宋" w:hAnsi="仿宋" w:eastAsia="仿宋" w:cs="仿宋"/>
      <w:color w:val="000000"/>
      <w:sz w:val="22"/>
      <w:szCs w:val="22"/>
    </w:rPr>
  </w:style>
  <w:style w:type="character" w:customStyle="1" w:styleId="110">
    <w:name w:val="日期 Char12"/>
    <w:semiHidden/>
    <w:qFormat/>
    <w:uiPriority w:val="99"/>
    <w:rPr>
      <w:rFonts w:ascii="仿宋" w:hAnsi="仿宋" w:eastAsia="仿宋" w:cs="仿宋"/>
      <w:color w:val="000000"/>
      <w:sz w:val="22"/>
      <w:szCs w:val="22"/>
    </w:rPr>
  </w:style>
  <w:style w:type="character" w:customStyle="1" w:styleId="111">
    <w:name w:val="日期 Char11"/>
    <w:semiHidden/>
    <w:qFormat/>
    <w:uiPriority w:val="99"/>
    <w:rPr>
      <w:rFonts w:ascii="仿宋" w:hAnsi="仿宋" w:eastAsia="仿宋" w:cs="仿宋"/>
      <w:color w:val="000000"/>
      <w:sz w:val="22"/>
      <w:szCs w:val="22"/>
    </w:rPr>
  </w:style>
  <w:style w:type="character" w:customStyle="1" w:styleId="112">
    <w:name w:val="批注框文本 Char1"/>
    <w:semiHidden/>
    <w:qFormat/>
    <w:uiPriority w:val="99"/>
    <w:rPr>
      <w:rFonts w:ascii="仿宋" w:hAnsi="仿宋" w:eastAsia="仿宋" w:cs="仿宋"/>
      <w:color w:val="000000"/>
      <w:sz w:val="18"/>
      <w:szCs w:val="18"/>
    </w:rPr>
  </w:style>
  <w:style w:type="character" w:customStyle="1" w:styleId="113">
    <w:name w:val="批注框文本 Char123"/>
    <w:semiHidden/>
    <w:qFormat/>
    <w:uiPriority w:val="99"/>
    <w:rPr>
      <w:rFonts w:ascii="仿宋" w:hAnsi="仿宋" w:eastAsia="仿宋" w:cs="仿宋"/>
      <w:color w:val="000000"/>
      <w:sz w:val="18"/>
      <w:szCs w:val="18"/>
    </w:rPr>
  </w:style>
  <w:style w:type="character" w:customStyle="1" w:styleId="114">
    <w:name w:val="批注框文本 Char122"/>
    <w:semiHidden/>
    <w:qFormat/>
    <w:uiPriority w:val="99"/>
    <w:rPr>
      <w:rFonts w:ascii="仿宋" w:hAnsi="仿宋" w:eastAsia="仿宋" w:cs="仿宋"/>
      <w:color w:val="000000"/>
      <w:sz w:val="18"/>
      <w:szCs w:val="18"/>
    </w:rPr>
  </w:style>
  <w:style w:type="character" w:customStyle="1" w:styleId="115">
    <w:name w:val="批注框文本 Char121"/>
    <w:semiHidden/>
    <w:qFormat/>
    <w:uiPriority w:val="99"/>
    <w:rPr>
      <w:rFonts w:ascii="仿宋" w:hAnsi="仿宋" w:eastAsia="仿宋" w:cs="仿宋"/>
      <w:color w:val="000000"/>
      <w:sz w:val="18"/>
      <w:szCs w:val="18"/>
    </w:rPr>
  </w:style>
  <w:style w:type="character" w:customStyle="1" w:styleId="116">
    <w:name w:val="批注框文本 Char120"/>
    <w:semiHidden/>
    <w:qFormat/>
    <w:uiPriority w:val="99"/>
    <w:rPr>
      <w:rFonts w:ascii="仿宋" w:hAnsi="仿宋" w:eastAsia="仿宋" w:cs="仿宋"/>
      <w:color w:val="000000"/>
      <w:sz w:val="18"/>
      <w:szCs w:val="18"/>
    </w:rPr>
  </w:style>
  <w:style w:type="character" w:customStyle="1" w:styleId="117">
    <w:name w:val="批注框文本 Char119"/>
    <w:semiHidden/>
    <w:qFormat/>
    <w:uiPriority w:val="99"/>
    <w:rPr>
      <w:rFonts w:ascii="仿宋" w:hAnsi="仿宋" w:eastAsia="仿宋" w:cs="仿宋"/>
      <w:color w:val="000000"/>
      <w:sz w:val="18"/>
      <w:szCs w:val="18"/>
    </w:rPr>
  </w:style>
  <w:style w:type="character" w:customStyle="1" w:styleId="118">
    <w:name w:val="批注框文本 Char118"/>
    <w:semiHidden/>
    <w:qFormat/>
    <w:uiPriority w:val="99"/>
    <w:rPr>
      <w:rFonts w:ascii="仿宋" w:hAnsi="仿宋" w:eastAsia="仿宋" w:cs="仿宋"/>
      <w:color w:val="000000"/>
      <w:sz w:val="18"/>
      <w:szCs w:val="18"/>
    </w:rPr>
  </w:style>
  <w:style w:type="character" w:customStyle="1" w:styleId="119">
    <w:name w:val="批注框文本 Char117"/>
    <w:semiHidden/>
    <w:qFormat/>
    <w:uiPriority w:val="99"/>
    <w:rPr>
      <w:rFonts w:ascii="仿宋" w:hAnsi="仿宋" w:eastAsia="仿宋" w:cs="仿宋"/>
      <w:color w:val="000000"/>
      <w:sz w:val="18"/>
      <w:szCs w:val="18"/>
    </w:rPr>
  </w:style>
  <w:style w:type="character" w:customStyle="1" w:styleId="120">
    <w:name w:val="批注框文本 Char116"/>
    <w:semiHidden/>
    <w:qFormat/>
    <w:uiPriority w:val="99"/>
    <w:rPr>
      <w:rFonts w:ascii="仿宋" w:hAnsi="仿宋" w:eastAsia="仿宋" w:cs="仿宋"/>
      <w:color w:val="000000"/>
      <w:sz w:val="18"/>
      <w:szCs w:val="18"/>
    </w:rPr>
  </w:style>
  <w:style w:type="character" w:customStyle="1" w:styleId="121">
    <w:name w:val="批注框文本 Char115"/>
    <w:semiHidden/>
    <w:qFormat/>
    <w:uiPriority w:val="99"/>
    <w:rPr>
      <w:rFonts w:ascii="仿宋" w:hAnsi="仿宋" w:eastAsia="仿宋" w:cs="仿宋"/>
      <w:color w:val="000000"/>
      <w:sz w:val="18"/>
      <w:szCs w:val="18"/>
    </w:rPr>
  </w:style>
  <w:style w:type="character" w:customStyle="1" w:styleId="122">
    <w:name w:val="批注框文本 Char114"/>
    <w:semiHidden/>
    <w:qFormat/>
    <w:uiPriority w:val="99"/>
    <w:rPr>
      <w:rFonts w:ascii="仿宋" w:hAnsi="仿宋" w:eastAsia="仿宋" w:cs="仿宋"/>
      <w:color w:val="000000"/>
      <w:sz w:val="18"/>
      <w:szCs w:val="18"/>
    </w:rPr>
  </w:style>
  <w:style w:type="character" w:customStyle="1" w:styleId="123">
    <w:name w:val="批注框文本 Char113"/>
    <w:semiHidden/>
    <w:qFormat/>
    <w:uiPriority w:val="99"/>
    <w:rPr>
      <w:rFonts w:ascii="仿宋" w:hAnsi="仿宋" w:eastAsia="仿宋" w:cs="仿宋"/>
      <w:color w:val="000000"/>
      <w:sz w:val="18"/>
      <w:szCs w:val="18"/>
    </w:rPr>
  </w:style>
  <w:style w:type="character" w:customStyle="1" w:styleId="124">
    <w:name w:val="批注框文本 Char112"/>
    <w:semiHidden/>
    <w:qFormat/>
    <w:uiPriority w:val="99"/>
    <w:rPr>
      <w:rFonts w:ascii="仿宋" w:hAnsi="仿宋" w:eastAsia="仿宋" w:cs="仿宋"/>
      <w:color w:val="000000"/>
      <w:sz w:val="18"/>
      <w:szCs w:val="18"/>
    </w:rPr>
  </w:style>
  <w:style w:type="character" w:customStyle="1" w:styleId="125">
    <w:name w:val="批注框文本 Char111"/>
    <w:semiHidden/>
    <w:qFormat/>
    <w:uiPriority w:val="99"/>
    <w:rPr>
      <w:rFonts w:ascii="仿宋" w:hAnsi="仿宋" w:eastAsia="仿宋" w:cs="仿宋"/>
      <w:color w:val="000000"/>
      <w:sz w:val="18"/>
      <w:szCs w:val="18"/>
    </w:rPr>
  </w:style>
  <w:style w:type="character" w:customStyle="1" w:styleId="126">
    <w:name w:val="批注框文本 Char110"/>
    <w:semiHidden/>
    <w:qFormat/>
    <w:uiPriority w:val="99"/>
    <w:rPr>
      <w:rFonts w:ascii="仿宋" w:hAnsi="仿宋" w:eastAsia="仿宋" w:cs="仿宋"/>
      <w:color w:val="000000"/>
      <w:sz w:val="18"/>
      <w:szCs w:val="18"/>
    </w:rPr>
  </w:style>
  <w:style w:type="character" w:customStyle="1" w:styleId="127">
    <w:name w:val="批注框文本 Char19"/>
    <w:semiHidden/>
    <w:qFormat/>
    <w:uiPriority w:val="99"/>
    <w:rPr>
      <w:rFonts w:ascii="仿宋" w:hAnsi="仿宋" w:eastAsia="仿宋" w:cs="仿宋"/>
      <w:color w:val="000000"/>
      <w:sz w:val="18"/>
      <w:szCs w:val="18"/>
    </w:rPr>
  </w:style>
  <w:style w:type="character" w:customStyle="1" w:styleId="128">
    <w:name w:val="批注框文本 Char18"/>
    <w:semiHidden/>
    <w:qFormat/>
    <w:uiPriority w:val="99"/>
    <w:rPr>
      <w:rFonts w:ascii="仿宋" w:hAnsi="仿宋" w:eastAsia="仿宋" w:cs="仿宋"/>
      <w:color w:val="000000"/>
      <w:sz w:val="18"/>
      <w:szCs w:val="18"/>
    </w:rPr>
  </w:style>
  <w:style w:type="character" w:customStyle="1" w:styleId="129">
    <w:name w:val="批注框文本 Char17"/>
    <w:semiHidden/>
    <w:qFormat/>
    <w:uiPriority w:val="99"/>
    <w:rPr>
      <w:rFonts w:ascii="仿宋" w:hAnsi="仿宋" w:eastAsia="仿宋" w:cs="仿宋"/>
      <w:color w:val="000000"/>
      <w:sz w:val="18"/>
      <w:szCs w:val="18"/>
    </w:rPr>
  </w:style>
  <w:style w:type="character" w:customStyle="1" w:styleId="130">
    <w:name w:val="批注框文本 Char16"/>
    <w:semiHidden/>
    <w:qFormat/>
    <w:uiPriority w:val="99"/>
    <w:rPr>
      <w:rFonts w:ascii="仿宋" w:hAnsi="仿宋" w:eastAsia="仿宋" w:cs="仿宋"/>
      <w:color w:val="000000"/>
      <w:sz w:val="18"/>
      <w:szCs w:val="18"/>
    </w:rPr>
  </w:style>
  <w:style w:type="character" w:customStyle="1" w:styleId="131">
    <w:name w:val="批注框文本 Char15"/>
    <w:semiHidden/>
    <w:qFormat/>
    <w:uiPriority w:val="99"/>
    <w:rPr>
      <w:rFonts w:ascii="仿宋" w:hAnsi="仿宋" w:eastAsia="仿宋" w:cs="仿宋"/>
      <w:color w:val="000000"/>
      <w:sz w:val="18"/>
      <w:szCs w:val="18"/>
    </w:rPr>
  </w:style>
  <w:style w:type="character" w:customStyle="1" w:styleId="132">
    <w:name w:val="批注框文本 Char14"/>
    <w:semiHidden/>
    <w:qFormat/>
    <w:uiPriority w:val="99"/>
    <w:rPr>
      <w:rFonts w:ascii="仿宋" w:hAnsi="仿宋" w:eastAsia="仿宋" w:cs="仿宋"/>
      <w:color w:val="000000"/>
      <w:sz w:val="18"/>
      <w:szCs w:val="18"/>
    </w:rPr>
  </w:style>
  <w:style w:type="character" w:customStyle="1" w:styleId="133">
    <w:name w:val="批注框文本 Char13"/>
    <w:semiHidden/>
    <w:qFormat/>
    <w:uiPriority w:val="99"/>
    <w:rPr>
      <w:rFonts w:ascii="仿宋" w:hAnsi="仿宋" w:eastAsia="仿宋" w:cs="仿宋"/>
      <w:color w:val="000000"/>
      <w:sz w:val="18"/>
      <w:szCs w:val="18"/>
    </w:rPr>
  </w:style>
  <w:style w:type="character" w:customStyle="1" w:styleId="134">
    <w:name w:val="批注框文本 Char12"/>
    <w:semiHidden/>
    <w:qFormat/>
    <w:uiPriority w:val="99"/>
    <w:rPr>
      <w:rFonts w:ascii="仿宋" w:hAnsi="仿宋" w:eastAsia="仿宋" w:cs="仿宋"/>
      <w:color w:val="000000"/>
      <w:sz w:val="18"/>
      <w:szCs w:val="18"/>
    </w:rPr>
  </w:style>
  <w:style w:type="character" w:customStyle="1" w:styleId="135">
    <w:name w:val="批注框文本 Char11"/>
    <w:semiHidden/>
    <w:qFormat/>
    <w:uiPriority w:val="99"/>
    <w:rPr>
      <w:rFonts w:ascii="仿宋" w:hAnsi="仿宋" w:eastAsia="仿宋" w:cs="仿宋"/>
      <w:color w:val="000000"/>
      <w:sz w:val="18"/>
      <w:szCs w:val="18"/>
    </w:rPr>
  </w:style>
  <w:style w:type="character" w:customStyle="1" w:styleId="136">
    <w:name w:val="页脚 Char1"/>
    <w:semiHidden/>
    <w:qFormat/>
    <w:uiPriority w:val="99"/>
    <w:rPr>
      <w:rFonts w:ascii="仿宋" w:hAnsi="仿宋" w:eastAsia="仿宋" w:cs="仿宋"/>
      <w:color w:val="000000"/>
      <w:sz w:val="18"/>
      <w:szCs w:val="18"/>
    </w:rPr>
  </w:style>
  <w:style w:type="character" w:customStyle="1" w:styleId="137">
    <w:name w:val="页脚 Char123"/>
    <w:semiHidden/>
    <w:qFormat/>
    <w:uiPriority w:val="99"/>
    <w:rPr>
      <w:rFonts w:ascii="仿宋" w:hAnsi="仿宋" w:eastAsia="仿宋" w:cs="仿宋"/>
      <w:color w:val="000000"/>
      <w:sz w:val="18"/>
      <w:szCs w:val="18"/>
    </w:rPr>
  </w:style>
  <w:style w:type="character" w:customStyle="1" w:styleId="138">
    <w:name w:val="页脚 Char122"/>
    <w:semiHidden/>
    <w:qFormat/>
    <w:uiPriority w:val="99"/>
    <w:rPr>
      <w:rFonts w:ascii="仿宋" w:hAnsi="仿宋" w:eastAsia="仿宋" w:cs="仿宋"/>
      <w:color w:val="000000"/>
      <w:sz w:val="18"/>
      <w:szCs w:val="18"/>
    </w:rPr>
  </w:style>
  <w:style w:type="character" w:customStyle="1" w:styleId="139">
    <w:name w:val="页脚 Char121"/>
    <w:semiHidden/>
    <w:qFormat/>
    <w:uiPriority w:val="99"/>
    <w:rPr>
      <w:rFonts w:ascii="仿宋" w:hAnsi="仿宋" w:eastAsia="仿宋" w:cs="仿宋"/>
      <w:color w:val="000000"/>
      <w:sz w:val="18"/>
      <w:szCs w:val="18"/>
    </w:rPr>
  </w:style>
  <w:style w:type="character" w:customStyle="1" w:styleId="140">
    <w:name w:val="页脚 Char120"/>
    <w:semiHidden/>
    <w:qFormat/>
    <w:uiPriority w:val="99"/>
    <w:rPr>
      <w:rFonts w:ascii="仿宋" w:hAnsi="仿宋" w:eastAsia="仿宋" w:cs="仿宋"/>
      <w:color w:val="000000"/>
      <w:sz w:val="18"/>
      <w:szCs w:val="18"/>
    </w:rPr>
  </w:style>
  <w:style w:type="character" w:customStyle="1" w:styleId="141">
    <w:name w:val="页脚 Char119"/>
    <w:semiHidden/>
    <w:qFormat/>
    <w:uiPriority w:val="99"/>
    <w:rPr>
      <w:rFonts w:ascii="仿宋" w:hAnsi="仿宋" w:eastAsia="仿宋" w:cs="仿宋"/>
      <w:color w:val="000000"/>
      <w:sz w:val="18"/>
      <w:szCs w:val="18"/>
    </w:rPr>
  </w:style>
  <w:style w:type="character" w:customStyle="1" w:styleId="142">
    <w:name w:val="页脚 Char118"/>
    <w:semiHidden/>
    <w:qFormat/>
    <w:uiPriority w:val="99"/>
    <w:rPr>
      <w:rFonts w:ascii="仿宋" w:hAnsi="仿宋" w:eastAsia="仿宋" w:cs="仿宋"/>
      <w:color w:val="000000"/>
      <w:sz w:val="18"/>
      <w:szCs w:val="18"/>
    </w:rPr>
  </w:style>
  <w:style w:type="character" w:customStyle="1" w:styleId="143">
    <w:name w:val="页脚 Char117"/>
    <w:semiHidden/>
    <w:qFormat/>
    <w:uiPriority w:val="99"/>
    <w:rPr>
      <w:rFonts w:ascii="仿宋" w:hAnsi="仿宋" w:eastAsia="仿宋" w:cs="仿宋"/>
      <w:color w:val="000000"/>
      <w:sz w:val="18"/>
      <w:szCs w:val="18"/>
    </w:rPr>
  </w:style>
  <w:style w:type="character" w:customStyle="1" w:styleId="144">
    <w:name w:val="页脚 Char116"/>
    <w:semiHidden/>
    <w:qFormat/>
    <w:uiPriority w:val="99"/>
    <w:rPr>
      <w:rFonts w:ascii="仿宋" w:hAnsi="仿宋" w:eastAsia="仿宋" w:cs="仿宋"/>
      <w:color w:val="000000"/>
      <w:sz w:val="18"/>
      <w:szCs w:val="18"/>
    </w:rPr>
  </w:style>
  <w:style w:type="character" w:customStyle="1" w:styleId="145">
    <w:name w:val="页脚 Char115"/>
    <w:semiHidden/>
    <w:qFormat/>
    <w:uiPriority w:val="99"/>
    <w:rPr>
      <w:rFonts w:ascii="仿宋" w:hAnsi="仿宋" w:eastAsia="仿宋" w:cs="仿宋"/>
      <w:color w:val="000000"/>
      <w:sz w:val="18"/>
      <w:szCs w:val="18"/>
    </w:rPr>
  </w:style>
  <w:style w:type="character" w:customStyle="1" w:styleId="146">
    <w:name w:val="页脚 Char114"/>
    <w:semiHidden/>
    <w:qFormat/>
    <w:uiPriority w:val="99"/>
    <w:rPr>
      <w:rFonts w:ascii="仿宋" w:hAnsi="仿宋" w:eastAsia="仿宋" w:cs="仿宋"/>
      <w:color w:val="000000"/>
      <w:sz w:val="18"/>
      <w:szCs w:val="18"/>
    </w:rPr>
  </w:style>
  <w:style w:type="character" w:customStyle="1" w:styleId="147">
    <w:name w:val="页脚 Char113"/>
    <w:semiHidden/>
    <w:qFormat/>
    <w:uiPriority w:val="99"/>
    <w:rPr>
      <w:rFonts w:ascii="仿宋" w:hAnsi="仿宋" w:eastAsia="仿宋" w:cs="仿宋"/>
      <w:color w:val="000000"/>
      <w:sz w:val="18"/>
      <w:szCs w:val="18"/>
    </w:rPr>
  </w:style>
  <w:style w:type="character" w:customStyle="1" w:styleId="148">
    <w:name w:val="页脚 Char112"/>
    <w:semiHidden/>
    <w:qFormat/>
    <w:uiPriority w:val="99"/>
    <w:rPr>
      <w:rFonts w:ascii="仿宋" w:hAnsi="仿宋" w:eastAsia="仿宋" w:cs="仿宋"/>
      <w:color w:val="000000"/>
      <w:sz w:val="18"/>
      <w:szCs w:val="18"/>
    </w:rPr>
  </w:style>
  <w:style w:type="character" w:customStyle="1" w:styleId="149">
    <w:name w:val="页脚 Char111"/>
    <w:semiHidden/>
    <w:qFormat/>
    <w:uiPriority w:val="99"/>
    <w:rPr>
      <w:rFonts w:ascii="仿宋" w:hAnsi="仿宋" w:eastAsia="仿宋" w:cs="仿宋"/>
      <w:color w:val="000000"/>
      <w:sz w:val="18"/>
      <w:szCs w:val="18"/>
    </w:rPr>
  </w:style>
  <w:style w:type="character" w:customStyle="1" w:styleId="150">
    <w:name w:val="页脚 Char110"/>
    <w:semiHidden/>
    <w:qFormat/>
    <w:uiPriority w:val="99"/>
    <w:rPr>
      <w:rFonts w:ascii="仿宋" w:hAnsi="仿宋" w:eastAsia="仿宋" w:cs="仿宋"/>
      <w:color w:val="000000"/>
      <w:sz w:val="18"/>
      <w:szCs w:val="18"/>
    </w:rPr>
  </w:style>
  <w:style w:type="character" w:customStyle="1" w:styleId="151">
    <w:name w:val="页脚 Char19"/>
    <w:semiHidden/>
    <w:qFormat/>
    <w:uiPriority w:val="99"/>
    <w:rPr>
      <w:rFonts w:ascii="仿宋" w:hAnsi="仿宋" w:eastAsia="仿宋" w:cs="仿宋"/>
      <w:color w:val="000000"/>
      <w:sz w:val="18"/>
      <w:szCs w:val="18"/>
    </w:rPr>
  </w:style>
  <w:style w:type="character" w:customStyle="1" w:styleId="152">
    <w:name w:val="页脚 Char18"/>
    <w:semiHidden/>
    <w:qFormat/>
    <w:uiPriority w:val="99"/>
    <w:rPr>
      <w:rFonts w:ascii="仿宋" w:hAnsi="仿宋" w:eastAsia="仿宋" w:cs="仿宋"/>
      <w:color w:val="000000"/>
      <w:sz w:val="18"/>
      <w:szCs w:val="18"/>
    </w:rPr>
  </w:style>
  <w:style w:type="character" w:customStyle="1" w:styleId="153">
    <w:name w:val="页脚 Char17"/>
    <w:semiHidden/>
    <w:qFormat/>
    <w:uiPriority w:val="99"/>
    <w:rPr>
      <w:rFonts w:ascii="仿宋" w:hAnsi="仿宋" w:eastAsia="仿宋" w:cs="仿宋"/>
      <w:color w:val="000000"/>
      <w:sz w:val="18"/>
      <w:szCs w:val="18"/>
    </w:rPr>
  </w:style>
  <w:style w:type="character" w:customStyle="1" w:styleId="154">
    <w:name w:val="页脚 Char16"/>
    <w:semiHidden/>
    <w:qFormat/>
    <w:uiPriority w:val="99"/>
    <w:rPr>
      <w:rFonts w:ascii="仿宋" w:hAnsi="仿宋" w:eastAsia="仿宋" w:cs="仿宋"/>
      <w:color w:val="000000"/>
      <w:sz w:val="18"/>
      <w:szCs w:val="18"/>
    </w:rPr>
  </w:style>
  <w:style w:type="character" w:customStyle="1" w:styleId="155">
    <w:name w:val="页脚 Char15"/>
    <w:semiHidden/>
    <w:qFormat/>
    <w:uiPriority w:val="99"/>
    <w:rPr>
      <w:rFonts w:ascii="仿宋" w:hAnsi="仿宋" w:eastAsia="仿宋" w:cs="仿宋"/>
      <w:color w:val="000000"/>
      <w:sz w:val="18"/>
      <w:szCs w:val="18"/>
    </w:rPr>
  </w:style>
  <w:style w:type="character" w:customStyle="1" w:styleId="156">
    <w:name w:val="页脚 Char14"/>
    <w:semiHidden/>
    <w:qFormat/>
    <w:uiPriority w:val="99"/>
    <w:rPr>
      <w:rFonts w:ascii="仿宋" w:hAnsi="仿宋" w:eastAsia="仿宋" w:cs="仿宋"/>
      <w:color w:val="000000"/>
      <w:sz w:val="18"/>
      <w:szCs w:val="18"/>
    </w:rPr>
  </w:style>
  <w:style w:type="character" w:customStyle="1" w:styleId="157">
    <w:name w:val="页脚 Char13"/>
    <w:semiHidden/>
    <w:qFormat/>
    <w:uiPriority w:val="99"/>
    <w:rPr>
      <w:rFonts w:ascii="仿宋" w:hAnsi="仿宋" w:eastAsia="仿宋" w:cs="仿宋"/>
      <w:color w:val="000000"/>
      <w:sz w:val="18"/>
      <w:szCs w:val="18"/>
    </w:rPr>
  </w:style>
  <w:style w:type="character" w:customStyle="1" w:styleId="158">
    <w:name w:val="页脚 Char12"/>
    <w:semiHidden/>
    <w:qFormat/>
    <w:uiPriority w:val="99"/>
    <w:rPr>
      <w:rFonts w:ascii="仿宋" w:hAnsi="仿宋" w:eastAsia="仿宋" w:cs="仿宋"/>
      <w:color w:val="000000"/>
      <w:sz w:val="18"/>
      <w:szCs w:val="18"/>
    </w:rPr>
  </w:style>
  <w:style w:type="character" w:customStyle="1" w:styleId="159">
    <w:name w:val="页脚 Char11"/>
    <w:semiHidden/>
    <w:qFormat/>
    <w:uiPriority w:val="99"/>
    <w:rPr>
      <w:rFonts w:ascii="仿宋" w:hAnsi="仿宋" w:eastAsia="仿宋" w:cs="仿宋"/>
      <w:color w:val="000000"/>
      <w:sz w:val="18"/>
      <w:szCs w:val="18"/>
    </w:rPr>
  </w:style>
  <w:style w:type="character" w:customStyle="1" w:styleId="160">
    <w:name w:val="页眉 Char1"/>
    <w:semiHidden/>
    <w:qFormat/>
    <w:uiPriority w:val="99"/>
    <w:rPr>
      <w:rFonts w:ascii="仿宋" w:hAnsi="仿宋" w:eastAsia="仿宋" w:cs="仿宋"/>
      <w:color w:val="000000"/>
      <w:sz w:val="18"/>
      <w:szCs w:val="18"/>
    </w:rPr>
  </w:style>
  <w:style w:type="character" w:customStyle="1" w:styleId="161">
    <w:name w:val="页眉 Char123"/>
    <w:semiHidden/>
    <w:qFormat/>
    <w:uiPriority w:val="99"/>
    <w:rPr>
      <w:rFonts w:ascii="仿宋" w:hAnsi="仿宋" w:eastAsia="仿宋" w:cs="仿宋"/>
      <w:color w:val="000000"/>
      <w:sz w:val="18"/>
      <w:szCs w:val="18"/>
    </w:rPr>
  </w:style>
  <w:style w:type="character" w:customStyle="1" w:styleId="162">
    <w:name w:val="页眉 Char122"/>
    <w:semiHidden/>
    <w:qFormat/>
    <w:uiPriority w:val="99"/>
    <w:rPr>
      <w:rFonts w:ascii="仿宋" w:hAnsi="仿宋" w:eastAsia="仿宋" w:cs="仿宋"/>
      <w:color w:val="000000"/>
      <w:sz w:val="18"/>
      <w:szCs w:val="18"/>
    </w:rPr>
  </w:style>
  <w:style w:type="character" w:customStyle="1" w:styleId="163">
    <w:name w:val="页眉 Char121"/>
    <w:semiHidden/>
    <w:uiPriority w:val="99"/>
    <w:rPr>
      <w:rFonts w:ascii="仿宋" w:hAnsi="仿宋" w:eastAsia="仿宋" w:cs="仿宋"/>
      <w:color w:val="000000"/>
      <w:sz w:val="18"/>
      <w:szCs w:val="18"/>
    </w:rPr>
  </w:style>
  <w:style w:type="character" w:customStyle="1" w:styleId="164">
    <w:name w:val="页眉 Char120"/>
    <w:semiHidden/>
    <w:qFormat/>
    <w:uiPriority w:val="99"/>
    <w:rPr>
      <w:rFonts w:ascii="仿宋" w:hAnsi="仿宋" w:eastAsia="仿宋" w:cs="仿宋"/>
      <w:color w:val="000000"/>
      <w:sz w:val="18"/>
      <w:szCs w:val="18"/>
    </w:rPr>
  </w:style>
  <w:style w:type="character" w:customStyle="1" w:styleId="165">
    <w:name w:val="页眉 Char119"/>
    <w:semiHidden/>
    <w:qFormat/>
    <w:uiPriority w:val="99"/>
    <w:rPr>
      <w:rFonts w:ascii="仿宋" w:hAnsi="仿宋" w:eastAsia="仿宋" w:cs="仿宋"/>
      <w:color w:val="000000"/>
      <w:sz w:val="18"/>
      <w:szCs w:val="18"/>
    </w:rPr>
  </w:style>
  <w:style w:type="character" w:customStyle="1" w:styleId="166">
    <w:name w:val="页眉 Char118"/>
    <w:semiHidden/>
    <w:qFormat/>
    <w:uiPriority w:val="99"/>
    <w:rPr>
      <w:rFonts w:ascii="仿宋" w:hAnsi="仿宋" w:eastAsia="仿宋" w:cs="仿宋"/>
      <w:color w:val="000000"/>
      <w:sz w:val="18"/>
      <w:szCs w:val="18"/>
    </w:rPr>
  </w:style>
  <w:style w:type="character" w:customStyle="1" w:styleId="167">
    <w:name w:val="页眉 Char117"/>
    <w:semiHidden/>
    <w:qFormat/>
    <w:uiPriority w:val="99"/>
    <w:rPr>
      <w:rFonts w:ascii="仿宋" w:hAnsi="仿宋" w:eastAsia="仿宋" w:cs="仿宋"/>
      <w:color w:val="000000"/>
      <w:sz w:val="18"/>
      <w:szCs w:val="18"/>
    </w:rPr>
  </w:style>
  <w:style w:type="character" w:customStyle="1" w:styleId="168">
    <w:name w:val="页眉 Char116"/>
    <w:semiHidden/>
    <w:qFormat/>
    <w:uiPriority w:val="99"/>
    <w:rPr>
      <w:rFonts w:ascii="仿宋" w:hAnsi="仿宋" w:eastAsia="仿宋" w:cs="仿宋"/>
      <w:color w:val="000000"/>
      <w:sz w:val="18"/>
      <w:szCs w:val="18"/>
    </w:rPr>
  </w:style>
  <w:style w:type="character" w:customStyle="1" w:styleId="169">
    <w:name w:val="页眉 Char115"/>
    <w:semiHidden/>
    <w:uiPriority w:val="99"/>
    <w:rPr>
      <w:rFonts w:ascii="仿宋" w:hAnsi="仿宋" w:eastAsia="仿宋" w:cs="仿宋"/>
      <w:color w:val="000000"/>
      <w:sz w:val="18"/>
      <w:szCs w:val="18"/>
    </w:rPr>
  </w:style>
  <w:style w:type="character" w:customStyle="1" w:styleId="170">
    <w:name w:val="页眉 Char114"/>
    <w:semiHidden/>
    <w:qFormat/>
    <w:uiPriority w:val="99"/>
    <w:rPr>
      <w:rFonts w:ascii="仿宋" w:hAnsi="仿宋" w:eastAsia="仿宋" w:cs="仿宋"/>
      <w:color w:val="000000"/>
      <w:sz w:val="18"/>
      <w:szCs w:val="18"/>
    </w:rPr>
  </w:style>
  <w:style w:type="character" w:customStyle="1" w:styleId="171">
    <w:name w:val="页眉 Char113"/>
    <w:semiHidden/>
    <w:qFormat/>
    <w:uiPriority w:val="99"/>
    <w:rPr>
      <w:rFonts w:ascii="仿宋" w:hAnsi="仿宋" w:eastAsia="仿宋" w:cs="仿宋"/>
      <w:color w:val="000000"/>
      <w:sz w:val="18"/>
      <w:szCs w:val="18"/>
    </w:rPr>
  </w:style>
  <w:style w:type="character" w:customStyle="1" w:styleId="172">
    <w:name w:val="页眉 Char112"/>
    <w:semiHidden/>
    <w:qFormat/>
    <w:uiPriority w:val="99"/>
    <w:rPr>
      <w:rFonts w:ascii="仿宋" w:hAnsi="仿宋" w:eastAsia="仿宋" w:cs="仿宋"/>
      <w:color w:val="000000"/>
      <w:sz w:val="18"/>
      <w:szCs w:val="18"/>
    </w:rPr>
  </w:style>
  <w:style w:type="character" w:customStyle="1" w:styleId="173">
    <w:name w:val="页眉 Char111"/>
    <w:semiHidden/>
    <w:qFormat/>
    <w:uiPriority w:val="99"/>
    <w:rPr>
      <w:rFonts w:ascii="仿宋" w:hAnsi="仿宋" w:eastAsia="仿宋" w:cs="仿宋"/>
      <w:color w:val="000000"/>
      <w:sz w:val="18"/>
      <w:szCs w:val="18"/>
    </w:rPr>
  </w:style>
  <w:style w:type="character" w:customStyle="1" w:styleId="174">
    <w:name w:val="页眉 Char110"/>
    <w:semiHidden/>
    <w:qFormat/>
    <w:uiPriority w:val="99"/>
    <w:rPr>
      <w:rFonts w:ascii="仿宋" w:hAnsi="仿宋" w:eastAsia="仿宋" w:cs="仿宋"/>
      <w:color w:val="000000"/>
      <w:sz w:val="18"/>
      <w:szCs w:val="18"/>
    </w:rPr>
  </w:style>
  <w:style w:type="character" w:customStyle="1" w:styleId="175">
    <w:name w:val="页眉 Char19"/>
    <w:semiHidden/>
    <w:qFormat/>
    <w:uiPriority w:val="99"/>
    <w:rPr>
      <w:rFonts w:ascii="仿宋" w:hAnsi="仿宋" w:eastAsia="仿宋" w:cs="仿宋"/>
      <w:color w:val="000000"/>
      <w:sz w:val="18"/>
      <w:szCs w:val="18"/>
    </w:rPr>
  </w:style>
  <w:style w:type="character" w:customStyle="1" w:styleId="176">
    <w:name w:val="页眉 Char18"/>
    <w:semiHidden/>
    <w:qFormat/>
    <w:uiPriority w:val="99"/>
    <w:rPr>
      <w:rFonts w:ascii="仿宋" w:hAnsi="仿宋" w:eastAsia="仿宋" w:cs="仿宋"/>
      <w:color w:val="000000"/>
      <w:sz w:val="18"/>
      <w:szCs w:val="18"/>
    </w:rPr>
  </w:style>
  <w:style w:type="character" w:customStyle="1" w:styleId="177">
    <w:name w:val="页眉 Char17"/>
    <w:semiHidden/>
    <w:qFormat/>
    <w:uiPriority w:val="99"/>
    <w:rPr>
      <w:rFonts w:ascii="仿宋" w:hAnsi="仿宋" w:eastAsia="仿宋" w:cs="仿宋"/>
      <w:color w:val="000000"/>
      <w:sz w:val="18"/>
      <w:szCs w:val="18"/>
    </w:rPr>
  </w:style>
  <w:style w:type="character" w:customStyle="1" w:styleId="178">
    <w:name w:val="页眉 Char16"/>
    <w:semiHidden/>
    <w:qFormat/>
    <w:uiPriority w:val="99"/>
    <w:rPr>
      <w:rFonts w:ascii="仿宋" w:hAnsi="仿宋" w:eastAsia="仿宋" w:cs="仿宋"/>
      <w:color w:val="000000"/>
      <w:sz w:val="18"/>
      <w:szCs w:val="18"/>
    </w:rPr>
  </w:style>
  <w:style w:type="character" w:customStyle="1" w:styleId="179">
    <w:name w:val="页眉 Char15"/>
    <w:semiHidden/>
    <w:qFormat/>
    <w:uiPriority w:val="99"/>
    <w:rPr>
      <w:rFonts w:ascii="仿宋" w:hAnsi="仿宋" w:eastAsia="仿宋" w:cs="仿宋"/>
      <w:color w:val="000000"/>
      <w:sz w:val="18"/>
      <w:szCs w:val="18"/>
    </w:rPr>
  </w:style>
  <w:style w:type="character" w:customStyle="1" w:styleId="180">
    <w:name w:val="页眉 Char14"/>
    <w:semiHidden/>
    <w:qFormat/>
    <w:uiPriority w:val="99"/>
    <w:rPr>
      <w:rFonts w:ascii="仿宋" w:hAnsi="仿宋" w:eastAsia="仿宋" w:cs="仿宋"/>
      <w:color w:val="000000"/>
      <w:sz w:val="18"/>
      <w:szCs w:val="18"/>
    </w:rPr>
  </w:style>
  <w:style w:type="character" w:customStyle="1" w:styleId="181">
    <w:name w:val="页眉 Char13"/>
    <w:semiHidden/>
    <w:qFormat/>
    <w:uiPriority w:val="99"/>
    <w:rPr>
      <w:rFonts w:ascii="仿宋" w:hAnsi="仿宋" w:eastAsia="仿宋" w:cs="仿宋"/>
      <w:color w:val="000000"/>
      <w:sz w:val="18"/>
      <w:szCs w:val="18"/>
    </w:rPr>
  </w:style>
  <w:style w:type="character" w:customStyle="1" w:styleId="182">
    <w:name w:val="页眉 Char12"/>
    <w:semiHidden/>
    <w:qFormat/>
    <w:uiPriority w:val="99"/>
    <w:rPr>
      <w:rFonts w:ascii="仿宋" w:hAnsi="仿宋" w:eastAsia="仿宋" w:cs="仿宋"/>
      <w:color w:val="000000"/>
      <w:sz w:val="18"/>
      <w:szCs w:val="18"/>
    </w:rPr>
  </w:style>
  <w:style w:type="character" w:customStyle="1" w:styleId="183">
    <w:name w:val="页眉 Char11"/>
    <w:semiHidden/>
    <w:qFormat/>
    <w:uiPriority w:val="99"/>
    <w:rPr>
      <w:rFonts w:ascii="仿宋" w:hAnsi="仿宋" w:eastAsia="仿宋" w:cs="仿宋"/>
      <w:color w:val="000000"/>
      <w:sz w:val="18"/>
      <w:szCs w:val="18"/>
    </w:rPr>
  </w:style>
  <w:style w:type="character" w:customStyle="1" w:styleId="184">
    <w:name w:val="正文文本缩进 3 Char1"/>
    <w:semiHidden/>
    <w:qFormat/>
    <w:uiPriority w:val="99"/>
    <w:rPr>
      <w:rFonts w:ascii="仿宋" w:hAnsi="仿宋" w:eastAsia="仿宋" w:cs="仿宋"/>
      <w:color w:val="000000"/>
      <w:sz w:val="16"/>
      <w:szCs w:val="16"/>
    </w:rPr>
  </w:style>
  <w:style w:type="character" w:customStyle="1" w:styleId="185">
    <w:name w:val="正文文本缩进 3 Char123"/>
    <w:semiHidden/>
    <w:qFormat/>
    <w:uiPriority w:val="99"/>
    <w:rPr>
      <w:rFonts w:ascii="仿宋" w:hAnsi="仿宋" w:eastAsia="仿宋" w:cs="仿宋"/>
      <w:color w:val="000000"/>
      <w:sz w:val="16"/>
      <w:szCs w:val="16"/>
    </w:rPr>
  </w:style>
  <w:style w:type="character" w:customStyle="1" w:styleId="186">
    <w:name w:val="正文文本缩进 3 Char122"/>
    <w:semiHidden/>
    <w:qFormat/>
    <w:uiPriority w:val="99"/>
    <w:rPr>
      <w:rFonts w:ascii="仿宋" w:hAnsi="仿宋" w:eastAsia="仿宋" w:cs="仿宋"/>
      <w:color w:val="000000"/>
      <w:sz w:val="16"/>
      <w:szCs w:val="16"/>
    </w:rPr>
  </w:style>
  <w:style w:type="character" w:customStyle="1" w:styleId="187">
    <w:name w:val="正文文本缩进 3 Char121"/>
    <w:semiHidden/>
    <w:qFormat/>
    <w:uiPriority w:val="99"/>
    <w:rPr>
      <w:rFonts w:ascii="仿宋" w:hAnsi="仿宋" w:eastAsia="仿宋" w:cs="仿宋"/>
      <w:color w:val="000000"/>
      <w:sz w:val="16"/>
      <w:szCs w:val="16"/>
    </w:rPr>
  </w:style>
  <w:style w:type="character" w:customStyle="1" w:styleId="188">
    <w:name w:val="正文文本缩进 3 Char120"/>
    <w:semiHidden/>
    <w:qFormat/>
    <w:uiPriority w:val="99"/>
    <w:rPr>
      <w:rFonts w:ascii="仿宋" w:hAnsi="仿宋" w:eastAsia="仿宋" w:cs="仿宋"/>
      <w:color w:val="000000"/>
      <w:sz w:val="16"/>
      <w:szCs w:val="16"/>
    </w:rPr>
  </w:style>
  <w:style w:type="character" w:customStyle="1" w:styleId="189">
    <w:name w:val="正文文本缩进 3 Char119"/>
    <w:semiHidden/>
    <w:qFormat/>
    <w:uiPriority w:val="99"/>
    <w:rPr>
      <w:rFonts w:ascii="仿宋" w:hAnsi="仿宋" w:eastAsia="仿宋" w:cs="仿宋"/>
      <w:color w:val="000000"/>
      <w:sz w:val="16"/>
      <w:szCs w:val="16"/>
    </w:rPr>
  </w:style>
  <w:style w:type="character" w:customStyle="1" w:styleId="190">
    <w:name w:val="正文文本缩进 3 Char118"/>
    <w:semiHidden/>
    <w:qFormat/>
    <w:uiPriority w:val="99"/>
    <w:rPr>
      <w:rFonts w:ascii="仿宋" w:hAnsi="仿宋" w:eastAsia="仿宋" w:cs="仿宋"/>
      <w:color w:val="000000"/>
      <w:sz w:val="16"/>
      <w:szCs w:val="16"/>
    </w:rPr>
  </w:style>
  <w:style w:type="character" w:customStyle="1" w:styleId="191">
    <w:name w:val="正文文本缩进 3 Char117"/>
    <w:semiHidden/>
    <w:qFormat/>
    <w:uiPriority w:val="99"/>
    <w:rPr>
      <w:rFonts w:ascii="仿宋" w:hAnsi="仿宋" w:eastAsia="仿宋" w:cs="仿宋"/>
      <w:color w:val="000000"/>
      <w:sz w:val="16"/>
      <w:szCs w:val="16"/>
    </w:rPr>
  </w:style>
  <w:style w:type="character" w:customStyle="1" w:styleId="192">
    <w:name w:val="正文文本缩进 3 Char116"/>
    <w:semiHidden/>
    <w:qFormat/>
    <w:uiPriority w:val="99"/>
    <w:rPr>
      <w:rFonts w:ascii="仿宋" w:hAnsi="仿宋" w:eastAsia="仿宋" w:cs="仿宋"/>
      <w:color w:val="000000"/>
      <w:sz w:val="16"/>
      <w:szCs w:val="16"/>
    </w:rPr>
  </w:style>
  <w:style w:type="character" w:customStyle="1" w:styleId="193">
    <w:name w:val="正文文本缩进 3 Char115"/>
    <w:semiHidden/>
    <w:qFormat/>
    <w:uiPriority w:val="99"/>
    <w:rPr>
      <w:rFonts w:ascii="仿宋" w:hAnsi="仿宋" w:eastAsia="仿宋" w:cs="仿宋"/>
      <w:color w:val="000000"/>
      <w:sz w:val="16"/>
      <w:szCs w:val="16"/>
    </w:rPr>
  </w:style>
  <w:style w:type="character" w:customStyle="1" w:styleId="194">
    <w:name w:val="正文文本缩进 3 Char114"/>
    <w:semiHidden/>
    <w:qFormat/>
    <w:uiPriority w:val="99"/>
    <w:rPr>
      <w:rFonts w:ascii="仿宋" w:hAnsi="仿宋" w:eastAsia="仿宋" w:cs="仿宋"/>
      <w:color w:val="000000"/>
      <w:sz w:val="16"/>
      <w:szCs w:val="16"/>
    </w:rPr>
  </w:style>
  <w:style w:type="character" w:customStyle="1" w:styleId="195">
    <w:name w:val="正文文本缩进 3 Char113"/>
    <w:semiHidden/>
    <w:qFormat/>
    <w:uiPriority w:val="99"/>
    <w:rPr>
      <w:rFonts w:ascii="仿宋" w:hAnsi="仿宋" w:eastAsia="仿宋" w:cs="仿宋"/>
      <w:color w:val="000000"/>
      <w:sz w:val="16"/>
      <w:szCs w:val="16"/>
    </w:rPr>
  </w:style>
  <w:style w:type="character" w:customStyle="1" w:styleId="196">
    <w:name w:val="正文文本缩进 3 Char112"/>
    <w:semiHidden/>
    <w:qFormat/>
    <w:uiPriority w:val="99"/>
    <w:rPr>
      <w:rFonts w:ascii="仿宋" w:hAnsi="仿宋" w:eastAsia="仿宋" w:cs="仿宋"/>
      <w:color w:val="000000"/>
      <w:sz w:val="16"/>
      <w:szCs w:val="16"/>
    </w:rPr>
  </w:style>
  <w:style w:type="character" w:customStyle="1" w:styleId="197">
    <w:name w:val="正文文本缩进 3 Char111"/>
    <w:semiHidden/>
    <w:qFormat/>
    <w:uiPriority w:val="99"/>
    <w:rPr>
      <w:rFonts w:ascii="仿宋" w:hAnsi="仿宋" w:eastAsia="仿宋" w:cs="仿宋"/>
      <w:color w:val="000000"/>
      <w:sz w:val="16"/>
      <w:szCs w:val="16"/>
    </w:rPr>
  </w:style>
  <w:style w:type="character" w:customStyle="1" w:styleId="198">
    <w:name w:val="正文文本缩进 3 Char110"/>
    <w:semiHidden/>
    <w:qFormat/>
    <w:uiPriority w:val="99"/>
    <w:rPr>
      <w:rFonts w:ascii="仿宋" w:hAnsi="仿宋" w:eastAsia="仿宋" w:cs="仿宋"/>
      <w:color w:val="000000"/>
      <w:sz w:val="16"/>
      <w:szCs w:val="16"/>
    </w:rPr>
  </w:style>
  <w:style w:type="character" w:customStyle="1" w:styleId="199">
    <w:name w:val="正文文本缩进 3 Char19"/>
    <w:semiHidden/>
    <w:qFormat/>
    <w:uiPriority w:val="99"/>
    <w:rPr>
      <w:rFonts w:ascii="仿宋" w:hAnsi="仿宋" w:eastAsia="仿宋" w:cs="仿宋"/>
      <w:color w:val="000000"/>
      <w:sz w:val="16"/>
      <w:szCs w:val="16"/>
    </w:rPr>
  </w:style>
  <w:style w:type="character" w:customStyle="1" w:styleId="200">
    <w:name w:val="正文文本缩进 3 Char18"/>
    <w:semiHidden/>
    <w:qFormat/>
    <w:uiPriority w:val="99"/>
    <w:rPr>
      <w:rFonts w:ascii="仿宋" w:hAnsi="仿宋" w:eastAsia="仿宋" w:cs="仿宋"/>
      <w:color w:val="000000"/>
      <w:sz w:val="16"/>
      <w:szCs w:val="16"/>
    </w:rPr>
  </w:style>
  <w:style w:type="character" w:customStyle="1" w:styleId="201">
    <w:name w:val="正文文本缩进 3 Char17"/>
    <w:semiHidden/>
    <w:qFormat/>
    <w:uiPriority w:val="99"/>
    <w:rPr>
      <w:rFonts w:ascii="仿宋" w:hAnsi="仿宋" w:eastAsia="仿宋" w:cs="仿宋"/>
      <w:color w:val="000000"/>
      <w:sz w:val="16"/>
      <w:szCs w:val="16"/>
    </w:rPr>
  </w:style>
  <w:style w:type="character" w:customStyle="1" w:styleId="202">
    <w:name w:val="正文文本缩进 3 Char16"/>
    <w:semiHidden/>
    <w:qFormat/>
    <w:uiPriority w:val="99"/>
    <w:rPr>
      <w:rFonts w:ascii="仿宋" w:hAnsi="仿宋" w:eastAsia="仿宋" w:cs="仿宋"/>
      <w:color w:val="000000"/>
      <w:sz w:val="16"/>
      <w:szCs w:val="16"/>
    </w:rPr>
  </w:style>
  <w:style w:type="character" w:customStyle="1" w:styleId="203">
    <w:name w:val="正文文本缩进 3 Char15"/>
    <w:semiHidden/>
    <w:qFormat/>
    <w:uiPriority w:val="99"/>
    <w:rPr>
      <w:rFonts w:ascii="仿宋" w:hAnsi="仿宋" w:eastAsia="仿宋" w:cs="仿宋"/>
      <w:color w:val="000000"/>
      <w:sz w:val="16"/>
      <w:szCs w:val="16"/>
    </w:rPr>
  </w:style>
  <w:style w:type="character" w:customStyle="1" w:styleId="204">
    <w:name w:val="正文文本缩进 3 Char14"/>
    <w:semiHidden/>
    <w:qFormat/>
    <w:uiPriority w:val="99"/>
    <w:rPr>
      <w:rFonts w:ascii="仿宋" w:hAnsi="仿宋" w:eastAsia="仿宋" w:cs="仿宋"/>
      <w:color w:val="000000"/>
      <w:sz w:val="16"/>
      <w:szCs w:val="16"/>
    </w:rPr>
  </w:style>
  <w:style w:type="character" w:customStyle="1" w:styleId="205">
    <w:name w:val="正文文本缩进 3 Char13"/>
    <w:semiHidden/>
    <w:qFormat/>
    <w:uiPriority w:val="99"/>
    <w:rPr>
      <w:rFonts w:ascii="仿宋" w:hAnsi="仿宋" w:eastAsia="仿宋" w:cs="仿宋"/>
      <w:color w:val="000000"/>
      <w:sz w:val="16"/>
      <w:szCs w:val="16"/>
    </w:rPr>
  </w:style>
  <w:style w:type="character" w:customStyle="1" w:styleId="206">
    <w:name w:val="正文文本缩进 3 Char12"/>
    <w:semiHidden/>
    <w:qFormat/>
    <w:uiPriority w:val="99"/>
    <w:rPr>
      <w:rFonts w:ascii="仿宋" w:hAnsi="仿宋" w:eastAsia="仿宋" w:cs="仿宋"/>
      <w:color w:val="000000"/>
      <w:sz w:val="16"/>
      <w:szCs w:val="16"/>
    </w:rPr>
  </w:style>
  <w:style w:type="character" w:customStyle="1" w:styleId="207">
    <w:name w:val="正文文本缩进 3 Char11"/>
    <w:semiHidden/>
    <w:qFormat/>
    <w:uiPriority w:val="99"/>
    <w:rPr>
      <w:rFonts w:ascii="仿宋" w:hAnsi="仿宋" w:eastAsia="仿宋" w:cs="仿宋"/>
      <w:color w:val="000000"/>
      <w:sz w:val="16"/>
      <w:szCs w:val="16"/>
    </w:rPr>
  </w:style>
  <w:style w:type="character" w:customStyle="1" w:styleId="208">
    <w:name w:val="未处理的提及1"/>
    <w:semiHidden/>
    <w:qFormat/>
    <w:uiPriority w:val="99"/>
    <w:rPr>
      <w:rFonts w:cs="Times New Roman"/>
      <w:color w:val="605E5C"/>
      <w:shd w:val="clear" w:color="auto" w:fill="E1DFDD"/>
    </w:rPr>
  </w:style>
  <w:style w:type="character" w:customStyle="1" w:styleId="209">
    <w:name w:val="Footer Char"/>
    <w:qFormat/>
    <w:locked/>
    <w:uiPriority w:val="0"/>
    <w:rPr>
      <w:rFonts w:cs="Times New Roman"/>
      <w:sz w:val="18"/>
      <w:szCs w:val="18"/>
    </w:rPr>
  </w:style>
  <w:style w:type="character" w:customStyle="1" w:styleId="210">
    <w:name w:val="Header Char"/>
    <w:qFormat/>
    <w:locked/>
    <w:uiPriority w:val="0"/>
    <w:rPr>
      <w:rFonts w:cs="Times New Roman"/>
      <w:sz w:val="18"/>
      <w:szCs w:val="18"/>
    </w:rPr>
  </w:style>
  <w:style w:type="table" w:customStyle="1" w:styleId="211">
    <w:name w:val="TableGrid"/>
    <w:qFormat/>
    <w:uiPriority w:val="99"/>
    <w:tblPr>
      <w:tblCellMar>
        <w:top w:w="0" w:type="dxa"/>
        <w:left w:w="0" w:type="dxa"/>
        <w:bottom w:w="0" w:type="dxa"/>
        <w:right w:w="0" w:type="dxa"/>
      </w:tblCellMar>
    </w:tblPr>
  </w:style>
  <w:style w:type="table" w:customStyle="1" w:styleId="212">
    <w:name w:val="Table Normal1"/>
    <w:semiHidden/>
    <w:qFormat/>
    <w:uiPriority w:val="99"/>
    <w:pPr>
      <w:widowControl w:val="0"/>
    </w:pPr>
    <w:rPr>
      <w:sz w:val="22"/>
      <w:lang w:eastAsia="en-US"/>
    </w:rPr>
    <w:tblPr>
      <w:tblCellMar>
        <w:top w:w="0" w:type="dxa"/>
        <w:left w:w="0" w:type="dxa"/>
        <w:bottom w:w="0" w:type="dxa"/>
        <w:right w:w="0" w:type="dxa"/>
      </w:tblCellMar>
    </w:tblPr>
  </w:style>
  <w:style w:type="table" w:customStyle="1" w:styleId="213">
    <w:name w:val="网格型1"/>
    <w:basedOn w:val="2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
    <w:name w:val="网格型2"/>
    <w:basedOn w:val="2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
    <w:name w:val="网格型3"/>
    <w:basedOn w:val="2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
    <w:name w:val="网格型4"/>
    <w:basedOn w:val="2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
    <w:name w:val="网格型5"/>
    <w:basedOn w:val="2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
    <w:name w:val="网格型18"/>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emf"/><Relationship Id="rId20" Type="http://schemas.openxmlformats.org/officeDocument/2006/relationships/package" Target="embeddings/Microsoft_Visio___1.vsdx"/><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9"/>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41436E-FCC8-4D8D-A6EA-9AFA2226D884}">
  <ds:schemaRefs/>
</ds:datastoreItem>
</file>

<file path=docProps/app.xml><?xml version="1.0" encoding="utf-8"?>
<Properties xmlns="http://schemas.openxmlformats.org/officeDocument/2006/extended-properties" xmlns:vt="http://schemas.openxmlformats.org/officeDocument/2006/docPropsVTypes">
  <Template>Normal</Template>
  <Pages>68</Pages>
  <Words>23259</Words>
  <Characters>24452</Characters>
  <Lines>204</Lines>
  <Paragraphs>57</Paragraphs>
  <TotalTime>1</TotalTime>
  <ScaleCrop>false</ScaleCrop>
  <LinksUpToDate>false</LinksUpToDate>
  <CharactersWithSpaces>25229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2019-11-10T15:00:00Z</dcterms:created>
  <dc:creator>G X</dc:creator>
  <cp:lastModifiedBy>单调的黑白</cp:lastModifiedBy>
  <cp:lastPrinted>2019-06-14T05:25:00Z</cp:lastPrinted>
  <dcterms:modified xsi:type="dcterms:W3CDTF">2022-06-02T07:00:17Z</dcterms:modified>
  <dc:title>安全生产标准化手册第二册</dc:title>
  <cp:revision>287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1AF71E536D87473C944036E3B9E7F074</vt:lpwstr>
  </property>
</Properties>
</file>