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881" w:lineRule="exact"/>
        <w:ind w:left="0" w:right="23" w:firstLine="0"/>
        <w:jc w:val="center"/>
        <w:rPr>
          <w:rFonts w:cs="Times New Roman" w:asciiTheme="minorEastAsia" w:hAnsiTheme="minorEastAsia" w:eastAsiaTheme="minorEastAsia"/>
          <w:color w:val="auto"/>
          <w:spacing w:val="18"/>
          <w:sz w:val="52"/>
          <w:szCs w:val="24"/>
        </w:rPr>
      </w:pP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rPr>
        <w:t>中电建冀交高速公路投资发展有限公司</w:t>
      </w: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rPr>
        <w:t>风险分级管控与隐患排查治理实施手册</w:t>
      </w: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lang w:eastAsia="zh-CN"/>
        </w:rPr>
        <w:t>（</w:t>
      </w:r>
      <w:r>
        <w:rPr>
          <w:rFonts w:hint="eastAsia" w:cs="Times New Roman" w:asciiTheme="minorEastAsia" w:hAnsiTheme="minorEastAsia" w:eastAsiaTheme="minorEastAsia"/>
          <w:color w:val="auto"/>
          <w:spacing w:val="18"/>
          <w:sz w:val="44"/>
          <w:szCs w:val="24"/>
        </w:rPr>
        <w:t>指挥调度</w:t>
      </w:r>
      <w:r>
        <w:rPr>
          <w:rFonts w:hint="eastAsia" w:cs="Times New Roman" w:asciiTheme="minorEastAsia" w:hAnsiTheme="minorEastAsia" w:eastAsiaTheme="minorEastAsia"/>
          <w:color w:val="auto"/>
          <w:spacing w:val="18"/>
          <w:sz w:val="44"/>
          <w:szCs w:val="24"/>
          <w:lang w:eastAsia="zh-CN"/>
        </w:rPr>
        <w:t>）</w:t>
      </w:r>
      <w:bookmarkStart w:id="47" w:name="_GoBack"/>
      <w:bookmarkEnd w:id="47"/>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jc w:val="center"/>
        <w:rPr>
          <w:rFonts w:cs="Noto Sans CJK JP Regular" w:asciiTheme="minorEastAsia" w:hAnsiTheme="minorEastAsia" w:eastAsiaTheme="minorEastAsia"/>
          <w:color w:val="auto"/>
          <w:kern w:val="0"/>
          <w:sz w:val="45"/>
          <w:szCs w:val="24"/>
          <w:lang w:val="zh-CN" w:bidi="zh-CN"/>
        </w:rPr>
      </w:pPr>
      <w:r>
        <w:rPr>
          <w:color w:val="auto"/>
        </w:rPr>
        <w:drawing>
          <wp:inline distT="0" distB="0" distL="0" distR="0">
            <wp:extent cx="1285875" cy="1485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stretch>
                      <a:fillRect/>
                    </a:stretch>
                  </pic:blipFill>
                  <pic:spPr>
                    <a:xfrm>
                      <a:off x="0" y="0"/>
                      <a:ext cx="1285875" cy="1485900"/>
                    </a:xfrm>
                    <a:prstGeom prst="rect">
                      <a:avLst/>
                    </a:prstGeom>
                  </pic:spPr>
                </pic:pic>
              </a:graphicData>
            </a:graphic>
          </wp:inline>
        </w:drawing>
      </w:r>
    </w:p>
    <w:p>
      <w:pPr>
        <w:widowControl w:val="0"/>
        <w:tabs>
          <w:tab w:val="left" w:pos="1259"/>
          <w:tab w:val="left" w:pos="2520"/>
          <w:tab w:val="left" w:pos="3780"/>
        </w:tabs>
        <w:spacing w:after="0" w:line="240" w:lineRule="auto"/>
        <w:ind w:left="0" w:right="15" w:firstLine="0"/>
        <w:jc w:val="center"/>
        <w:rPr>
          <w:rFonts w:cs="Times New Roman" w:asciiTheme="minorEastAsia" w:hAnsiTheme="minorEastAsia" w:eastAsiaTheme="minorEastAsia"/>
          <w:color w:val="auto"/>
          <w:sz w:val="84"/>
          <w:szCs w:val="24"/>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84"/>
          <w:szCs w:val="24"/>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84"/>
          <w:szCs w:val="24"/>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6"/>
          <w:szCs w:val="36"/>
          <w:lang w:val="zh-CN" w:bidi="zh-CN"/>
        </w:rPr>
      </w:pPr>
      <w:r>
        <w:rPr>
          <w:rFonts w:hint="eastAsia" w:cs="Noto Sans CJK JP Regular" w:asciiTheme="minorEastAsia" w:hAnsiTheme="minorEastAsia" w:eastAsiaTheme="minorEastAsia"/>
          <w:color w:val="auto"/>
          <w:kern w:val="0"/>
          <w:sz w:val="36"/>
          <w:szCs w:val="36"/>
          <w:lang w:val="zh-CN" w:bidi="zh-CN"/>
        </w:rPr>
        <w:t>中电建冀交高速公路投资发展有限公司</w:t>
      </w: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6"/>
          <w:szCs w:val="36"/>
          <w:lang w:val="zh-CN" w:bidi="zh-CN"/>
        </w:rPr>
      </w:pPr>
      <w:r>
        <w:rPr>
          <w:rFonts w:cs="Noto Sans CJK JP Regular" w:asciiTheme="minorEastAsia" w:hAnsiTheme="minorEastAsia" w:eastAsiaTheme="minorEastAsia"/>
          <w:color w:val="auto"/>
          <w:kern w:val="0"/>
          <w:sz w:val="36"/>
          <w:szCs w:val="36"/>
          <w:lang w:val="zh-CN" w:bidi="zh-CN"/>
        </w:rPr>
        <w:t>20</w:t>
      </w:r>
      <w:r>
        <w:rPr>
          <w:rFonts w:hint="eastAsia" w:cs="Noto Sans CJK JP Regular" w:asciiTheme="minorEastAsia" w:hAnsiTheme="minorEastAsia" w:eastAsiaTheme="minorEastAsia"/>
          <w:color w:val="auto"/>
          <w:kern w:val="0"/>
          <w:sz w:val="36"/>
          <w:szCs w:val="36"/>
          <w:lang w:val="zh-CN" w:bidi="zh-CN"/>
        </w:rPr>
        <w:t>22</w:t>
      </w:r>
      <w:r>
        <w:rPr>
          <w:rFonts w:cs="Noto Sans CJK JP Regular" w:asciiTheme="minorEastAsia" w:hAnsiTheme="minorEastAsia" w:eastAsiaTheme="minorEastAsia"/>
          <w:color w:val="auto"/>
          <w:kern w:val="0"/>
          <w:sz w:val="36"/>
          <w:szCs w:val="36"/>
          <w:lang w:val="zh-CN" w:bidi="zh-CN"/>
        </w:rPr>
        <w:t>年</w:t>
      </w:r>
      <w:r>
        <w:rPr>
          <w:rFonts w:hint="eastAsia" w:cs="Noto Sans CJK JP Regular" w:asciiTheme="minorEastAsia" w:hAnsiTheme="minorEastAsia" w:eastAsiaTheme="minorEastAsia"/>
          <w:color w:val="auto"/>
          <w:kern w:val="0"/>
          <w:sz w:val="36"/>
          <w:szCs w:val="36"/>
          <w:lang w:val="zh-CN" w:bidi="zh-CN"/>
        </w:rPr>
        <w:t>6</w:t>
      </w:r>
      <w:r>
        <w:rPr>
          <w:rFonts w:cs="Noto Sans CJK JP Regular" w:asciiTheme="minorEastAsia" w:hAnsiTheme="minorEastAsia" w:eastAsiaTheme="minorEastAsia"/>
          <w:color w:val="auto"/>
          <w:kern w:val="0"/>
          <w:sz w:val="36"/>
          <w:szCs w:val="36"/>
          <w:lang w:val="zh-CN" w:bidi="zh-CN"/>
        </w:rPr>
        <w:t>月</w:t>
      </w:r>
    </w:p>
    <w:p>
      <w:pPr>
        <w:spacing w:line="560" w:lineRule="exact"/>
        <w:ind w:left="18" w:hanging="18" w:hangingChars="4"/>
        <w:jc w:val="center"/>
        <w:rPr>
          <w:rFonts w:asciiTheme="minorEastAsia" w:hAnsiTheme="minorEastAsia" w:eastAsiaTheme="minorEastAsia"/>
          <w:b/>
          <w:color w:val="auto"/>
          <w:sz w:val="32"/>
          <w:szCs w:val="32"/>
        </w:rPr>
      </w:pPr>
      <w:r>
        <w:rPr>
          <w:rFonts w:asciiTheme="minorEastAsia" w:hAnsiTheme="minorEastAsia" w:eastAsiaTheme="minorEastAsia"/>
          <w:b/>
          <w:color w:val="auto"/>
          <w:sz w:val="44"/>
          <w:szCs w:val="44"/>
        </w:rPr>
        <w:br w:type="page"/>
      </w:r>
      <w:r>
        <w:rPr>
          <w:rFonts w:hint="eastAsia" w:asciiTheme="minorEastAsia" w:hAnsiTheme="minorEastAsia" w:eastAsiaTheme="minorEastAsia"/>
          <w:b/>
          <w:color w:val="auto"/>
          <w:sz w:val="32"/>
          <w:szCs w:val="32"/>
        </w:rPr>
        <w:t>编制说明</w:t>
      </w:r>
    </w:p>
    <w:p>
      <w:pPr>
        <w:spacing w:after="0" w:line="560" w:lineRule="exact"/>
        <w:ind w:left="0" w:firstLine="0"/>
        <w:jc w:val="both"/>
        <w:rPr>
          <w:rFonts w:asciiTheme="minorEastAsia" w:hAnsiTheme="minorEastAsia" w:eastAsiaTheme="minorEastAsia"/>
          <w:b/>
          <w:color w:val="auto"/>
          <w:sz w:val="44"/>
          <w:szCs w:val="44"/>
        </w:rPr>
      </w:pPr>
    </w:p>
    <w:p>
      <w:pPr>
        <w:spacing w:after="0" w:line="560" w:lineRule="exact"/>
        <w:ind w:left="0" w:firstLine="48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构建安全生产风险管理和隐患治理双重预防体系是贯彻落实中共中央国务院关于推进安全生产领域改革发展的重要要求，是转变安全生产管理方式提高安全生产管理水平的重要途径，是有效防范和遏制安全生产重特大事故的重要举措。中电建冀交高速公路投资发展有限公司（以下简称“中电建冀交高投公司”）按照“标本兼治、综合治理、系统建设”的总要求，将安全生产风险管理和隐患治理作为当前和今后一段时期安全生产工作的重中之重，认真组织贯彻落实双控体系建设要求，积极推进安全生产风险管理和隐患治理机制建设，持续推动中电建冀交高投公司安全发展。</w:t>
      </w:r>
    </w:p>
    <w:p>
      <w:pPr>
        <w:spacing w:after="0" w:line="560" w:lineRule="exact"/>
        <w:ind w:left="0" w:firstLine="48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本手册是依据交通运输部《公路水路行业安全生产风险管理暂行办法》、《公路水路行业安全生产事故隐患治理暂行办法》、《河北省安全生产风险管控与隐患治理规定》等相关规定，以中电建冀交高投公司所属</w:t>
      </w:r>
      <w:r>
        <w:rPr>
          <w:rFonts w:hint="eastAsia" w:asciiTheme="minorEastAsia" w:hAnsiTheme="minorEastAsia" w:eastAsiaTheme="minorEastAsia"/>
          <w:color w:val="auto"/>
          <w:szCs w:val="24"/>
          <w:lang w:eastAsia="zh-CN"/>
        </w:rPr>
        <w:t>路段管理特点</w:t>
      </w:r>
      <w:r>
        <w:rPr>
          <w:rFonts w:hint="eastAsia" w:asciiTheme="minorEastAsia" w:hAnsiTheme="minorEastAsia" w:eastAsiaTheme="minorEastAsia"/>
          <w:color w:val="auto"/>
          <w:szCs w:val="24"/>
        </w:rPr>
        <w:t>编制而成。手册中明确了风险、隐患的定义，各部室及各单位在风险管理和隐患排查治理中的职责，以及风险管理和隐患排查治理的流程、要求和标准等内容，用于规范和指导中电建冀交高投公司风险管理和事故隐患排查治理工作，达到降低风险，杜绝或减少隐患，降低生产安全事故发生的目的。</w:t>
      </w:r>
    </w:p>
    <w:p>
      <w:pPr>
        <w:spacing w:after="0" w:line="560" w:lineRule="exact"/>
        <w:ind w:left="0" w:firstLine="48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本篇是针对指挥调度，依据现有组织机构和岗位职责，划分安全管理组织责任，明确各部门安全生产责任，落实各岗位安全生产责任。分析各岗位存在的风险点，并制定管控措施和应急措施，明确管控责任人。针对隐患排查治理，明确主要负责人、班组长、中心主任等岗位的监控稽查双控清单。本篇共分为三章，分别为概述、风险分级管控、隐患排查治理。</w:t>
      </w:r>
    </w:p>
    <w:p>
      <w:pPr>
        <w:spacing w:line="440" w:lineRule="exact"/>
        <w:ind w:left="208" w:firstLine="0"/>
        <w:jc w:val="center"/>
        <w:outlineLvl w:val="0"/>
        <w:rPr>
          <w:rFonts w:asciiTheme="minorEastAsia" w:hAnsiTheme="minorEastAsia" w:eastAsiaTheme="minorEastAsia"/>
          <w:b/>
          <w:color w:val="auto"/>
          <w:sz w:val="44"/>
          <w:szCs w:val="44"/>
        </w:rPr>
      </w:pPr>
      <w:bookmarkStart w:id="0" w:name="_Toc3258835"/>
      <w:r>
        <w:rPr>
          <w:rFonts w:asciiTheme="minorEastAsia" w:hAnsiTheme="minorEastAsia" w:eastAsiaTheme="minorEastAsia"/>
          <w:b/>
          <w:color w:val="auto"/>
          <w:sz w:val="44"/>
          <w:szCs w:val="44"/>
        </w:rPr>
        <w:br w:type="page"/>
      </w:r>
      <w:bookmarkStart w:id="1" w:name="_Toc5204757"/>
      <w:bookmarkStart w:id="2" w:name="_Toc24398904"/>
      <w:bookmarkStart w:id="3" w:name="_Toc89069740"/>
      <w:bookmarkStart w:id="4" w:name="_Toc42940813"/>
      <w:bookmarkStart w:id="5" w:name="_Toc7522661"/>
      <w:bookmarkStart w:id="6" w:name="_Toc82704647"/>
      <w:bookmarkStart w:id="7" w:name="_Toc42940670"/>
      <w:bookmarkStart w:id="8" w:name="_Toc7522687"/>
      <w:r>
        <w:rPr>
          <w:rFonts w:hint="eastAsia" w:asciiTheme="minorEastAsia" w:hAnsiTheme="minorEastAsia" w:eastAsiaTheme="minorEastAsia"/>
          <w:b/>
          <w:color w:val="auto"/>
          <w:sz w:val="44"/>
          <w:szCs w:val="44"/>
        </w:rPr>
        <w:t>目</w:t>
      </w:r>
      <w:r>
        <w:rPr>
          <w:rFonts w:asciiTheme="minorEastAsia" w:hAnsiTheme="minorEastAsia" w:eastAsiaTheme="minorEastAsia"/>
          <w:b/>
          <w:color w:val="auto"/>
          <w:sz w:val="44"/>
          <w:szCs w:val="44"/>
        </w:rPr>
        <w:t xml:space="preserve">  </w:t>
      </w:r>
      <w:r>
        <w:rPr>
          <w:rFonts w:hint="eastAsia" w:asciiTheme="minorEastAsia" w:hAnsiTheme="minorEastAsia" w:eastAsiaTheme="minorEastAsia"/>
          <w:b/>
          <w:color w:val="auto"/>
          <w:sz w:val="44"/>
          <w:szCs w:val="44"/>
        </w:rPr>
        <w:t>录</w:t>
      </w:r>
      <w:bookmarkEnd w:id="0"/>
      <w:bookmarkEnd w:id="1"/>
      <w:bookmarkEnd w:id="2"/>
      <w:bookmarkEnd w:id="3"/>
      <w:bookmarkEnd w:id="4"/>
      <w:bookmarkEnd w:id="5"/>
      <w:bookmarkEnd w:id="6"/>
      <w:bookmarkEnd w:id="7"/>
      <w:bookmarkEnd w:id="8"/>
    </w:p>
    <w:sdt>
      <w:sdtPr>
        <w:rPr>
          <w:rFonts w:ascii="仿宋" w:eastAsia="仿宋"/>
          <w:b w:val="0"/>
          <w:bCs w:val="0"/>
          <w:caps w:val="0"/>
          <w:color w:val="auto"/>
          <w:sz w:val="24"/>
          <w:szCs w:val="22"/>
          <w:lang w:val="zh-CN"/>
        </w:rPr>
        <w:id w:val="94370497"/>
        <w:docPartObj>
          <w:docPartGallery w:val="Table of Contents"/>
          <w:docPartUnique/>
        </w:docPartObj>
      </w:sdtPr>
      <w:sdtEndPr>
        <w:rPr>
          <w:rFonts w:asciiTheme="minorEastAsia" w:hAnsiTheme="minorEastAsia" w:eastAsiaTheme="minorEastAsia"/>
          <w:b w:val="0"/>
          <w:bCs w:val="0"/>
          <w:caps w:val="0"/>
          <w:color w:val="auto"/>
          <w:sz w:val="24"/>
          <w:szCs w:val="24"/>
          <w:lang w:val="zh-CN"/>
        </w:rPr>
      </w:sdtEndPr>
      <w:sdtContent>
        <w:p>
          <w:pPr>
            <w:pStyle w:val="20"/>
            <w:tabs>
              <w:tab w:val="right" w:leader="dot" w:pos="8498"/>
            </w:tabs>
            <w:spacing w:line="360" w:lineRule="auto"/>
            <w:ind w:hanging="11"/>
            <w:rPr>
              <w:rFonts w:asciiTheme="minorEastAsia" w:hAnsiTheme="minorEastAsia" w:eastAsiaTheme="minorEastAsia" w:cstheme="minorBidi"/>
              <w:b w:val="0"/>
              <w:bCs w:val="0"/>
              <w:caps w:val="0"/>
              <w:color w:val="auto"/>
              <w:sz w:val="24"/>
              <w:szCs w:val="24"/>
            </w:rPr>
          </w:pP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TOC \o "1-3" \h \z \u </w:instrText>
          </w:r>
          <w:r>
            <w:rPr>
              <w:rFonts w:asciiTheme="minorEastAsia" w:hAnsiTheme="minorEastAsia" w:eastAsiaTheme="minorEastAsia"/>
              <w:b w:val="0"/>
              <w:color w:val="auto"/>
              <w:sz w:val="24"/>
              <w:szCs w:val="24"/>
            </w:rPr>
            <w:fldChar w:fldCharType="separate"/>
          </w:r>
          <w:r>
            <w:rPr>
              <w:color w:val="auto"/>
            </w:rPr>
            <w:fldChar w:fldCharType="begin"/>
          </w:r>
          <w:r>
            <w:rPr>
              <w:color w:val="auto"/>
            </w:rPr>
            <w:instrText xml:space="preserve"> HYPERLINK \l "_Toc89069741" </w:instrText>
          </w:r>
          <w:r>
            <w:rPr>
              <w:color w:val="auto"/>
            </w:rPr>
            <w:fldChar w:fldCharType="separate"/>
          </w:r>
          <w:r>
            <w:rPr>
              <w:rStyle w:val="36"/>
              <w:rFonts w:hint="eastAsia" w:cs="Calibri" w:asciiTheme="minorEastAsia" w:hAnsiTheme="minorEastAsia" w:eastAsiaTheme="minorEastAsia"/>
              <w:b w:val="0"/>
              <w:color w:val="auto"/>
              <w:sz w:val="24"/>
              <w:szCs w:val="24"/>
            </w:rPr>
            <w:t>第一章</w:t>
          </w:r>
          <w:r>
            <w:rPr>
              <w:rStyle w:val="36"/>
              <w:rFonts w:cs="Calibri" w:asciiTheme="minorEastAsia" w:hAnsiTheme="minorEastAsia" w:eastAsiaTheme="minorEastAsia"/>
              <w:b w:val="0"/>
              <w:color w:val="auto"/>
              <w:sz w:val="24"/>
              <w:szCs w:val="24"/>
            </w:rPr>
            <w:t xml:space="preserve"> </w:t>
          </w:r>
          <w:r>
            <w:rPr>
              <w:rStyle w:val="36"/>
              <w:rFonts w:hint="eastAsia" w:cs="Calibri" w:asciiTheme="minorEastAsia" w:hAnsiTheme="minorEastAsia" w:eastAsiaTheme="minorEastAsia"/>
              <w:b w:val="0"/>
              <w:color w:val="auto"/>
              <w:sz w:val="24"/>
              <w:szCs w:val="24"/>
            </w:rPr>
            <w:t>概述</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_Toc89069741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1</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"_Toc89069742" </w:instrText>
          </w:r>
          <w:r>
            <w:rPr>
              <w:color w:val="auto"/>
            </w:rPr>
            <w:fldChar w:fldCharType="separate"/>
          </w:r>
          <w:r>
            <w:rPr>
              <w:rStyle w:val="36"/>
              <w:rFonts w:cs="Calibri" w:asciiTheme="minorEastAsia" w:hAnsiTheme="minorEastAsia" w:eastAsiaTheme="minorEastAsia"/>
              <w:color w:val="auto"/>
              <w:sz w:val="24"/>
              <w:szCs w:val="24"/>
            </w:rPr>
            <w:t>1.1</w:t>
          </w:r>
          <w:r>
            <w:rPr>
              <w:rStyle w:val="36"/>
              <w:rFonts w:hint="eastAsia" w:cs="Calibri" w:asciiTheme="minorEastAsia" w:hAnsiTheme="minorEastAsia" w:eastAsiaTheme="minorEastAsia"/>
              <w:color w:val="auto"/>
              <w:sz w:val="24"/>
              <w:szCs w:val="24"/>
            </w:rPr>
            <w:t>目标</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_Toc89069742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1</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"_Toc89069743" </w:instrText>
          </w:r>
          <w:r>
            <w:rPr>
              <w:color w:val="auto"/>
            </w:rPr>
            <w:fldChar w:fldCharType="separate"/>
          </w:r>
          <w:r>
            <w:rPr>
              <w:rStyle w:val="36"/>
              <w:rFonts w:cs="Calibri" w:asciiTheme="minorEastAsia" w:hAnsiTheme="minorEastAsia" w:eastAsiaTheme="minorEastAsia"/>
              <w:color w:val="auto"/>
              <w:sz w:val="24"/>
              <w:szCs w:val="24"/>
            </w:rPr>
            <w:t>1.2</w:t>
          </w:r>
          <w:r>
            <w:rPr>
              <w:rStyle w:val="36"/>
              <w:rFonts w:hint="eastAsia" w:cs="Calibri" w:asciiTheme="minorEastAsia" w:hAnsiTheme="minorEastAsia" w:eastAsiaTheme="minorEastAsia"/>
              <w:color w:val="auto"/>
              <w:sz w:val="24"/>
              <w:szCs w:val="24"/>
            </w:rPr>
            <w:t>依据</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_Toc89069743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1</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"_Toc89069744" </w:instrText>
          </w:r>
          <w:r>
            <w:rPr>
              <w:color w:val="auto"/>
            </w:rPr>
            <w:fldChar w:fldCharType="separate"/>
          </w:r>
          <w:r>
            <w:rPr>
              <w:rStyle w:val="36"/>
              <w:rFonts w:cs="Calibri" w:asciiTheme="minorEastAsia" w:hAnsiTheme="minorEastAsia" w:eastAsiaTheme="minorEastAsia"/>
              <w:color w:val="auto"/>
              <w:sz w:val="24"/>
              <w:szCs w:val="24"/>
            </w:rPr>
            <w:t>1.3</w:t>
          </w:r>
          <w:r>
            <w:rPr>
              <w:rStyle w:val="36"/>
              <w:rFonts w:hint="eastAsia" w:cs="Calibri" w:asciiTheme="minorEastAsia" w:hAnsiTheme="minorEastAsia" w:eastAsiaTheme="minorEastAsia"/>
              <w:color w:val="auto"/>
              <w:sz w:val="24"/>
              <w:szCs w:val="24"/>
            </w:rPr>
            <w:t>组织机构及职责</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_Toc89069744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2</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"_Toc89069745" </w:instrText>
          </w:r>
          <w:r>
            <w:rPr>
              <w:color w:val="auto"/>
            </w:rPr>
            <w:fldChar w:fldCharType="separate"/>
          </w:r>
          <w:r>
            <w:rPr>
              <w:rStyle w:val="36"/>
              <w:rFonts w:cs="Calibri" w:asciiTheme="minorEastAsia" w:hAnsiTheme="minorEastAsia" w:eastAsiaTheme="minorEastAsia"/>
              <w:color w:val="auto"/>
              <w:sz w:val="24"/>
              <w:szCs w:val="24"/>
            </w:rPr>
            <w:t>1.4</w:t>
          </w:r>
          <w:r>
            <w:rPr>
              <w:rStyle w:val="36"/>
              <w:rFonts w:hint="eastAsia" w:cs="Calibri" w:asciiTheme="minorEastAsia" w:hAnsiTheme="minorEastAsia" w:eastAsiaTheme="minorEastAsia"/>
              <w:color w:val="auto"/>
              <w:sz w:val="24"/>
              <w:szCs w:val="24"/>
            </w:rPr>
            <w:t>设备设施及作业</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_Toc89069745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4</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0"/>
            <w:tabs>
              <w:tab w:val="right" w:leader="dot" w:pos="8498"/>
            </w:tabs>
            <w:spacing w:line="360" w:lineRule="auto"/>
            <w:ind w:hanging="11"/>
            <w:rPr>
              <w:rFonts w:asciiTheme="minorEastAsia" w:hAnsiTheme="minorEastAsia" w:eastAsiaTheme="minorEastAsia" w:cstheme="minorBidi"/>
              <w:b w:val="0"/>
              <w:bCs w:val="0"/>
              <w:caps w:val="0"/>
              <w:color w:val="auto"/>
              <w:sz w:val="24"/>
              <w:szCs w:val="24"/>
            </w:rPr>
          </w:pPr>
          <w:r>
            <w:rPr>
              <w:color w:val="auto"/>
            </w:rPr>
            <w:fldChar w:fldCharType="begin"/>
          </w:r>
          <w:r>
            <w:rPr>
              <w:color w:val="auto"/>
            </w:rPr>
            <w:instrText xml:space="preserve"> HYPERLINK \l "_Toc89069746" </w:instrText>
          </w:r>
          <w:r>
            <w:rPr>
              <w:color w:val="auto"/>
            </w:rPr>
            <w:fldChar w:fldCharType="separate"/>
          </w:r>
          <w:r>
            <w:rPr>
              <w:rStyle w:val="36"/>
              <w:rFonts w:hint="eastAsia" w:cs="Calibri" w:asciiTheme="minorEastAsia" w:hAnsiTheme="minorEastAsia" w:eastAsiaTheme="minorEastAsia"/>
              <w:b w:val="0"/>
              <w:color w:val="auto"/>
              <w:sz w:val="24"/>
              <w:szCs w:val="24"/>
            </w:rPr>
            <w:t>第二章</w:t>
          </w:r>
          <w:r>
            <w:rPr>
              <w:rStyle w:val="36"/>
              <w:rFonts w:cs="Calibri" w:asciiTheme="minorEastAsia" w:hAnsiTheme="minorEastAsia" w:eastAsiaTheme="minorEastAsia"/>
              <w:b w:val="0"/>
              <w:color w:val="auto"/>
              <w:sz w:val="24"/>
              <w:szCs w:val="24"/>
            </w:rPr>
            <w:t xml:space="preserve"> </w:t>
          </w:r>
          <w:r>
            <w:rPr>
              <w:rStyle w:val="36"/>
              <w:rFonts w:hint="eastAsia" w:cs="Calibri" w:asciiTheme="minorEastAsia" w:hAnsiTheme="minorEastAsia" w:eastAsiaTheme="minorEastAsia"/>
              <w:b w:val="0"/>
              <w:color w:val="auto"/>
              <w:sz w:val="24"/>
              <w:szCs w:val="24"/>
            </w:rPr>
            <w:t>风险分级管控</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_Toc89069746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5</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"_Toc89069747" </w:instrText>
          </w:r>
          <w:r>
            <w:rPr>
              <w:color w:val="auto"/>
            </w:rPr>
            <w:fldChar w:fldCharType="separate"/>
          </w:r>
          <w:r>
            <w:rPr>
              <w:rStyle w:val="36"/>
              <w:rFonts w:cs="Calibri" w:asciiTheme="minorEastAsia" w:hAnsiTheme="minorEastAsia" w:eastAsiaTheme="minorEastAsia"/>
              <w:color w:val="auto"/>
              <w:sz w:val="24"/>
              <w:szCs w:val="24"/>
            </w:rPr>
            <w:t>2.1</w:t>
          </w:r>
          <w:r>
            <w:rPr>
              <w:rStyle w:val="36"/>
              <w:rFonts w:hint="eastAsia" w:cs="Calibri" w:asciiTheme="minorEastAsia" w:hAnsiTheme="minorEastAsia" w:eastAsiaTheme="minorEastAsia"/>
              <w:color w:val="auto"/>
              <w:sz w:val="24"/>
              <w:szCs w:val="24"/>
            </w:rPr>
            <w:t>风险分级管控清单</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_Toc89069747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5</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13"/>
            <w:tabs>
              <w:tab w:val="right" w:leader="dot" w:pos="8498"/>
            </w:tabs>
            <w:spacing w:line="360" w:lineRule="auto"/>
            <w:ind w:hanging="11"/>
            <w:rPr>
              <w:rFonts w:asciiTheme="minorEastAsia" w:hAnsiTheme="minorEastAsia" w:eastAsiaTheme="minorEastAsia" w:cstheme="minorBidi"/>
              <w:i w:val="0"/>
              <w:iCs w:val="0"/>
              <w:color w:val="auto"/>
              <w:sz w:val="24"/>
              <w:szCs w:val="24"/>
            </w:rPr>
          </w:pPr>
          <w:r>
            <w:rPr>
              <w:color w:val="auto"/>
            </w:rPr>
            <w:fldChar w:fldCharType="begin"/>
          </w:r>
          <w:r>
            <w:rPr>
              <w:color w:val="auto"/>
            </w:rPr>
            <w:instrText xml:space="preserve"> HYPERLINK \l "_Toc89069748" </w:instrText>
          </w:r>
          <w:r>
            <w:rPr>
              <w:color w:val="auto"/>
            </w:rPr>
            <w:fldChar w:fldCharType="separate"/>
          </w:r>
          <w:r>
            <w:rPr>
              <w:rStyle w:val="36"/>
              <w:rFonts w:cs="Calibri" w:asciiTheme="minorEastAsia" w:hAnsiTheme="minorEastAsia" w:eastAsiaTheme="minorEastAsia"/>
              <w:i w:val="0"/>
              <w:color w:val="auto"/>
              <w:sz w:val="24"/>
              <w:szCs w:val="24"/>
            </w:rPr>
            <w:t xml:space="preserve">2.1.1 </w:t>
          </w:r>
          <w:r>
            <w:rPr>
              <w:rStyle w:val="36"/>
              <w:rFonts w:hint="eastAsia" w:cs="Calibri" w:asciiTheme="minorEastAsia" w:hAnsiTheme="minorEastAsia" w:eastAsiaTheme="minorEastAsia"/>
              <w:i w:val="0"/>
              <w:color w:val="auto"/>
              <w:sz w:val="24"/>
              <w:szCs w:val="24"/>
            </w:rPr>
            <w:t>机电作业</w:t>
          </w:r>
          <w:r>
            <w:rPr>
              <w:rFonts w:asciiTheme="minorEastAsia" w:hAnsiTheme="minorEastAsia" w:eastAsiaTheme="minorEastAsia"/>
              <w:i w:val="0"/>
              <w:color w:val="auto"/>
              <w:sz w:val="24"/>
              <w:szCs w:val="24"/>
            </w:rPr>
            <w:tab/>
          </w:r>
          <w:r>
            <w:rPr>
              <w:rFonts w:asciiTheme="minorEastAsia" w:hAnsiTheme="minorEastAsia" w:eastAsiaTheme="minorEastAsia"/>
              <w:i w:val="0"/>
              <w:color w:val="auto"/>
              <w:sz w:val="24"/>
              <w:szCs w:val="24"/>
            </w:rPr>
            <w:fldChar w:fldCharType="begin"/>
          </w:r>
          <w:r>
            <w:rPr>
              <w:rFonts w:asciiTheme="minorEastAsia" w:hAnsiTheme="minorEastAsia" w:eastAsiaTheme="minorEastAsia"/>
              <w:i w:val="0"/>
              <w:color w:val="auto"/>
              <w:sz w:val="24"/>
              <w:szCs w:val="24"/>
            </w:rPr>
            <w:instrText xml:space="preserve"> PAGEREF _Toc89069748 \h </w:instrText>
          </w:r>
          <w:r>
            <w:rPr>
              <w:rFonts w:asciiTheme="minorEastAsia" w:hAnsiTheme="minorEastAsia" w:eastAsiaTheme="minorEastAsia"/>
              <w:i w:val="0"/>
              <w:color w:val="auto"/>
              <w:sz w:val="24"/>
              <w:szCs w:val="24"/>
            </w:rPr>
            <w:fldChar w:fldCharType="separate"/>
          </w:r>
          <w:r>
            <w:rPr>
              <w:rFonts w:asciiTheme="minorEastAsia" w:hAnsiTheme="minorEastAsia" w:eastAsiaTheme="minorEastAsia"/>
              <w:i w:val="0"/>
              <w:color w:val="auto"/>
              <w:sz w:val="24"/>
              <w:szCs w:val="24"/>
            </w:rPr>
            <w:t>5</w:t>
          </w:r>
          <w:r>
            <w:rPr>
              <w:rFonts w:asciiTheme="minorEastAsia" w:hAnsiTheme="minorEastAsia" w:eastAsiaTheme="minorEastAsia"/>
              <w:i w:val="0"/>
              <w:color w:val="auto"/>
              <w:sz w:val="24"/>
              <w:szCs w:val="24"/>
            </w:rPr>
            <w:fldChar w:fldCharType="end"/>
          </w:r>
          <w:r>
            <w:rPr>
              <w:rFonts w:asciiTheme="minorEastAsia" w:hAnsiTheme="minorEastAsia" w:eastAsiaTheme="minorEastAsia"/>
              <w:i w:val="0"/>
              <w:color w:val="auto"/>
              <w:sz w:val="24"/>
              <w:szCs w:val="24"/>
            </w:rPr>
            <w:fldChar w:fldCharType="end"/>
          </w:r>
        </w:p>
        <w:p>
          <w:pPr>
            <w:pStyle w:val="13"/>
            <w:tabs>
              <w:tab w:val="right" w:leader="dot" w:pos="8498"/>
            </w:tabs>
            <w:spacing w:line="360" w:lineRule="auto"/>
            <w:ind w:hanging="11"/>
            <w:rPr>
              <w:rFonts w:asciiTheme="minorEastAsia" w:hAnsiTheme="minorEastAsia" w:eastAsiaTheme="minorEastAsia" w:cstheme="minorBidi"/>
              <w:i w:val="0"/>
              <w:iCs w:val="0"/>
              <w:color w:val="auto"/>
              <w:sz w:val="24"/>
              <w:szCs w:val="24"/>
            </w:rPr>
          </w:pPr>
          <w:r>
            <w:rPr>
              <w:color w:val="auto"/>
            </w:rPr>
            <w:fldChar w:fldCharType="begin"/>
          </w:r>
          <w:r>
            <w:rPr>
              <w:color w:val="auto"/>
            </w:rPr>
            <w:instrText xml:space="preserve"> HYPERLINK \l "_Toc89069749" </w:instrText>
          </w:r>
          <w:r>
            <w:rPr>
              <w:color w:val="auto"/>
            </w:rPr>
            <w:fldChar w:fldCharType="separate"/>
          </w:r>
          <w:r>
            <w:rPr>
              <w:rStyle w:val="36"/>
              <w:rFonts w:cs="Calibri" w:asciiTheme="minorEastAsia" w:hAnsiTheme="minorEastAsia" w:eastAsiaTheme="minorEastAsia"/>
              <w:i w:val="0"/>
              <w:color w:val="auto"/>
              <w:sz w:val="24"/>
              <w:szCs w:val="24"/>
            </w:rPr>
            <w:t>2.1.2</w:t>
          </w:r>
          <w:r>
            <w:rPr>
              <w:rStyle w:val="36"/>
              <w:rFonts w:hint="eastAsia" w:cs="Calibri" w:asciiTheme="minorEastAsia" w:hAnsiTheme="minorEastAsia" w:eastAsiaTheme="minorEastAsia"/>
              <w:i w:val="0"/>
              <w:color w:val="auto"/>
              <w:sz w:val="24"/>
              <w:szCs w:val="24"/>
            </w:rPr>
            <w:t>监控作业</w:t>
          </w:r>
          <w:r>
            <w:rPr>
              <w:rFonts w:asciiTheme="minorEastAsia" w:hAnsiTheme="minorEastAsia" w:eastAsiaTheme="minorEastAsia"/>
              <w:i w:val="0"/>
              <w:color w:val="auto"/>
              <w:sz w:val="24"/>
              <w:szCs w:val="24"/>
            </w:rPr>
            <w:tab/>
          </w:r>
          <w:r>
            <w:rPr>
              <w:rFonts w:asciiTheme="minorEastAsia" w:hAnsiTheme="minorEastAsia" w:eastAsiaTheme="minorEastAsia"/>
              <w:i w:val="0"/>
              <w:color w:val="auto"/>
              <w:sz w:val="24"/>
              <w:szCs w:val="24"/>
            </w:rPr>
            <w:fldChar w:fldCharType="begin"/>
          </w:r>
          <w:r>
            <w:rPr>
              <w:rFonts w:asciiTheme="minorEastAsia" w:hAnsiTheme="minorEastAsia" w:eastAsiaTheme="minorEastAsia"/>
              <w:i w:val="0"/>
              <w:color w:val="auto"/>
              <w:sz w:val="24"/>
              <w:szCs w:val="24"/>
            </w:rPr>
            <w:instrText xml:space="preserve"> PAGEREF _Toc89069749 \h </w:instrText>
          </w:r>
          <w:r>
            <w:rPr>
              <w:rFonts w:asciiTheme="minorEastAsia" w:hAnsiTheme="minorEastAsia" w:eastAsiaTheme="minorEastAsia"/>
              <w:i w:val="0"/>
              <w:color w:val="auto"/>
              <w:sz w:val="24"/>
              <w:szCs w:val="24"/>
            </w:rPr>
            <w:fldChar w:fldCharType="separate"/>
          </w:r>
          <w:r>
            <w:rPr>
              <w:rFonts w:asciiTheme="minorEastAsia" w:hAnsiTheme="minorEastAsia" w:eastAsiaTheme="minorEastAsia"/>
              <w:i w:val="0"/>
              <w:color w:val="auto"/>
              <w:sz w:val="24"/>
              <w:szCs w:val="24"/>
            </w:rPr>
            <w:t>16</w:t>
          </w:r>
          <w:r>
            <w:rPr>
              <w:rFonts w:asciiTheme="minorEastAsia" w:hAnsiTheme="minorEastAsia" w:eastAsiaTheme="minorEastAsia"/>
              <w:i w:val="0"/>
              <w:color w:val="auto"/>
              <w:sz w:val="24"/>
              <w:szCs w:val="24"/>
            </w:rPr>
            <w:fldChar w:fldCharType="end"/>
          </w:r>
          <w:r>
            <w:rPr>
              <w:rFonts w:asciiTheme="minorEastAsia" w:hAnsiTheme="minorEastAsia" w:eastAsiaTheme="minorEastAsia"/>
              <w:i w:val="0"/>
              <w:color w:val="auto"/>
              <w:sz w:val="24"/>
              <w:szCs w:val="24"/>
            </w:rPr>
            <w:fldChar w:fldCharType="end"/>
          </w:r>
        </w:p>
        <w:p>
          <w:pPr>
            <w:pStyle w:val="13"/>
            <w:tabs>
              <w:tab w:val="right" w:leader="dot" w:pos="8498"/>
            </w:tabs>
            <w:spacing w:line="360" w:lineRule="auto"/>
            <w:ind w:hanging="11"/>
            <w:rPr>
              <w:rFonts w:asciiTheme="minorEastAsia" w:hAnsiTheme="minorEastAsia" w:eastAsiaTheme="minorEastAsia" w:cstheme="minorBidi"/>
              <w:i w:val="0"/>
              <w:iCs w:val="0"/>
              <w:color w:val="auto"/>
              <w:sz w:val="24"/>
              <w:szCs w:val="24"/>
            </w:rPr>
          </w:pPr>
          <w:r>
            <w:rPr>
              <w:color w:val="auto"/>
            </w:rPr>
            <w:fldChar w:fldCharType="begin"/>
          </w:r>
          <w:r>
            <w:rPr>
              <w:color w:val="auto"/>
            </w:rPr>
            <w:instrText xml:space="preserve"> HYPERLINK \l "_Toc89069750" </w:instrText>
          </w:r>
          <w:r>
            <w:rPr>
              <w:color w:val="auto"/>
            </w:rPr>
            <w:fldChar w:fldCharType="separate"/>
          </w:r>
          <w:r>
            <w:rPr>
              <w:rStyle w:val="36"/>
              <w:rFonts w:cs="Calibri" w:asciiTheme="minorEastAsia" w:hAnsiTheme="minorEastAsia" w:eastAsiaTheme="minorEastAsia"/>
              <w:i w:val="0"/>
              <w:color w:val="auto"/>
              <w:sz w:val="24"/>
              <w:szCs w:val="24"/>
            </w:rPr>
            <w:t>2.1.3</w:t>
          </w:r>
          <w:r>
            <w:rPr>
              <w:rStyle w:val="36"/>
              <w:rFonts w:hint="eastAsia" w:cs="Calibri" w:asciiTheme="minorEastAsia" w:hAnsiTheme="minorEastAsia" w:eastAsiaTheme="minorEastAsia"/>
              <w:i w:val="0"/>
              <w:color w:val="auto"/>
              <w:sz w:val="24"/>
              <w:szCs w:val="24"/>
            </w:rPr>
            <w:t>稽查作业</w:t>
          </w:r>
          <w:r>
            <w:rPr>
              <w:rFonts w:asciiTheme="minorEastAsia" w:hAnsiTheme="minorEastAsia" w:eastAsiaTheme="minorEastAsia"/>
              <w:i w:val="0"/>
              <w:color w:val="auto"/>
              <w:sz w:val="24"/>
              <w:szCs w:val="24"/>
            </w:rPr>
            <w:tab/>
          </w:r>
          <w:r>
            <w:rPr>
              <w:rFonts w:asciiTheme="minorEastAsia" w:hAnsiTheme="minorEastAsia" w:eastAsiaTheme="minorEastAsia"/>
              <w:i w:val="0"/>
              <w:color w:val="auto"/>
              <w:sz w:val="24"/>
              <w:szCs w:val="24"/>
            </w:rPr>
            <w:fldChar w:fldCharType="begin"/>
          </w:r>
          <w:r>
            <w:rPr>
              <w:rFonts w:asciiTheme="minorEastAsia" w:hAnsiTheme="minorEastAsia" w:eastAsiaTheme="minorEastAsia"/>
              <w:i w:val="0"/>
              <w:color w:val="auto"/>
              <w:sz w:val="24"/>
              <w:szCs w:val="24"/>
            </w:rPr>
            <w:instrText xml:space="preserve"> PAGEREF _Toc89069750 \h </w:instrText>
          </w:r>
          <w:r>
            <w:rPr>
              <w:rFonts w:asciiTheme="minorEastAsia" w:hAnsiTheme="minorEastAsia" w:eastAsiaTheme="minorEastAsia"/>
              <w:i w:val="0"/>
              <w:color w:val="auto"/>
              <w:sz w:val="24"/>
              <w:szCs w:val="24"/>
            </w:rPr>
            <w:fldChar w:fldCharType="separate"/>
          </w:r>
          <w:r>
            <w:rPr>
              <w:rFonts w:asciiTheme="minorEastAsia" w:hAnsiTheme="minorEastAsia" w:eastAsiaTheme="minorEastAsia"/>
              <w:i w:val="0"/>
              <w:color w:val="auto"/>
              <w:sz w:val="24"/>
              <w:szCs w:val="24"/>
            </w:rPr>
            <w:t>21</w:t>
          </w:r>
          <w:r>
            <w:rPr>
              <w:rFonts w:asciiTheme="minorEastAsia" w:hAnsiTheme="minorEastAsia" w:eastAsiaTheme="minorEastAsia"/>
              <w:i w:val="0"/>
              <w:color w:val="auto"/>
              <w:sz w:val="24"/>
              <w:szCs w:val="24"/>
            </w:rPr>
            <w:fldChar w:fldCharType="end"/>
          </w:r>
          <w:r>
            <w:rPr>
              <w:rFonts w:asciiTheme="minorEastAsia" w:hAnsiTheme="minorEastAsia" w:eastAsiaTheme="minorEastAsia"/>
              <w:i w:val="0"/>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"_Toc89069751" </w:instrText>
          </w:r>
          <w:r>
            <w:rPr>
              <w:color w:val="auto"/>
            </w:rPr>
            <w:fldChar w:fldCharType="separate"/>
          </w:r>
          <w:r>
            <w:rPr>
              <w:rStyle w:val="36"/>
              <w:rFonts w:cs="Calibri" w:asciiTheme="minorEastAsia" w:hAnsiTheme="minorEastAsia" w:eastAsiaTheme="minorEastAsia"/>
              <w:color w:val="auto"/>
              <w:sz w:val="24"/>
              <w:szCs w:val="24"/>
            </w:rPr>
            <w:t>2.2</w:t>
          </w:r>
          <w:r>
            <w:rPr>
              <w:rStyle w:val="36"/>
              <w:rFonts w:hint="eastAsia" w:cs="Calibri" w:asciiTheme="minorEastAsia" w:hAnsiTheme="minorEastAsia" w:eastAsiaTheme="minorEastAsia"/>
              <w:color w:val="auto"/>
              <w:sz w:val="24"/>
              <w:szCs w:val="24"/>
            </w:rPr>
            <w:t>风险告知牌</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_Toc89069751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23</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"_Toc89069752" </w:instrText>
          </w:r>
          <w:r>
            <w:rPr>
              <w:color w:val="auto"/>
            </w:rPr>
            <w:fldChar w:fldCharType="separate"/>
          </w:r>
          <w:r>
            <w:rPr>
              <w:rStyle w:val="36"/>
              <w:rFonts w:cs="Calibri" w:asciiTheme="minorEastAsia" w:hAnsiTheme="minorEastAsia" w:eastAsiaTheme="minorEastAsia"/>
              <w:color w:val="auto"/>
              <w:sz w:val="24"/>
              <w:szCs w:val="24"/>
            </w:rPr>
            <w:t>2.3</w:t>
          </w:r>
          <w:r>
            <w:rPr>
              <w:rStyle w:val="36"/>
              <w:rFonts w:hint="eastAsia" w:cs="Calibri" w:asciiTheme="minorEastAsia" w:hAnsiTheme="minorEastAsia" w:eastAsiaTheme="minorEastAsia"/>
              <w:color w:val="auto"/>
              <w:sz w:val="24"/>
              <w:szCs w:val="24"/>
            </w:rPr>
            <w:t>岗位风险告知卡</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_Toc89069752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30</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0"/>
            <w:tabs>
              <w:tab w:val="right" w:leader="dot" w:pos="8498"/>
            </w:tabs>
            <w:spacing w:line="360" w:lineRule="auto"/>
            <w:ind w:hanging="11"/>
            <w:rPr>
              <w:rFonts w:asciiTheme="minorEastAsia" w:hAnsiTheme="minorEastAsia" w:eastAsiaTheme="minorEastAsia" w:cstheme="minorBidi"/>
              <w:b w:val="0"/>
              <w:bCs w:val="0"/>
              <w:caps w:val="0"/>
              <w:color w:val="auto"/>
              <w:sz w:val="24"/>
              <w:szCs w:val="24"/>
            </w:rPr>
          </w:pPr>
          <w:r>
            <w:rPr>
              <w:color w:val="auto"/>
            </w:rPr>
            <w:fldChar w:fldCharType="begin"/>
          </w:r>
          <w:r>
            <w:rPr>
              <w:color w:val="auto"/>
            </w:rPr>
            <w:instrText xml:space="preserve"> HYPERLINK \l "_Toc89069753" </w:instrText>
          </w:r>
          <w:r>
            <w:rPr>
              <w:color w:val="auto"/>
            </w:rPr>
            <w:fldChar w:fldCharType="separate"/>
          </w:r>
          <w:r>
            <w:rPr>
              <w:rStyle w:val="36"/>
              <w:rFonts w:hint="eastAsia" w:cs="Calibri" w:asciiTheme="minorEastAsia" w:hAnsiTheme="minorEastAsia" w:eastAsiaTheme="minorEastAsia"/>
              <w:b w:val="0"/>
              <w:color w:val="auto"/>
              <w:sz w:val="24"/>
              <w:szCs w:val="24"/>
            </w:rPr>
            <w:t>第三章</w:t>
          </w:r>
          <w:r>
            <w:rPr>
              <w:rStyle w:val="36"/>
              <w:rFonts w:cs="Calibri" w:asciiTheme="minorEastAsia" w:hAnsiTheme="minorEastAsia" w:eastAsiaTheme="minorEastAsia"/>
              <w:b w:val="0"/>
              <w:color w:val="auto"/>
              <w:sz w:val="24"/>
              <w:szCs w:val="24"/>
            </w:rPr>
            <w:t xml:space="preserve"> </w:t>
          </w:r>
          <w:r>
            <w:rPr>
              <w:rStyle w:val="36"/>
              <w:rFonts w:hint="eastAsia" w:cs="Calibri" w:asciiTheme="minorEastAsia" w:hAnsiTheme="minorEastAsia" w:eastAsiaTheme="minorEastAsia"/>
              <w:b w:val="0"/>
              <w:color w:val="auto"/>
              <w:sz w:val="24"/>
              <w:szCs w:val="24"/>
            </w:rPr>
            <w:t>隐患排查治理</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_Toc89069753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35</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"_Toc89069754" </w:instrText>
          </w:r>
          <w:r>
            <w:rPr>
              <w:color w:val="auto"/>
            </w:rPr>
            <w:fldChar w:fldCharType="separate"/>
          </w:r>
          <w:r>
            <w:rPr>
              <w:rStyle w:val="36"/>
              <w:rFonts w:cs="Calibri" w:asciiTheme="minorEastAsia" w:hAnsiTheme="minorEastAsia" w:eastAsiaTheme="minorEastAsia"/>
              <w:color w:val="auto"/>
              <w:sz w:val="24"/>
              <w:szCs w:val="24"/>
            </w:rPr>
            <w:t>3.1</w:t>
          </w:r>
          <w:r>
            <w:rPr>
              <w:rStyle w:val="36"/>
              <w:rFonts w:hint="eastAsia" w:cs="Calibri" w:asciiTheme="minorEastAsia" w:hAnsiTheme="minorEastAsia" w:eastAsiaTheme="minorEastAsia"/>
              <w:color w:val="auto"/>
              <w:sz w:val="24"/>
              <w:szCs w:val="24"/>
            </w:rPr>
            <w:t>隐患排查清单</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_Toc89069754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35</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"_Toc89069755" </w:instrText>
          </w:r>
          <w:r>
            <w:rPr>
              <w:color w:val="auto"/>
            </w:rPr>
            <w:fldChar w:fldCharType="separate"/>
          </w:r>
          <w:r>
            <w:rPr>
              <w:rStyle w:val="36"/>
              <w:rFonts w:cs="Calibri" w:asciiTheme="minorEastAsia" w:hAnsiTheme="minorEastAsia" w:eastAsiaTheme="minorEastAsia"/>
              <w:color w:val="auto"/>
              <w:sz w:val="24"/>
              <w:szCs w:val="24"/>
            </w:rPr>
            <w:t>3.2</w:t>
          </w:r>
          <w:r>
            <w:rPr>
              <w:rStyle w:val="36"/>
              <w:rFonts w:hint="eastAsia" w:cs="Calibri" w:asciiTheme="minorEastAsia" w:hAnsiTheme="minorEastAsia" w:eastAsiaTheme="minorEastAsia"/>
              <w:color w:val="auto"/>
              <w:sz w:val="24"/>
              <w:szCs w:val="24"/>
            </w:rPr>
            <w:t>日查隐患排查记录</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_Toc89069755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48</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"_Toc89069756" </w:instrText>
          </w:r>
          <w:r>
            <w:rPr>
              <w:color w:val="auto"/>
            </w:rPr>
            <w:fldChar w:fldCharType="separate"/>
          </w:r>
          <w:r>
            <w:rPr>
              <w:rStyle w:val="36"/>
              <w:rFonts w:cs="Calibri" w:asciiTheme="minorEastAsia" w:hAnsiTheme="minorEastAsia" w:eastAsiaTheme="minorEastAsia"/>
              <w:color w:val="auto"/>
              <w:sz w:val="24"/>
              <w:szCs w:val="24"/>
            </w:rPr>
            <w:t>3.3</w:t>
          </w:r>
          <w:r>
            <w:rPr>
              <w:rStyle w:val="36"/>
              <w:rFonts w:hint="eastAsia" w:cs="Calibri" w:asciiTheme="minorEastAsia" w:hAnsiTheme="minorEastAsia" w:eastAsiaTheme="minorEastAsia"/>
              <w:color w:val="auto"/>
              <w:sz w:val="24"/>
              <w:szCs w:val="24"/>
            </w:rPr>
            <w:t>定期隐患排查记录</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_Toc89069756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58</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"_Toc89069757" </w:instrText>
          </w:r>
          <w:r>
            <w:rPr>
              <w:color w:val="auto"/>
            </w:rPr>
            <w:fldChar w:fldCharType="separate"/>
          </w:r>
          <w:r>
            <w:rPr>
              <w:rStyle w:val="36"/>
              <w:rFonts w:cs="Calibri" w:asciiTheme="minorEastAsia" w:hAnsiTheme="minorEastAsia" w:eastAsiaTheme="minorEastAsia"/>
              <w:color w:val="auto"/>
              <w:sz w:val="24"/>
              <w:szCs w:val="24"/>
            </w:rPr>
            <w:t>3.4</w:t>
          </w:r>
          <w:r>
            <w:rPr>
              <w:rStyle w:val="36"/>
              <w:rFonts w:hint="eastAsia" w:cs="Calibri" w:asciiTheme="minorEastAsia" w:hAnsiTheme="minorEastAsia" w:eastAsiaTheme="minorEastAsia"/>
              <w:color w:val="auto"/>
              <w:sz w:val="24"/>
              <w:szCs w:val="24"/>
            </w:rPr>
            <w:t>专项隐患排查记录</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_Toc89069757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59</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spacing w:line="360" w:lineRule="auto"/>
            <w:ind w:hanging="11"/>
            <w:rPr>
              <w:rFonts w:asciiTheme="minorEastAsia" w:hAnsiTheme="minorEastAsia" w:eastAsiaTheme="minorEastAsia"/>
              <w:color w:val="auto"/>
              <w:szCs w:val="24"/>
            </w:rPr>
          </w:pPr>
          <w:r>
            <w:rPr>
              <w:rFonts w:asciiTheme="minorEastAsia" w:hAnsiTheme="minorEastAsia" w:eastAsiaTheme="minorEastAsia"/>
              <w:bCs/>
              <w:color w:val="auto"/>
              <w:szCs w:val="24"/>
              <w:lang w:val="zh-CN"/>
            </w:rPr>
            <w:fldChar w:fldCharType="end"/>
          </w:r>
        </w:p>
      </w:sdtContent>
    </w:sdt>
    <w:p>
      <w:pPr>
        <w:widowControl w:val="0"/>
        <w:spacing w:after="0" w:line="560" w:lineRule="exact"/>
        <w:ind w:left="0" w:firstLine="480" w:firstLineChars="200"/>
        <w:rPr>
          <w:rFonts w:cs="Calibri"/>
          <w:color w:val="auto"/>
          <w:szCs w:val="24"/>
        </w:rPr>
      </w:pPr>
    </w:p>
    <w:p>
      <w:pPr>
        <w:widowControl w:val="0"/>
        <w:spacing w:after="0" w:line="560" w:lineRule="exact"/>
        <w:ind w:left="0" w:firstLine="480" w:firstLineChars="200"/>
        <w:rPr>
          <w:rFonts w:cs="Calibri"/>
          <w:color w:val="auto"/>
          <w:szCs w:val="24"/>
        </w:rPr>
        <w:sectPr>
          <w:pgSz w:w="11910" w:h="16840"/>
          <w:pgMar w:top="1361" w:right="1701" w:bottom="1361" w:left="1701" w:header="1021" w:footer="953" w:gutter="0"/>
          <w:pgNumType w:fmt="upperRoman" w:start="1"/>
          <w:cols w:space="720" w:num="1"/>
        </w:sectPr>
      </w:pPr>
    </w:p>
    <w:p>
      <w:pPr>
        <w:widowControl w:val="0"/>
        <w:spacing w:after="0" w:line="360" w:lineRule="auto"/>
        <w:ind w:left="0" w:firstLine="0"/>
        <w:jc w:val="center"/>
        <w:outlineLvl w:val="0"/>
        <w:rPr>
          <w:rFonts w:cs="Calibri" w:asciiTheme="minorEastAsia" w:hAnsiTheme="minorEastAsia" w:eastAsiaTheme="minorEastAsia"/>
          <w:b/>
          <w:color w:val="auto"/>
          <w:sz w:val="36"/>
          <w:szCs w:val="24"/>
        </w:rPr>
      </w:pPr>
      <w:bookmarkStart w:id="9" w:name="_Toc89069741"/>
      <w:bookmarkStart w:id="10" w:name="_Toc42940671"/>
      <w:r>
        <w:rPr>
          <w:rFonts w:hint="eastAsia" w:cs="Calibri" w:asciiTheme="minorEastAsia" w:hAnsiTheme="minorEastAsia" w:eastAsiaTheme="minorEastAsia"/>
          <w:b/>
          <w:color w:val="auto"/>
          <w:sz w:val="32"/>
          <w:szCs w:val="24"/>
        </w:rPr>
        <w:t>第一章 概述</w:t>
      </w:r>
      <w:bookmarkEnd w:id="9"/>
      <w:bookmarkEnd w:id="10"/>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1" w:name="_Toc89069742"/>
      <w:bookmarkStart w:id="12" w:name="_Toc42940672"/>
      <w:r>
        <w:rPr>
          <w:rFonts w:hint="eastAsia" w:cs="Calibri" w:asciiTheme="minorEastAsia" w:hAnsiTheme="minorEastAsia" w:eastAsiaTheme="minorEastAsia"/>
          <w:b/>
          <w:color w:val="auto"/>
          <w:sz w:val="28"/>
          <w:szCs w:val="24"/>
        </w:rPr>
        <w:t>1.1目标</w:t>
      </w:r>
      <w:bookmarkEnd w:id="11"/>
      <w:bookmarkEnd w:id="12"/>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为有效提升事故预防工作的科学化、信息化、标准化水平，切实增强安全生产整体防控能力，进一步夯实遏制重特大事故的行业基础，真正实现把风险控制在隐患形成之前，把隐患消灭在事故前面。依据《中华人民共和国安全生产法》、《河北省安全生产条例》、《公路水路行业安全生产风险管理暂行办法》、《公路水路行业安全生产事故隐患治理暂行办法》等相关规定，结合</w:t>
      </w:r>
      <w:r>
        <w:rPr>
          <w:rFonts w:hint="eastAsia" w:cs="Calibri" w:asciiTheme="minorEastAsia" w:hAnsiTheme="minorEastAsia" w:eastAsiaTheme="minorEastAsia"/>
          <w:color w:val="auto"/>
          <w:szCs w:val="24"/>
          <w:lang w:eastAsia="zh-CN"/>
        </w:rPr>
        <w:t>公司路段</w:t>
      </w:r>
      <w:r>
        <w:rPr>
          <w:rFonts w:hint="eastAsia" w:cs="Calibri" w:asciiTheme="minorEastAsia" w:hAnsiTheme="minorEastAsia" w:eastAsiaTheme="minorEastAsia"/>
          <w:color w:val="auto"/>
          <w:szCs w:val="24"/>
        </w:rPr>
        <w:t>实际，制定本手册。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通过建立健全安全风险分级管控和隐患排查治理双重预防控制工作制度和标准规范</w:t>
      </w:r>
      <w:r>
        <w:rPr>
          <w:rFonts w:cs="Calibri" w:asciiTheme="minorEastAsia" w:hAnsiTheme="minorEastAsia" w:eastAsiaTheme="minorEastAsia"/>
          <w:color w:val="auto"/>
          <w:szCs w:val="24"/>
        </w:rPr>
        <w:t>,落实完善安全风险辨识、评估、分级、管控和事故隐患排查、上报、整治、销账等各环节的工作责任和管理措施</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实现</w:t>
      </w:r>
      <w:r>
        <w:rPr>
          <w:rFonts w:hint="eastAsia" w:cs="Calibri" w:asciiTheme="minorEastAsia" w:hAnsiTheme="minorEastAsia" w:eastAsiaTheme="minorEastAsia"/>
          <w:color w:val="auto"/>
          <w:szCs w:val="24"/>
        </w:rPr>
        <w:t>中电建冀交高投公司</w:t>
      </w:r>
      <w:r>
        <w:rPr>
          <w:rFonts w:cs="Calibri" w:asciiTheme="minorEastAsia" w:hAnsiTheme="minorEastAsia" w:eastAsiaTheme="minorEastAsia"/>
          <w:color w:val="auto"/>
          <w:szCs w:val="24"/>
        </w:rPr>
        <w:t>安全风险的自辨自控和事故隐患的自查自治,形成规范完备的“双控”体系与协调联动运行机制。</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通过本次风险分级管控活动，旨在辨识评估</w:t>
      </w:r>
      <w:r>
        <w:rPr>
          <w:rFonts w:hint="eastAsia" w:cs="Calibri" w:asciiTheme="minorEastAsia" w:hAnsiTheme="minorEastAsia" w:eastAsiaTheme="minorEastAsia"/>
          <w:color w:val="auto"/>
          <w:szCs w:val="24"/>
          <w:lang w:eastAsia="zh-CN"/>
        </w:rPr>
        <w:t>公司路段</w:t>
      </w:r>
      <w:r>
        <w:rPr>
          <w:rFonts w:hint="eastAsia" w:cs="Calibri" w:asciiTheme="minorEastAsia" w:hAnsiTheme="minorEastAsia" w:eastAsiaTheme="minorEastAsia"/>
          <w:color w:val="auto"/>
          <w:szCs w:val="24"/>
        </w:rPr>
        <w:t>指挥调度中心，包括稽查、监控及机电作业的风险等级，并制定针对性的隐患排查清单，规范隐患排查责任人、责任划分及排查标准等。</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3" w:name="_Toc89069743"/>
      <w:bookmarkStart w:id="14" w:name="_Toc42940673"/>
      <w:r>
        <w:rPr>
          <w:rFonts w:hint="eastAsia" w:cs="Calibri" w:asciiTheme="minorEastAsia" w:hAnsiTheme="minorEastAsia" w:eastAsiaTheme="minorEastAsia"/>
          <w:b/>
          <w:color w:val="auto"/>
          <w:sz w:val="28"/>
          <w:szCs w:val="24"/>
        </w:rPr>
        <w:t>1.2依据</w:t>
      </w:r>
      <w:bookmarkEnd w:id="13"/>
      <w:bookmarkEnd w:id="14"/>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w:t>
      </w:r>
      <w:r>
        <w:rPr>
          <w:rFonts w:cs="Calibri" w:asciiTheme="minorEastAsia" w:hAnsiTheme="minorEastAsia" w:eastAsiaTheme="minorEastAsia"/>
          <w:color w:val="auto"/>
          <w:szCs w:val="24"/>
        </w:rPr>
        <w:t>《中华人民共和国安全生产法》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w:t>
      </w:r>
      <w:r>
        <w:rPr>
          <w:rFonts w:cs="Calibri" w:asciiTheme="minorEastAsia" w:hAnsiTheme="minorEastAsia" w:eastAsiaTheme="minorEastAsia"/>
          <w:color w:val="auto"/>
          <w:szCs w:val="24"/>
        </w:rPr>
        <w:t>《河北省安全生产条例》</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w:t>
      </w:r>
      <w:r>
        <w:rPr>
          <w:rFonts w:cs="Calibri" w:asciiTheme="minorEastAsia" w:hAnsiTheme="minorEastAsia" w:eastAsiaTheme="minorEastAsia"/>
          <w:color w:val="auto"/>
          <w:szCs w:val="24"/>
        </w:rPr>
        <w:t>《公路水运工程安全生产监督管理办法》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w:t>
      </w:r>
      <w:r>
        <w:rPr>
          <w:rFonts w:cs="Calibri" w:asciiTheme="minorEastAsia" w:hAnsiTheme="minorEastAsia" w:eastAsiaTheme="minorEastAsia"/>
          <w:color w:val="auto"/>
          <w:szCs w:val="24"/>
        </w:rPr>
        <w:t>《公路水路行业安全生产风险管理暂行办法》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（5）</w:t>
      </w:r>
      <w:r>
        <w:rPr>
          <w:rFonts w:cs="Calibri" w:asciiTheme="minorEastAsia" w:hAnsiTheme="minorEastAsia" w:eastAsiaTheme="minorEastAsia"/>
          <w:color w:val="auto"/>
          <w:szCs w:val="24"/>
        </w:rPr>
        <w:t>《公路水路行业安全生产事故隐患治理暂行办法》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（6）</w:t>
      </w:r>
      <w:r>
        <w:rPr>
          <w:rFonts w:cs="Calibri" w:asciiTheme="minorEastAsia" w:hAnsiTheme="minorEastAsia" w:eastAsiaTheme="minorEastAsia"/>
          <w:color w:val="auto"/>
          <w:szCs w:val="24"/>
        </w:rPr>
        <w:t>《安全生产事故隐患排查治理暂行规定》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（7）</w:t>
      </w:r>
      <w:r>
        <w:rPr>
          <w:rFonts w:cs="Calibri" w:asciiTheme="minorEastAsia" w:hAnsiTheme="minorEastAsia" w:eastAsiaTheme="minorEastAsia"/>
          <w:color w:val="auto"/>
          <w:szCs w:val="24"/>
        </w:rPr>
        <w:t>《河北省安全生产风险管控与隐患治理规定》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（8）</w:t>
      </w:r>
      <w:r>
        <w:rPr>
          <w:rFonts w:cs="Calibri" w:asciiTheme="minorEastAsia" w:hAnsiTheme="minorEastAsia" w:eastAsiaTheme="minorEastAsia"/>
          <w:color w:val="auto"/>
          <w:szCs w:val="24"/>
        </w:rPr>
        <w:t>《河北省交通运输安全生产风险管理实施办法（试行）》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（9）</w:t>
      </w:r>
      <w:r>
        <w:rPr>
          <w:rFonts w:cs="Calibri" w:asciiTheme="minorEastAsia" w:hAnsiTheme="minorEastAsia" w:eastAsiaTheme="minorEastAsia"/>
          <w:color w:val="auto"/>
          <w:szCs w:val="24"/>
        </w:rPr>
        <w:t>《河北省交通运输安全生产隐患治理实施办法（试行）》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（10）</w:t>
      </w:r>
      <w:r>
        <w:rPr>
          <w:rFonts w:cs="Calibri" w:asciiTheme="minorEastAsia" w:hAnsiTheme="minorEastAsia" w:eastAsiaTheme="minorEastAsia"/>
          <w:color w:val="auto"/>
          <w:szCs w:val="24"/>
        </w:rPr>
        <w:t>《企业职工伤亡事故分类》 （GB 6441-1986）</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（11）</w:t>
      </w:r>
      <w:r>
        <w:rPr>
          <w:rFonts w:cs="Calibri" w:asciiTheme="minorEastAsia" w:hAnsiTheme="minorEastAsia" w:eastAsiaTheme="minorEastAsia"/>
          <w:color w:val="auto"/>
          <w:szCs w:val="24"/>
        </w:rPr>
        <w:t>《公路水路行业安全生产风险辨识评估管控基本规范（试行）》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（12）《河北省公路运营安全生产风险辨识</w:t>
      </w:r>
      <w:r>
        <w:rPr>
          <w:rFonts w:cs="Calibri" w:asciiTheme="minorEastAsia" w:hAnsiTheme="minorEastAsia" w:eastAsiaTheme="minorEastAsia"/>
          <w:color w:val="auto"/>
          <w:szCs w:val="24"/>
        </w:rPr>
        <w:t xml:space="preserve"> 评估标准及管控措施(试行)</w:t>
      </w:r>
      <w:r>
        <w:rPr>
          <w:rFonts w:hint="eastAsia" w:cs="Calibri" w:asciiTheme="minorEastAsia" w:hAnsiTheme="minorEastAsia" w:eastAsiaTheme="minorEastAsia"/>
          <w:color w:val="auto"/>
          <w:szCs w:val="24"/>
        </w:rPr>
        <w:t xml:space="preserve"> 》</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（13）</w:t>
      </w:r>
      <w:r>
        <w:rPr>
          <w:rFonts w:cs="Calibri" w:asciiTheme="minorEastAsia" w:hAnsiTheme="minorEastAsia" w:eastAsiaTheme="minorEastAsia"/>
          <w:color w:val="auto"/>
          <w:szCs w:val="24"/>
        </w:rPr>
        <w:t>《危险化学品重大危险源辨识》（GB 18218-2018）</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（14）</w:t>
      </w:r>
      <w:r>
        <w:rPr>
          <w:rFonts w:cs="Calibri" w:asciiTheme="minorEastAsia" w:hAnsiTheme="minorEastAsia" w:eastAsiaTheme="minorEastAsia"/>
          <w:color w:val="auto"/>
          <w:szCs w:val="24"/>
        </w:rPr>
        <w:t>《生产过程危险和有害因素分类与代码》（GB/T 13861-2009）</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（15）</w:t>
      </w:r>
      <w:r>
        <w:rPr>
          <w:rFonts w:cs="Calibri" w:asciiTheme="minorEastAsia" w:hAnsiTheme="minorEastAsia" w:eastAsiaTheme="minorEastAsia"/>
          <w:color w:val="auto"/>
          <w:szCs w:val="24"/>
        </w:rPr>
        <w:t>《风险管理原则和实施指南》（GB/T 24353-2009）</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（16）《省交通运输厅安委办关于贯彻落实重点领域安全风险辨识管控措施标准的通知》（冀交安委办函〔</w:t>
      </w:r>
      <w:r>
        <w:rPr>
          <w:rFonts w:cs="Calibri" w:asciiTheme="minorEastAsia" w:hAnsiTheme="minorEastAsia" w:eastAsiaTheme="minorEastAsia"/>
          <w:color w:val="auto"/>
          <w:szCs w:val="24"/>
        </w:rPr>
        <w:t>2018〕54号）</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（17）《河北交通投资集团公司关于印发</w:t>
      </w:r>
      <w:r>
        <w:rPr>
          <w:rFonts w:cs="Calibri" w:asciiTheme="minorEastAsia" w:hAnsiTheme="minorEastAsia" w:eastAsiaTheme="minorEastAsia"/>
          <w:color w:val="auto"/>
          <w:szCs w:val="24"/>
        </w:rPr>
        <w:t>&lt;深入推进安全风险分级管控和隐患排查治理双重预防机制建设工作实施方案&gt;的通知》（冀交投基〔2019〕599号）</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5" w:name="_Toc42940674"/>
      <w:bookmarkStart w:id="16" w:name="_Toc89069744"/>
      <w:r>
        <w:rPr>
          <w:rFonts w:hint="eastAsia" w:cs="Calibri" w:asciiTheme="minorEastAsia" w:hAnsiTheme="minorEastAsia" w:eastAsiaTheme="minorEastAsia"/>
          <w:b/>
          <w:color w:val="auto"/>
          <w:sz w:val="28"/>
          <w:szCs w:val="24"/>
        </w:rPr>
        <w:t>1.3</w:t>
      </w:r>
      <w:bookmarkEnd w:id="15"/>
      <w:r>
        <w:rPr>
          <w:rFonts w:hint="eastAsia" w:cs="Calibri" w:asciiTheme="minorEastAsia" w:hAnsiTheme="minorEastAsia" w:eastAsiaTheme="minorEastAsia"/>
          <w:b/>
          <w:color w:val="auto"/>
          <w:sz w:val="28"/>
          <w:szCs w:val="24"/>
        </w:rPr>
        <w:t>组织机构及职责</w:t>
      </w:r>
      <w:bookmarkEnd w:id="16"/>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按照中电建冀交高投公司组织架构</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公司设置</w:t>
      </w:r>
      <w:r>
        <w:rPr>
          <w:rFonts w:hint="eastAsia" w:cs="Calibri" w:asciiTheme="minorEastAsia" w:hAnsiTheme="minorEastAsia" w:eastAsiaTheme="minorEastAsia"/>
          <w:color w:val="auto"/>
          <w:szCs w:val="24"/>
        </w:rPr>
        <w:t>指挥</w:t>
      </w:r>
      <w:r>
        <w:rPr>
          <w:rFonts w:cs="Calibri" w:asciiTheme="minorEastAsia" w:hAnsiTheme="minorEastAsia" w:eastAsiaTheme="minorEastAsia"/>
          <w:color w:val="auto"/>
          <w:szCs w:val="24"/>
        </w:rPr>
        <w:t>调度分中心</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负责公司机电维护管理</w:t>
      </w:r>
      <w:r>
        <w:rPr>
          <w:rFonts w:hint="eastAsia" w:cs="Calibri" w:asciiTheme="minorEastAsia" w:hAnsiTheme="minorEastAsia" w:eastAsiaTheme="minorEastAsia"/>
          <w:color w:val="auto"/>
          <w:szCs w:val="24"/>
        </w:rPr>
        <w:t>、稽查及监控工作，其主要职责如下：</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1）认真贯彻执行国家及上级部门有关安全生产工作的方针、政策、法律、法规以及公司的安全生产规章制度，按“管生产必须管安全”的原则，履行好本单位的安全生产工作职责。</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2）负责指挥调度分中心水、电、暖、气、食堂及车辆安全管理等工作。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3）负责机电维护管理，按规定巡查、维护、保养，确保机电设备设施技术状况良好。</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4）负责机电巡查、维护管理及施工过程安全管理工作，负责本单位内相关方的日常安全监管。</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5）负责稽查、监控作业过程安全管理工作。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6）负责按规定监控巡查，恶劣天气、道路交通突发事件发生后按规定开展信息上报与联络、情报板发布、隧道机电设备操作等工作。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7）组织分解并认真落实稽查监控、机电维护管理、消防用电等方面安全生产工作目标、指标和保障措施。</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8）组织或协助起草机电维护管理、稽查监控等业务安全操作规程、现场处置方案等。</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9）组织开展本单位管辖范围内的风险辨识评估活动，按职责做好风险管控措施。</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10）组织开展本单位管辖范围内的隐患排查治理活动，对发现的安全隐患及时组织整改或上报处理，并做好临时防护措施。</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11）按规定组织或参与安全教育培训、应急演练、安全会议、安全活动等，及时上报安全生产信息。</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12）突发事件发生后，按职责参与应急救援工作。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13）负责本单位办公场所和人员的安全。</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14）完成指挥调度分中心职责范围内的其他安全生产工作。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为全面贯彻执行《河北省安全生产风险管控与隐患治理规定》及《河北交通投资集团公司关于印发深入推进安全风险分级管控和隐患排查治理双重预防机制建设工作实施方案的通知》，公司成立指挥调度中心双控机制建设实施小组。</w:t>
      </w:r>
      <w:r>
        <w:rPr>
          <w:rFonts w:hint="eastAsia" w:cs="Calibri" w:asciiTheme="minorEastAsia" w:hAnsiTheme="minorEastAsia" w:eastAsiaTheme="minorEastAsia"/>
          <w:color w:val="auto"/>
          <w:szCs w:val="24"/>
          <w:lang w:eastAsia="zh-CN"/>
        </w:rPr>
        <w:t>由运营管理部牵头，具体</w:t>
      </w:r>
      <w:r>
        <w:rPr>
          <w:rFonts w:hint="eastAsia" w:cs="Calibri" w:asciiTheme="minorEastAsia" w:hAnsiTheme="minorEastAsia" w:eastAsiaTheme="minorEastAsia"/>
          <w:color w:val="auto"/>
          <w:szCs w:val="24"/>
        </w:rPr>
        <w:t>负责“双控”机制建设工作，开展“双控”教育培训，编制布风险分布图，制定风险管控措施，建立健全风险分级管控清单、事故隐患排查清单和隐患治理信息台账，制定隐患整改方案。</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7" w:name="_Toc89069745"/>
      <w:r>
        <w:rPr>
          <w:rFonts w:hint="eastAsia" w:cs="Calibri" w:asciiTheme="minorEastAsia" w:hAnsiTheme="minorEastAsia" w:eastAsiaTheme="minorEastAsia"/>
          <w:b/>
          <w:color w:val="auto"/>
          <w:sz w:val="28"/>
          <w:szCs w:val="24"/>
        </w:rPr>
        <w:t>1.</w:t>
      </w:r>
      <w:r>
        <w:rPr>
          <w:rFonts w:cs="Calibri" w:asciiTheme="minorEastAsia" w:hAnsiTheme="minorEastAsia" w:eastAsiaTheme="minorEastAsia"/>
          <w:b/>
          <w:color w:val="auto"/>
          <w:sz w:val="28"/>
          <w:szCs w:val="24"/>
        </w:rPr>
        <w:t>4</w:t>
      </w:r>
      <w:r>
        <w:rPr>
          <w:rFonts w:hint="eastAsia" w:cs="Calibri" w:asciiTheme="minorEastAsia" w:hAnsiTheme="minorEastAsia" w:eastAsiaTheme="minorEastAsia"/>
          <w:b/>
          <w:color w:val="auto"/>
          <w:sz w:val="28"/>
          <w:szCs w:val="24"/>
        </w:rPr>
        <w:t>设备设施及作业</w:t>
      </w:r>
      <w:bookmarkEnd w:id="17"/>
    </w:p>
    <w:p>
      <w:pPr>
        <w:widowControl w:val="0"/>
        <w:spacing w:after="0" w:line="240" w:lineRule="auto"/>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按照指挥调度中心作业职责分工，其主要工作内容如下：</w:t>
      </w:r>
    </w:p>
    <w:p>
      <w:pPr>
        <w:widowControl w:val="0"/>
        <w:spacing w:after="0" w:line="240" w:lineRule="auto"/>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表1-2 指挥调度中心主要工作清单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33"/>
        <w:gridCol w:w="74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59" w:hRule="atLeast"/>
        </w:trPr>
        <w:tc>
          <w:tcPr>
            <w:tcW w:w="901" w:type="pct"/>
            <w:shd w:val="clear" w:color="auto" w:fill="auto"/>
            <w:noWrap/>
            <w:vAlign w:val="center"/>
          </w:tcPr>
          <w:p>
            <w:pPr>
              <w:spacing w:after="0" w:line="240" w:lineRule="auto"/>
              <w:ind w:left="0" w:firstLine="0"/>
              <w:jc w:val="center"/>
              <w:rPr>
                <w:rFonts w:ascii="宋体" w:hAnsi="宋体" w:eastAsia="宋体" w:cs="宋体"/>
                <w:b/>
                <w:bCs/>
                <w:color w:val="auto"/>
                <w:kern w:val="0"/>
                <w:sz w:val="22"/>
                <w:szCs w:val="24"/>
              </w:rPr>
            </w:pPr>
            <w:r>
              <w:rPr>
                <w:rFonts w:hint="eastAsia" w:ascii="宋体" w:hAnsi="宋体" w:eastAsia="宋体" w:cs="宋体"/>
                <w:b/>
                <w:bCs/>
                <w:color w:val="auto"/>
                <w:kern w:val="0"/>
                <w:sz w:val="22"/>
                <w:szCs w:val="24"/>
              </w:rPr>
              <w:t>作业项目</w:t>
            </w:r>
          </w:p>
        </w:tc>
        <w:tc>
          <w:tcPr>
            <w:tcW w:w="4099" w:type="pct"/>
            <w:shd w:val="clear" w:color="auto" w:fill="auto"/>
            <w:noWrap/>
            <w:vAlign w:val="center"/>
          </w:tcPr>
          <w:p>
            <w:pPr>
              <w:spacing w:after="0" w:line="240" w:lineRule="auto"/>
              <w:ind w:left="0" w:firstLine="0"/>
              <w:jc w:val="center"/>
              <w:rPr>
                <w:rFonts w:ascii="宋体" w:hAnsi="宋体" w:eastAsia="宋体" w:cs="宋体"/>
                <w:b/>
                <w:bCs/>
                <w:color w:val="auto"/>
                <w:kern w:val="0"/>
                <w:sz w:val="22"/>
                <w:szCs w:val="24"/>
              </w:rPr>
            </w:pPr>
            <w:r>
              <w:rPr>
                <w:rFonts w:hint="eastAsia" w:ascii="宋体" w:hAnsi="宋体" w:eastAsia="宋体" w:cs="宋体"/>
                <w:b/>
                <w:bCs/>
                <w:color w:val="auto"/>
                <w:kern w:val="0"/>
                <w:sz w:val="22"/>
                <w:szCs w:val="24"/>
              </w:rPr>
              <w:t>工作内容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901" w:type="pct"/>
            <w:shd w:val="clear" w:color="auto" w:fill="auto"/>
            <w:noWrap/>
            <w:vAlign w:val="center"/>
          </w:tcPr>
          <w:p>
            <w:pPr>
              <w:spacing w:after="0" w:line="240" w:lineRule="auto"/>
              <w:ind w:left="0" w:firstLine="0"/>
              <w:jc w:val="center"/>
              <w:rPr>
                <w:rFonts w:ascii="宋体" w:hAnsi="宋体" w:eastAsia="宋体" w:cs="宋体"/>
                <w:color w:val="auto"/>
                <w:kern w:val="0"/>
                <w:sz w:val="22"/>
                <w:szCs w:val="24"/>
              </w:rPr>
            </w:pPr>
            <w:r>
              <w:rPr>
                <w:rFonts w:hint="eastAsia" w:ascii="宋体" w:hAnsi="宋体" w:eastAsia="宋体" w:cs="宋体"/>
                <w:color w:val="auto"/>
                <w:kern w:val="0"/>
                <w:sz w:val="22"/>
                <w:szCs w:val="24"/>
              </w:rPr>
              <w:t>机电作业</w:t>
            </w:r>
          </w:p>
        </w:tc>
        <w:tc>
          <w:tcPr>
            <w:tcW w:w="4099" w:type="pct"/>
            <w:shd w:val="clear" w:color="auto" w:fill="auto"/>
            <w:vAlign w:val="center"/>
          </w:tcPr>
          <w:p>
            <w:pPr>
              <w:spacing w:after="0" w:line="240" w:lineRule="auto"/>
              <w:ind w:left="0" w:firstLine="0"/>
              <w:rPr>
                <w:rFonts w:ascii="宋体" w:hAnsi="宋体" w:eastAsia="宋体" w:cs="宋体"/>
                <w:color w:val="auto"/>
                <w:kern w:val="0"/>
                <w:sz w:val="22"/>
                <w:szCs w:val="24"/>
              </w:rPr>
            </w:pPr>
            <w:r>
              <w:rPr>
                <w:rFonts w:hint="eastAsia" w:ascii="宋体" w:hAnsi="宋体" w:eastAsia="宋体" w:cs="宋体"/>
                <w:color w:val="auto"/>
                <w:kern w:val="0"/>
                <w:sz w:val="22"/>
                <w:szCs w:val="24"/>
              </w:rPr>
              <w:t>对收费站、路段及监控中心机电设备进行巡查、维护管理等工作。包括摄像机、可变情报板、</w:t>
            </w:r>
            <w:r>
              <w:rPr>
                <w:rFonts w:ascii="宋体" w:hAnsi="宋体" w:eastAsia="宋体" w:cs="宋体"/>
                <w:color w:val="auto"/>
                <w:kern w:val="0"/>
                <w:sz w:val="22"/>
                <w:szCs w:val="24"/>
              </w:rPr>
              <w:t>ET</w:t>
            </w:r>
            <w:r>
              <w:rPr>
                <w:rFonts w:hint="eastAsia" w:ascii="宋体" w:hAnsi="宋体" w:eastAsia="宋体" w:cs="宋体"/>
                <w:color w:val="auto"/>
                <w:kern w:val="0"/>
                <w:sz w:val="22"/>
                <w:szCs w:val="24"/>
              </w:rPr>
              <w:t>C</w:t>
            </w:r>
            <w:r>
              <w:rPr>
                <w:rFonts w:ascii="宋体" w:hAnsi="宋体" w:eastAsia="宋体" w:cs="宋体"/>
                <w:color w:val="auto"/>
                <w:kern w:val="0"/>
                <w:sz w:val="22"/>
                <w:szCs w:val="24"/>
              </w:rPr>
              <w:t>门架、天线、机柜、气象站</w:t>
            </w:r>
            <w:r>
              <w:rPr>
                <w:rFonts w:hint="eastAsia" w:ascii="宋体" w:hAnsi="宋体" w:eastAsia="宋体" w:cs="宋体"/>
                <w:color w:val="auto"/>
                <w:kern w:val="0"/>
                <w:sz w:val="22"/>
                <w:szCs w:val="24"/>
              </w:rPr>
              <w:t>、电缆、光纤、光端机、解码器、摄像机、工控机、车控器增设维修工作，及维修标志牌</w:t>
            </w:r>
            <w:r>
              <w:rPr>
                <w:rFonts w:ascii="宋体" w:hAnsi="宋体" w:eastAsia="宋体" w:cs="宋体"/>
                <w:color w:val="auto"/>
                <w:kern w:val="0"/>
                <w:sz w:val="22"/>
                <w:szCs w:val="24"/>
              </w:rPr>
              <w:t>ET一般/MT一般标线、交安标线</w:t>
            </w:r>
            <w:r>
              <w:rPr>
                <w:rFonts w:hint="eastAsia" w:ascii="宋体" w:hAnsi="宋体" w:eastAsia="宋体" w:cs="宋体"/>
                <w:color w:val="auto"/>
                <w:kern w:val="0"/>
                <w:sz w:val="22"/>
                <w:szCs w:val="24"/>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901" w:type="pct"/>
            <w:shd w:val="clear" w:color="auto" w:fill="auto"/>
            <w:noWrap/>
            <w:vAlign w:val="center"/>
          </w:tcPr>
          <w:p>
            <w:pPr>
              <w:spacing w:after="0" w:line="240" w:lineRule="auto"/>
              <w:ind w:left="0" w:firstLine="0"/>
              <w:jc w:val="center"/>
              <w:rPr>
                <w:rFonts w:ascii="宋体" w:hAnsi="宋体" w:eastAsia="宋体" w:cs="宋体"/>
                <w:color w:val="auto"/>
                <w:kern w:val="0"/>
                <w:sz w:val="22"/>
                <w:szCs w:val="24"/>
              </w:rPr>
            </w:pPr>
            <w:r>
              <w:rPr>
                <w:rFonts w:hint="eastAsia" w:ascii="宋体" w:hAnsi="宋体" w:eastAsia="宋体" w:cs="宋体"/>
                <w:color w:val="auto"/>
                <w:kern w:val="0"/>
                <w:sz w:val="22"/>
                <w:szCs w:val="24"/>
              </w:rPr>
              <w:t>监控作业</w:t>
            </w:r>
          </w:p>
        </w:tc>
        <w:tc>
          <w:tcPr>
            <w:tcW w:w="4099" w:type="pct"/>
            <w:shd w:val="clear" w:color="auto" w:fill="auto"/>
            <w:vAlign w:val="center"/>
          </w:tcPr>
          <w:p>
            <w:pPr>
              <w:spacing w:after="0" w:line="240" w:lineRule="auto"/>
              <w:ind w:left="0" w:firstLine="0"/>
              <w:rPr>
                <w:rFonts w:ascii="宋体" w:hAnsi="宋体" w:eastAsia="宋体" w:cs="宋体"/>
                <w:color w:val="auto"/>
                <w:kern w:val="0"/>
                <w:sz w:val="22"/>
                <w:szCs w:val="24"/>
              </w:rPr>
            </w:pPr>
            <w:r>
              <w:rPr>
                <w:rFonts w:hint="eastAsia" w:ascii="宋体" w:hAnsi="宋体" w:eastAsia="宋体" w:cs="宋体"/>
                <w:color w:val="auto"/>
                <w:kern w:val="0"/>
                <w:sz w:val="22"/>
                <w:szCs w:val="24"/>
              </w:rPr>
              <w:t>在监控大厅内对收费站、路段的交通状况进行实时监控、巡查；接听电话、信息发布、上报工作；突发事件应急处置等工作。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36" w:hRule="atLeast"/>
        </w:trPr>
        <w:tc>
          <w:tcPr>
            <w:tcW w:w="901" w:type="pct"/>
            <w:shd w:val="clear" w:color="auto" w:fill="auto"/>
            <w:noWrap/>
            <w:vAlign w:val="center"/>
          </w:tcPr>
          <w:p>
            <w:pPr>
              <w:spacing w:after="0" w:line="240" w:lineRule="auto"/>
              <w:ind w:left="0" w:firstLine="0"/>
              <w:jc w:val="center"/>
              <w:rPr>
                <w:rFonts w:ascii="宋体" w:hAnsi="宋体" w:eastAsia="宋体" w:cs="宋体"/>
                <w:color w:val="auto"/>
                <w:kern w:val="0"/>
                <w:sz w:val="22"/>
                <w:szCs w:val="24"/>
              </w:rPr>
            </w:pPr>
            <w:r>
              <w:rPr>
                <w:rFonts w:hint="eastAsia" w:ascii="宋体" w:hAnsi="宋体" w:eastAsia="宋体" w:cs="宋体"/>
                <w:color w:val="auto"/>
                <w:kern w:val="0"/>
                <w:sz w:val="22"/>
                <w:szCs w:val="24"/>
              </w:rPr>
              <w:t>稽查作业</w:t>
            </w:r>
          </w:p>
        </w:tc>
        <w:tc>
          <w:tcPr>
            <w:tcW w:w="4099" w:type="pct"/>
            <w:shd w:val="clear" w:color="auto" w:fill="auto"/>
            <w:vAlign w:val="center"/>
          </w:tcPr>
          <w:p>
            <w:pPr>
              <w:spacing w:after="0" w:line="240" w:lineRule="auto"/>
              <w:ind w:left="0" w:firstLine="0"/>
              <w:rPr>
                <w:rFonts w:ascii="宋体" w:hAnsi="宋体" w:eastAsia="宋体" w:cs="宋体"/>
                <w:color w:val="auto"/>
                <w:kern w:val="0"/>
                <w:sz w:val="22"/>
                <w:szCs w:val="24"/>
              </w:rPr>
            </w:pPr>
            <w:r>
              <w:rPr>
                <w:rFonts w:hint="eastAsia" w:ascii="宋体" w:hAnsi="宋体" w:eastAsia="宋体" w:cs="宋体"/>
                <w:color w:val="auto"/>
                <w:kern w:val="0"/>
                <w:sz w:val="22"/>
                <w:szCs w:val="24"/>
              </w:rPr>
              <w:t>按规定完成对收费工作的稽查作业，包括对内稽查（收费站的录像稽查审核）、对外稽查（数据稽核及追逃等工作）。</w:t>
            </w:r>
          </w:p>
        </w:tc>
      </w:tr>
    </w:tbl>
    <w:p>
      <w:pPr>
        <w:widowControl w:val="0"/>
        <w:spacing w:after="0" w:line="560" w:lineRule="exact"/>
        <w:ind w:left="0" w:firstLine="472" w:firstLineChars="200"/>
        <w:rPr>
          <w:rFonts w:cs="Calibri" w:asciiTheme="minorEastAsia" w:hAnsiTheme="minorEastAsia" w:eastAsiaTheme="minorEastAsia"/>
          <w:color w:val="auto"/>
          <w:szCs w:val="24"/>
        </w:rPr>
        <w:sectPr>
          <w:headerReference r:id="rId5" w:type="default"/>
          <w:footerReference r:id="rId6" w:type="default"/>
          <w:pgSz w:w="11906" w:h="16838"/>
          <w:pgMar w:top="1985" w:right="1531" w:bottom="1985" w:left="1531" w:header="851" w:footer="1531" w:gutter="0"/>
          <w:pgNumType w:start="1"/>
          <w:cols w:space="720" w:num="1"/>
          <w:docGrid w:type="linesAndChars" w:linePitch="584" w:charSpace="-849"/>
        </w:sectPr>
      </w:pPr>
    </w:p>
    <w:p>
      <w:pPr>
        <w:widowControl w:val="0"/>
        <w:spacing w:after="0" w:line="360" w:lineRule="auto"/>
        <w:ind w:left="0" w:firstLine="0"/>
        <w:jc w:val="center"/>
        <w:outlineLvl w:val="0"/>
        <w:rPr>
          <w:rFonts w:cs="Calibri" w:asciiTheme="minorEastAsia" w:hAnsiTheme="minorEastAsia" w:eastAsiaTheme="minorEastAsia"/>
          <w:b/>
          <w:color w:val="auto"/>
          <w:sz w:val="36"/>
          <w:szCs w:val="24"/>
        </w:rPr>
      </w:pPr>
      <w:bookmarkStart w:id="18" w:name="_Toc42940675"/>
      <w:bookmarkStart w:id="19" w:name="_Toc89069746"/>
      <w:bookmarkStart w:id="20" w:name="_Toc2179401"/>
      <w:bookmarkStart w:id="21" w:name="_Toc7522666"/>
      <w:r>
        <w:rPr>
          <w:rFonts w:hint="eastAsia" w:cs="Calibri" w:asciiTheme="minorEastAsia" w:hAnsiTheme="minorEastAsia" w:eastAsiaTheme="minorEastAsia"/>
          <w:b/>
          <w:color w:val="auto"/>
          <w:sz w:val="32"/>
          <w:szCs w:val="24"/>
        </w:rPr>
        <w:t>第二章 风险分级管控</w:t>
      </w:r>
      <w:bookmarkEnd w:id="18"/>
      <w:bookmarkEnd w:id="19"/>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22" w:name="_Toc89069747"/>
      <w:bookmarkStart w:id="23" w:name="_Toc42940676"/>
      <w:r>
        <w:rPr>
          <w:rFonts w:hint="eastAsia" w:cs="Calibri" w:asciiTheme="minorEastAsia" w:hAnsiTheme="minorEastAsia" w:eastAsiaTheme="minorEastAsia"/>
          <w:b/>
          <w:color w:val="auto"/>
          <w:sz w:val="28"/>
          <w:szCs w:val="24"/>
        </w:rPr>
        <w:t>2.1风险分级管控清单</w:t>
      </w:r>
      <w:bookmarkEnd w:id="22"/>
      <w:bookmarkEnd w:id="23"/>
    </w:p>
    <w:p>
      <w:pPr>
        <w:widowControl w:val="0"/>
        <w:spacing w:after="0" w:line="360" w:lineRule="auto"/>
        <w:ind w:left="0" w:firstLine="472" w:firstLineChars="200"/>
        <w:outlineLvl w:val="2"/>
        <w:rPr>
          <w:rFonts w:cs="Calibri" w:asciiTheme="minorEastAsia" w:hAnsiTheme="minorEastAsia" w:eastAsiaTheme="minorEastAsia"/>
          <w:b/>
          <w:color w:val="auto"/>
          <w:szCs w:val="24"/>
        </w:rPr>
      </w:pPr>
      <w:bookmarkStart w:id="24" w:name="_Toc89069748"/>
      <w:r>
        <w:rPr>
          <w:rFonts w:hint="eastAsia" w:cs="Calibri" w:asciiTheme="minorEastAsia" w:hAnsiTheme="minorEastAsia" w:eastAsiaTheme="minorEastAsia"/>
          <w:b/>
          <w:color w:val="auto"/>
          <w:szCs w:val="24"/>
        </w:rPr>
        <w:t>2.1.1 机电作业</w:t>
      </w:r>
      <w:bookmarkEnd w:id="24"/>
    </w:p>
    <w:p>
      <w:pPr>
        <w:widowControl w:val="0"/>
        <w:tabs>
          <w:tab w:val="left" w:pos="2832"/>
        </w:tabs>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按照《公路水路行业安全生产风险辨识评估管控基本规范（试行）》对机电作业进行风险辨识评估，共辨识各类风险事件致险因素98项，风险分级管控清单如下。</w:t>
      </w:r>
    </w:p>
    <w:p>
      <w:pPr>
        <w:widowControl w:val="0"/>
        <w:tabs>
          <w:tab w:val="left" w:pos="2832"/>
        </w:tabs>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表2-1 机电作业风险分级管控清单</w:t>
      </w:r>
    </w:p>
    <w:tbl>
      <w:tblPr>
        <w:tblStyle w:val="30"/>
        <w:tblW w:w="13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628"/>
        <w:gridCol w:w="704"/>
        <w:gridCol w:w="3274"/>
        <w:gridCol w:w="707"/>
        <w:gridCol w:w="707"/>
        <w:gridCol w:w="707"/>
        <w:gridCol w:w="707"/>
        <w:gridCol w:w="3889"/>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463" w:type="dxa"/>
            <w:gridSpan w:val="2"/>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风险点</w:t>
            </w:r>
          </w:p>
        </w:tc>
        <w:tc>
          <w:tcPr>
            <w:tcW w:w="704" w:type="dxa"/>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风险事件</w:t>
            </w:r>
          </w:p>
        </w:tc>
        <w:tc>
          <w:tcPr>
            <w:tcW w:w="3274" w:type="dxa"/>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致险因素分析</w:t>
            </w:r>
          </w:p>
        </w:tc>
        <w:tc>
          <w:tcPr>
            <w:tcW w:w="707" w:type="dxa"/>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可能性</w:t>
            </w:r>
          </w:p>
        </w:tc>
        <w:tc>
          <w:tcPr>
            <w:tcW w:w="707" w:type="dxa"/>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严重程度</w:t>
            </w:r>
          </w:p>
        </w:tc>
        <w:tc>
          <w:tcPr>
            <w:tcW w:w="707" w:type="dxa"/>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风险值</w:t>
            </w:r>
          </w:p>
        </w:tc>
        <w:tc>
          <w:tcPr>
            <w:tcW w:w="707" w:type="dxa"/>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风险等级</w:t>
            </w:r>
          </w:p>
        </w:tc>
        <w:tc>
          <w:tcPr>
            <w:tcW w:w="3889" w:type="dxa"/>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管控措施</w:t>
            </w:r>
          </w:p>
        </w:tc>
        <w:tc>
          <w:tcPr>
            <w:tcW w:w="926" w:type="dxa"/>
            <w:shd w:val="clear" w:color="000000" w:fill="F1F1F1" w:themeFill="background1" w:themeFillShade="F2"/>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收费站</w:t>
            </w:r>
          </w:p>
        </w:tc>
        <w:tc>
          <w:tcPr>
            <w:tcW w:w="628"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机电设备用房</w:t>
            </w: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设备故障/财物损失</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板卡等元器件老化、故障。</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元器件等备品备件应配置齐全，每日巡查、定期测试。</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病毒攻击。</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定期升级杀毒软件、防火墙和防毒墙策略升级、边界防毒、防入侵系统。非专业人员不得进入，严禁U盘插入。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室内温湿度环境不良。</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保证室内通风空调系统良好，设置空调、温湿度计，定期排查。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室内及设备表面粉尘。</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按规程进行室内及设备保洁。</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线路连接不当，接入无关设备。</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定期对机柜内线路进行整理，设置标签。严禁接入无关设备。</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人员操作不当，造成软硬件设备受损。</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加强作业人员业务培训，作业人员严格按照操作规程操作。</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UPS电源供电故障。</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使用合格产品，定期进行充放电测试。</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虫鼠咬断线缆。</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定期排查，有防虫鼠措施。</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雷击、静电造成设备损坏。</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按规定设置防雷、防静电接地。</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设备维修保养不及时。</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按规定开展巡查、维修保养工作，发现故障及时上报。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备品备件不足、技术复杂，不能及时维修。</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5</w:t>
            </w:r>
          </w:p>
        </w:tc>
        <w:tc>
          <w:tcPr>
            <w:tcW w:w="707" w:type="dxa"/>
            <w:shd w:val="clear" w:color="auto"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按规定备足关键设备、部件，加强作业人员业务培训，发生重大设备故障及时上报；无法及时处理时，制定临时处置方案。</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火灾</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蓄电池及电气线路短路、老化，接线错误。</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机电维护人员要求按规定维修保养、及时更换，按规程作业。</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私拉乱接、超负荷用电。</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机房内严禁接入无关电气设备，定期排查。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设备及线路虚接、绝缘破损。</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设备及线路应连接牢固，定期排查。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室内吸烟、违章动火作业、储存易燃易爆物品等。</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室内严禁吸烟、堆放杂物；加强机房日常安全管理，无关人员、设备不得进入。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雷击火灾。</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按规定设置防雷、防静电接地。</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触电</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机电设备及外壳接地不到位。</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定期检查，确保设备及外壳接地到位。</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电气线路及设备绝缘破损、老化。</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定期检查，发现隐患时及时维修。</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设备除尘、清扫等作业时，操作不当。</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不得用湿毛巾擦拭带电设备表面，作业时注意个人防护。</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电气作业时违章作业。</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加强作业人员安全教育培训，需要电气作业时，应与电工配合作业；使用合格劳动保护用品，按规程操作。</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车道机电设备</w:t>
            </w: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设备故障/财物损失</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收费员误操作。</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加强收费员安全和业务培训，误操作后及时上报。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收费软件更新不及时。</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及时更新、升级软件。</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车道、计重、收费等设备老化、故障。</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备品备件应配置齐全，按规定巡查、维修保养。</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病毒攻击。</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定期升级杀毒软件、防火墙和防毒墙策略升级、边界防毒、防入侵系统。非专业人员不得进入，严禁U盘插入。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人为因素、车辆撞击等造成机电设备物理损坏。</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车道上机电设备应位置合理，有保护措施。维修保养人员按规程作业。</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雷击造成设备损坏。</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定期进行防雷检测。</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粉尘环境造成设备损坏。</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定期对设备进行除尘。</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雨雪等天气造成设备受潮、受损。</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设备防雨、防水措施齐全，加强雨雪天气设备巡查维护。</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设备维修保养不及时。</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按规定开展巡查、维修保养工作，发现故障及时上报。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车道设备检维修</w:t>
            </w: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车辆伤害</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过往车辆失控、冲卡、交通事故等。</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完善</w:t>
            </w:r>
            <w:r>
              <w:rPr>
                <w:rFonts w:cs="宋体" w:asciiTheme="minorEastAsia" w:hAnsiTheme="minorEastAsia" w:eastAsiaTheme="minorEastAsia"/>
                <w:color w:val="auto"/>
                <w:kern w:val="0"/>
                <w:sz w:val="21"/>
                <w:szCs w:val="21"/>
              </w:rPr>
              <w:t>ET</w:t>
            </w:r>
            <w:r>
              <w:rPr>
                <w:rFonts w:hint="eastAsia" w:cs="宋体" w:asciiTheme="minorEastAsia" w:hAnsiTheme="minorEastAsia" w:eastAsiaTheme="minorEastAsia"/>
                <w:color w:val="auto"/>
                <w:kern w:val="0"/>
                <w:sz w:val="21"/>
                <w:szCs w:val="21"/>
              </w:rPr>
              <w:t>C车道处标志标线，设专人监护。</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工区负责人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未按规定设置作业区、摆放警示标识等。</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车道作业时应关闭相应车道，设置警戒区，配置警戒人员。</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作业人员不遵守操作规程，如未穿标志服、注意力不集中等。</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加强作业人员安全教育培训，穿戴规定的保护用品，严格按规程作业。</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作业、警戒人员站位不当。</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作业及警戒人员应选择安全（明显）区域，注意观察周边环境。</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雨雪、雾霾等恶劣天气作业。</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雨雪、雾霾等天气作业时，应加强监护措施，</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夜间照明不足。</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设置人工照明。</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物体打击</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过往车辆爆胎、掉落物体。</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作业时设专人监护，作业时注意观察周边环境。</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强风刮落棚顶设备</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加强对车道高处设备设施巡视，作业时注意观察周边环境。</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栏杆机等设备设施装卸拆除时，操作和配合不当，出现设备跌落、滑落事件。</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拆装较重物品时应多人作业，多人作业时设专人指挥。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高处作业工具、材料放置不当。</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高处作业时，工具、材料应放置稳妥，设置专用工具箱（袋）。</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钻孔、切割等作业时，飞物伤人。</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作业时佩戴护目镜等防护用品。</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高处坠落</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信号灯、车道灯等高处机电设备维修时，发坠落事故。</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4</w:t>
            </w:r>
          </w:p>
        </w:tc>
        <w:tc>
          <w:tcPr>
            <w:tcW w:w="707" w:type="dxa"/>
            <w:shd w:val="clear" w:color="auto"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制定高处作业安全管理规定，恶劣天气不得高处作业，高处作业人员应穿戴安全带、防滑鞋等劳动保护用品。</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触电</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机电设备及外壳接地不到位。</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4</w:t>
            </w:r>
          </w:p>
        </w:tc>
        <w:tc>
          <w:tcPr>
            <w:tcW w:w="707" w:type="dxa"/>
            <w:shd w:val="clear" w:color="auto"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定期检查，确保设备及外壳接地到位。</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电气线路及设备绝缘破损、老化。</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4</w:t>
            </w:r>
          </w:p>
        </w:tc>
        <w:tc>
          <w:tcPr>
            <w:tcW w:w="707" w:type="dxa"/>
            <w:shd w:val="clear" w:color="auto"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定期检查，发现隐患时及时维修。</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电气作业时违章作业。</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加强作业人员安全教育培训，使用合格劳动保护用品，按规程操作，持证上岗。</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机电设备积水、潮湿。</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门窗防雨性能良好，空调排水口不得直对设备。</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灼烫</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焊接作业时烫伤。</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作业时佩戴防护手套等防护用品。</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无防护碰触室外高温设备。</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作业时佩戴防护手套等防护用品，注意与高温设备保持安全间距。</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其他伤害</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低温冻伤</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冬季户外作业时注意保暖。</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高温中暑</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夏季户外作业时注意防晒，合理安排作业时间。</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室外作业时蜂蛰。</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户外作业时注意观察，配置或携带消毒药品。</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设备清洁维护时，粉尘危害。</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清尘作业时，佩戴防护口罩等。</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监控中心</w:t>
            </w:r>
          </w:p>
        </w:tc>
        <w:tc>
          <w:tcPr>
            <w:tcW w:w="628"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监控（中心）设备</w:t>
            </w: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设备故障/财物损失</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板卡等元器件老化、故障。</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元器件等备品备件应配置齐全，每日巡查、定期测试。</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病毒攻击。</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定期升级杀毒软件、防火墙和防毒墙策略升级、边界防毒、防入侵系统。非专业人员不得进入，严禁U盘插入。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室内温湿度环境不良，潮湿积水。</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保证室内通风空调系统良好，设置空调、温湿度计，定期排查。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室内及设备表面粉尘。</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按规程进行室内及设备除尘。</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线路连接不当，接入无关设备。</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定期对机柜内线路进行整理，设置标签。严禁接入无关设备。</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人员操作不当，造成软硬件设备受损。</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加强作业人员业务培训，作业人员严格按照操作规程操作。</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UPS电源供电故障。</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使用合格产品，定期进行充放电测试。</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虫鼠咬断线缆。</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定期排查，有防虫鼠措施。</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雷击、静电造成设备损坏。</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按规定设置防雷、防静电接地，定期进行防雷检测。</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数据服务器收费数据延迟。</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重启或及时上报省中心。</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监控录像数据丢失。</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定期排查，软件、硬件设备更新维护。</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误操作，如外网、内网电脑，U盘混用。</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加强监控人员业务和安全培训，按规程作业。</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触电</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机电设备及外壳接地不到位。</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6</w:t>
            </w:r>
          </w:p>
        </w:tc>
        <w:tc>
          <w:tcPr>
            <w:tcW w:w="707" w:type="dxa"/>
            <w:shd w:val="clear" w:color="auto"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定期检查，确保设备及外壳接地到位。</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电气线路及设备绝缘破损、老化。</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6</w:t>
            </w:r>
          </w:p>
        </w:tc>
        <w:tc>
          <w:tcPr>
            <w:tcW w:w="707" w:type="dxa"/>
            <w:shd w:val="clear" w:color="auto"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定期检查，发现隐患时及时维修。</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电气作业时违章作业。</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加强作业人员安全教育培训，使用合格劳动保护用品，按规程操作。</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机电设备积水、潮湿。</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门窗防雨性能良好，空调排水口不得直对设备。</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路段</w:t>
            </w:r>
          </w:p>
        </w:tc>
        <w:tc>
          <w:tcPr>
            <w:tcW w:w="628"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路段设备</w:t>
            </w: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设备故障/财物损失</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雨雪、暴晒等室外环境及长期运行造成设备老化。</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按规定巡查、维修保养，发现故障、老化时及时更换。</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户外监控控制设备遭受病毒攻击。</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定期升级杀毒软件、防火墙，非专业人员不得进入和操作。</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交通事故等造成机电设备物理损坏。</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作业人员严格按照操作规程作业，发现设备损坏时及时更换。</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偷盗、户外作业等造成设备物理损坏、丢失。</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设置防护区警示标识，加强巡视检查，发现隐患时及时上报、维修。</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雷击造成设备损坏。</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定期进行防雷检测。</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软件更新不及时，硬件故障。</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与设备、软件供应商及时协调解决。</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检维修作业</w:t>
            </w: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车辆伤害</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临时作业区及安全标志标牌位置、距离不当。</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15</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加强作业人员业务和安全教育培训，进行作业前安全技术交底，按规定设置作业区，摆放交通标志，按规定进行检查。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安全标志标牌及锥桶等设施及物资摆放不牢，造成设备倾倒、物资遗撒。</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15</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加强作业人员业务和安全教育培训，进行作业前安全技术交底，按规范摆放标志牌，按规定进行检查。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现场管理混乱，作业设备及材料停放不当，处于作业控制区外。</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加强作业现场安全管理，按规定摆放作业区，作业人员和机械设备、车辆、物资不得超出作业区。</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车辆违章掉头或掉头时观察不到位，人员穿越车道时观察不到位。</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加强作业人员业务和安全教育培训，进行作业前安全技术交底，作业时注意观察周边环境。</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作业人员未按规定穿戴反光服、酒后等违章冒险作业行为。</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加强作业前安全教育培训，作业人员按规定穿戴反光服和规定程序作业，加强作业中安全检查。</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社会车辆超速、失控等闯入作业区。</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15</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设置养护作业区时，现场设置安全员和指挥员，注意周边环境观察。</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恶劣天气或照明不足情况下进行施工作业</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15</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按照管理制度要求开展路上作业，夜间作业时，应保证照明充足。</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夜间照明不足。</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设置人工照明。</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高处坠落</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户外高处监控设备维修时，发生高处坠落事故。</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制定高处作业安全管理规定，恶劣天气不得高处作业，高处作业人员应穿戴安全带、防滑鞋等劳动保护用品。</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边坡及检修井等临边作业时高处坠落。</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临边作业时注意个人防护，穿戴防滑鞋。</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物体打击</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户外监控设备因固定不牢或维修不到位，高处摄像头、情报板等掉落砸人砸物。</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对户外高处监控设备定期巡视检查，发现固定不牢等隐患时及时维修。</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过往车辆爆胎、掉落物体。</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作业时设专人监护，作业时注意观察周边环境。</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高处作业工具、材料放置不当。</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高处作业时，工具、材料应放置稳妥，设置专用工具箱（袋）。</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触电</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机电设备及外壳接地不到位。</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6</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定期检查，确保设备及外壳接地到位。</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电气线路及设备绝缘破损、老化。</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6</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定期检查，发现隐患时及时维修。</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电气作业时违章作业。</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6</w:t>
            </w:r>
          </w:p>
        </w:tc>
        <w:tc>
          <w:tcPr>
            <w:tcW w:w="707" w:type="dxa"/>
            <w:shd w:val="clear" w:color="000000" w:fill="FAE600"/>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加强作业人员安全教育培训，严格按规程作业。</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restar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其他伤害</w:t>
            </w: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雨后线缆井巡查、检修作业时，发生淹溺事故。</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确认线缆井水深度后方可作业，并配置救援绳等个体防护设备。</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线缆井巡查、检修作业时，遭遇蛇、虫。</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作业前，对线缆井内作业环境进行安全确认。</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作业时抽烟时，烟头随意丢弃点燃枯草。</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室外作业时，注意室外防火，烟头不得随意丢弃。</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户外高处作业遭受雷击。</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雷雨天气严禁高处维修作业。</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低温冻伤</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冬季户外作业时注意保暖。</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高温中暑</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夏季户外作业时注意防晒，合理安排作业时间。</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5"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628"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704" w:type="dxa"/>
            <w:vMerge w:val="continue"/>
            <w:vAlign w:val="center"/>
          </w:tcPr>
          <w:p>
            <w:pPr>
              <w:spacing w:after="0" w:line="360" w:lineRule="exact"/>
              <w:ind w:left="0" w:firstLine="0"/>
              <w:rPr>
                <w:rFonts w:cs="宋体" w:asciiTheme="minorEastAsia" w:hAnsiTheme="minorEastAsia" w:eastAsiaTheme="minorEastAsia"/>
                <w:color w:val="auto"/>
                <w:kern w:val="0"/>
                <w:sz w:val="21"/>
                <w:szCs w:val="21"/>
              </w:rPr>
            </w:pPr>
          </w:p>
        </w:tc>
        <w:tc>
          <w:tcPr>
            <w:tcW w:w="3274"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室外作业时虫咬、蜂蛰。</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7" w:type="dxa"/>
            <w:shd w:val="clear" w:color="000000" w:fill="3764FF"/>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w:t>
            </w:r>
          </w:p>
        </w:tc>
        <w:tc>
          <w:tcPr>
            <w:tcW w:w="3889"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户外作业时注意观察，配置或携带消毒药品。</w:t>
            </w:r>
          </w:p>
        </w:tc>
        <w:tc>
          <w:tcPr>
            <w:tcW w:w="926" w:type="dxa"/>
            <w:shd w:val="clear" w:color="auto" w:fill="auto"/>
            <w:vAlign w:val="center"/>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机电维护员</w:t>
            </w:r>
          </w:p>
        </w:tc>
      </w:tr>
    </w:tbl>
    <w:p>
      <w:pPr>
        <w:widowControl w:val="0"/>
        <w:tabs>
          <w:tab w:val="left" w:pos="2832"/>
        </w:tabs>
        <w:spacing w:after="0" w:line="560" w:lineRule="exact"/>
        <w:ind w:left="0" w:firstLine="432" w:firstLineChars="200"/>
        <w:jc w:val="center"/>
        <w:rPr>
          <w:rFonts w:cs="Calibri" w:asciiTheme="minorEastAsia" w:hAnsiTheme="minorEastAsia" w:eastAsiaTheme="minorEastAsia"/>
          <w:b/>
          <w:color w:val="auto"/>
          <w:sz w:val="22"/>
          <w:szCs w:val="24"/>
        </w:rPr>
      </w:pPr>
    </w:p>
    <w:p>
      <w:pPr>
        <w:widowControl w:val="0"/>
        <w:tabs>
          <w:tab w:val="left" w:pos="2832"/>
        </w:tabs>
        <w:spacing w:after="0" w:line="560" w:lineRule="exact"/>
        <w:ind w:left="0" w:firstLine="472" w:firstLineChars="200"/>
        <w:rPr>
          <w:rFonts w:cs="Calibri" w:asciiTheme="minorEastAsia" w:hAnsiTheme="minorEastAsia" w:eastAsiaTheme="minorEastAsia"/>
          <w:color w:val="auto"/>
          <w:szCs w:val="24"/>
        </w:rPr>
        <w:sectPr>
          <w:headerReference r:id="rId7" w:type="default"/>
          <w:pgSz w:w="16838" w:h="11906" w:orient="landscape"/>
          <w:pgMar w:top="1531" w:right="1985" w:bottom="1531" w:left="1985" w:header="851" w:footer="850" w:gutter="0"/>
          <w:cols w:space="720" w:num="1"/>
          <w:docGrid w:type="linesAndChars" w:linePitch="584" w:charSpace="-849"/>
        </w:sectPr>
      </w:pPr>
    </w:p>
    <w:p>
      <w:pPr>
        <w:widowControl w:val="0"/>
        <w:spacing w:after="0" w:line="360" w:lineRule="auto"/>
        <w:ind w:left="0" w:firstLine="472" w:firstLineChars="200"/>
        <w:outlineLvl w:val="2"/>
        <w:rPr>
          <w:rFonts w:cs="Calibri" w:asciiTheme="minorEastAsia" w:hAnsiTheme="minorEastAsia" w:eastAsiaTheme="minorEastAsia"/>
          <w:b/>
          <w:color w:val="auto"/>
          <w:szCs w:val="24"/>
        </w:rPr>
      </w:pPr>
      <w:bookmarkStart w:id="25" w:name="_Toc89069749"/>
      <w:bookmarkStart w:id="26" w:name="_Toc47529680"/>
      <w:r>
        <w:rPr>
          <w:rFonts w:hint="eastAsia" w:cs="Calibri" w:asciiTheme="minorEastAsia" w:hAnsiTheme="minorEastAsia" w:eastAsiaTheme="minorEastAsia"/>
          <w:b/>
          <w:color w:val="auto"/>
          <w:szCs w:val="24"/>
        </w:rPr>
        <w:t>2.1.2监控作业</w:t>
      </w:r>
      <w:bookmarkEnd w:id="25"/>
      <w:bookmarkEnd w:id="26"/>
    </w:p>
    <w:p>
      <w:pPr>
        <w:widowControl w:val="0"/>
        <w:tabs>
          <w:tab w:val="left" w:pos="2832"/>
        </w:tabs>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按照《公路水路行业安全生产风险辨识评估管控基本规范（试行）》对监控作业进行风险辨识评估，共辨识各类风险事件致险因素34项，风险分级管控清单如下。</w:t>
      </w:r>
    </w:p>
    <w:p>
      <w:pPr>
        <w:widowControl w:val="0"/>
        <w:tabs>
          <w:tab w:val="left" w:pos="2832"/>
        </w:tabs>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表2-2 监控作业风险分级管控清单</w:t>
      </w:r>
    </w:p>
    <w:tbl>
      <w:tblPr>
        <w:tblStyle w:val="30"/>
        <w:tblW w:w="1308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5"/>
        <w:gridCol w:w="720"/>
        <w:gridCol w:w="709"/>
        <w:gridCol w:w="2970"/>
        <w:gridCol w:w="704"/>
        <w:gridCol w:w="709"/>
        <w:gridCol w:w="709"/>
        <w:gridCol w:w="850"/>
        <w:gridCol w:w="3983"/>
        <w:gridCol w:w="10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1395" w:type="dxa"/>
            <w:gridSpan w:val="2"/>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风险点</w:t>
            </w:r>
          </w:p>
        </w:tc>
        <w:tc>
          <w:tcPr>
            <w:tcW w:w="709" w:type="dxa"/>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风险事件</w:t>
            </w:r>
          </w:p>
        </w:tc>
        <w:tc>
          <w:tcPr>
            <w:tcW w:w="2970" w:type="dxa"/>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致险因素分析</w:t>
            </w:r>
          </w:p>
        </w:tc>
        <w:tc>
          <w:tcPr>
            <w:tcW w:w="704" w:type="dxa"/>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可能性</w:t>
            </w:r>
          </w:p>
        </w:tc>
        <w:tc>
          <w:tcPr>
            <w:tcW w:w="709" w:type="dxa"/>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严重程度</w:t>
            </w:r>
          </w:p>
        </w:tc>
        <w:tc>
          <w:tcPr>
            <w:tcW w:w="709" w:type="dxa"/>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风险值</w:t>
            </w:r>
          </w:p>
        </w:tc>
        <w:tc>
          <w:tcPr>
            <w:tcW w:w="850" w:type="dxa"/>
            <w:tcBorders>
              <w:bottom w:val="single" w:color="auto" w:sz="6" w:space="0"/>
            </w:tcBorders>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风险等级</w:t>
            </w:r>
          </w:p>
        </w:tc>
        <w:tc>
          <w:tcPr>
            <w:tcW w:w="3983" w:type="dxa"/>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管控措施</w:t>
            </w:r>
          </w:p>
        </w:tc>
        <w:tc>
          <w:tcPr>
            <w:tcW w:w="1055" w:type="dxa"/>
            <w:shd w:val="clear" w:color="auto" w:fill="F1F1F1" w:themeFill="background1" w:themeFillShade="F2"/>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监控中心</w:t>
            </w:r>
          </w:p>
        </w:tc>
        <w:tc>
          <w:tcPr>
            <w:tcW w:w="720"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监控中心</w:t>
            </w: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监控中心内违规使用大功率电气设备，私拉乱接、机电设备及线缆老化。</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10 </w:t>
            </w:r>
          </w:p>
        </w:tc>
        <w:tc>
          <w:tcPr>
            <w:tcW w:w="850" w:type="dxa"/>
            <w:tcBorders>
              <w:top w:val="single" w:color="auto" w:sz="6" w:space="0"/>
              <w:bottom w:val="single" w:color="auto" w:sz="6" w:space="0"/>
            </w:tcBorders>
            <w:shd w:val="clear" w:color="000000" w:fill="FAE600"/>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一般</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加强监控中心内日常巡查检查，防止违规用电现象。</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室内堆放易燃易爆物品。</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tcBorders>
              <w:top w:val="single" w:color="auto" w:sz="6" w:space="0"/>
            </w:tcBorders>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监控中心内严禁堆放无关杂物。</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室内吸烟、违章动火作业等。</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监控中心内严禁吸烟，严格限制各类动火作业。</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雷击火灾。</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10 </w:t>
            </w:r>
          </w:p>
        </w:tc>
        <w:tc>
          <w:tcPr>
            <w:tcW w:w="850" w:type="dxa"/>
            <w:tcBorders>
              <w:top w:val="single" w:color="auto" w:sz="6" w:space="0"/>
              <w:bottom w:val="single" w:color="auto" w:sz="6" w:space="0"/>
            </w:tcBorders>
            <w:shd w:val="clear" w:color="000000" w:fill="FAE600"/>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一般</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定期进行防雷检测。</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消防器材不足、失效，作业人员操作不熟练。</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防虫鼠措施不当。</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定期检修门窗、孔洞，放置粘鼠板、鼠药。</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配电箱、机电设备及外壳接地不到位。</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定期巡视检查，确保配电箱、机电气设备及外壳接地到位。</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电气线路及设备绝缘破损、老化</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定期巡视检查，发现绝缘破损的设备及线缆时及时上报维修。</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电气设备、线缆处积水。</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定期巡视检查，发现积水时及时上报维修。</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插座使用不合格。</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低 </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使用3C认证的合格插座。</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其他伤害</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灯管、灯管架、天花装饰板坠落。</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高处物品设置牢固，定期排查。</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室内湿滑、人员摔伤。</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及时清洁，保证室内整洁有序。</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监控作业</w:t>
            </w: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财产损失</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门窗未关闭、无关人员进入等，造成设备丢失。</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定期排查监控室内结构、门窗情况，出入应关闭门窗，无关人员不得进入。</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饮用水及无关物品放到操作平台。</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加强教育培训和日常巡查，监控室设置监控。</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携带外部U盘进入监控室或安装与工作无关的软件、浏览非法网页等违规操作监控设备造成设备中毒、数据丢失。</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850" w:type="dxa"/>
            <w:tcBorders>
              <w:top w:val="single" w:color="auto" w:sz="6" w:space="0"/>
              <w:bottom w:val="single" w:color="auto" w:sz="6" w:space="0"/>
            </w:tcBorders>
            <w:shd w:val="clear" w:color="auto"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禁止工作人员携带U盘进入监控室；禁止工作人员安装与工作无关软件或浏览非法网页；加强业务和安全教育培训，发现问题后及时上报。</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未定期对收费站、路段等进行监控巡查。</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3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6 </w:t>
            </w:r>
          </w:p>
        </w:tc>
        <w:tc>
          <w:tcPr>
            <w:tcW w:w="850" w:type="dxa"/>
            <w:tcBorders>
              <w:top w:val="single" w:color="auto" w:sz="6" w:space="0"/>
              <w:bottom w:val="single" w:color="auto" w:sz="6" w:space="0"/>
            </w:tcBorders>
            <w:shd w:val="clear" w:color="000000" w:fill="FAE600"/>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一般</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定期巡视路段、收费站、监控室等场所。</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监控员睡岗、脱岗，未及时发现突发情况。</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10 </w:t>
            </w:r>
          </w:p>
        </w:tc>
        <w:tc>
          <w:tcPr>
            <w:tcW w:w="850" w:type="dxa"/>
            <w:tcBorders>
              <w:top w:val="single" w:color="auto" w:sz="6" w:space="0"/>
              <w:bottom w:val="single" w:color="auto" w:sz="6" w:space="0"/>
            </w:tcBorders>
            <w:shd w:val="clear" w:color="000000" w:fill="FAE600"/>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一般</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加强教育培训和日常巡查，监控室设置监控。</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突发事件发生后，未按规定及时、准确发布路况信息、进行信息上报。</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10 </w:t>
            </w:r>
          </w:p>
        </w:tc>
        <w:tc>
          <w:tcPr>
            <w:tcW w:w="850" w:type="dxa"/>
            <w:tcBorders>
              <w:top w:val="single" w:color="auto" w:sz="6" w:space="0"/>
              <w:bottom w:val="single" w:color="auto" w:sz="6" w:space="0"/>
            </w:tcBorders>
            <w:shd w:val="clear" w:color="000000" w:fill="FAE600"/>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一般</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监控中心设置信息发布、上报流程，加强监控人员业务培训。</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通信机房</w:t>
            </w:r>
          </w:p>
        </w:tc>
        <w:tc>
          <w:tcPr>
            <w:tcW w:w="720"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机房及设备</w:t>
            </w: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财产损失</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监控设备老化</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每日巡查，发现故障、老化时及时更换。</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监控控制设备遭受病毒攻击</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定期升级杀毒软件、防火墙，非专业人员不得进入和操作。</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人为等因素造成机电设备物理损坏。</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作业人员严格按照操作规程作业。</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雷击造成设备损坏。</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850" w:type="dxa"/>
            <w:tcBorders>
              <w:top w:val="single" w:color="auto" w:sz="6" w:space="0"/>
              <w:bottom w:val="single" w:color="auto" w:sz="6" w:space="0"/>
            </w:tcBorders>
            <w:shd w:val="clear" w:color="000000" w:fill="FAE600"/>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一般</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定期进行防雷检测。</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粉尘、温度、湿度等室内环境造成设备损坏。</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4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定期对设备机房进行清尘，机房内设置空调、温湿度计，保证室内温湿度满足使用要求。</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蓄电池及电气线路短路、老化。</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10 </w:t>
            </w:r>
          </w:p>
        </w:tc>
        <w:tc>
          <w:tcPr>
            <w:tcW w:w="850" w:type="dxa"/>
            <w:tcBorders>
              <w:top w:val="single" w:color="auto" w:sz="6" w:space="0"/>
              <w:bottom w:val="single" w:color="auto" w:sz="6" w:space="0"/>
            </w:tcBorders>
            <w:shd w:val="clear" w:color="000000" w:fill="FAE600"/>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一般</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维修保养、及时更换。</w:t>
            </w:r>
          </w:p>
        </w:tc>
        <w:tc>
          <w:tcPr>
            <w:tcW w:w="1055"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室内吸烟、违章动火作业、储存易燃易爆物品等。</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加强机房日常安全管理，无关人员、设备不得进入。</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雷击火灾。</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定期进行防雷检测。</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机电维护员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消防器材不足、失效，作业人员操作不熟练。</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定期排查、维保，加强人员演练。</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检维修</w:t>
            </w: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中毒窒息</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设备故障、操作失误造成泄漏、误喷。</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定期对设备进行检查维保，及时进行救护，并送医院救助。</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通风不良。</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定期检查通风设备，保证设备运转良好。</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灭火时，室内人员未及时疏散。</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5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定期检查、维保，确保报警设施良好。加强维护人员安全教育培训。</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restart"/>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机电设备及外壳接地不到位。</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定期检查，确保设备及外壳接地到位。</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电气线路及设备绝缘破损、老化</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定期检查，发现隐患时及时维修。</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户外高处作业遭受雷击。</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850" w:type="dxa"/>
            <w:tcBorders>
              <w:top w:val="single" w:color="auto" w:sz="6" w:space="0"/>
              <w:bottom w:val="single" w:color="auto" w:sz="6"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雷雨天气严禁高处维修作业。</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20"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709" w:type="dxa"/>
            <w:vMerge w:val="continue"/>
            <w:vAlign w:val="center"/>
          </w:tcPr>
          <w:p>
            <w:pPr>
              <w:spacing w:after="0" w:line="400" w:lineRule="exact"/>
              <w:ind w:left="0" w:firstLine="0"/>
              <w:rPr>
                <w:rFonts w:ascii="宋体" w:hAnsi="宋体" w:eastAsia="宋体" w:cs="宋体"/>
                <w:color w:val="auto"/>
                <w:kern w:val="0"/>
                <w:sz w:val="21"/>
                <w:szCs w:val="21"/>
              </w:rPr>
            </w:pPr>
          </w:p>
        </w:tc>
        <w:tc>
          <w:tcPr>
            <w:tcW w:w="2970"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电气作业时违章作业。</w:t>
            </w:r>
          </w:p>
        </w:tc>
        <w:tc>
          <w:tcPr>
            <w:tcW w:w="704"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1 </w:t>
            </w:r>
          </w:p>
        </w:tc>
        <w:tc>
          <w:tcPr>
            <w:tcW w:w="709" w:type="dxa"/>
            <w:shd w:val="clear" w:color="auto" w:fill="auto"/>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p>
        </w:tc>
        <w:tc>
          <w:tcPr>
            <w:tcW w:w="850" w:type="dxa"/>
            <w:tcBorders>
              <w:top w:val="single" w:color="auto" w:sz="6" w:space="0"/>
              <w:bottom w:val="single" w:color="auto" w:sz="4" w:space="0"/>
            </w:tcBorders>
            <w:shd w:val="clear" w:color="000000" w:fill="3764FF"/>
            <w:vAlign w:val="center"/>
          </w:tcPr>
          <w:p>
            <w:pPr>
              <w:spacing w:after="0" w:line="400" w:lineRule="exact"/>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低</w:t>
            </w:r>
          </w:p>
        </w:tc>
        <w:tc>
          <w:tcPr>
            <w:tcW w:w="3983"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加强作业人员安全教育培训，严格按规程作业。</w:t>
            </w:r>
          </w:p>
        </w:tc>
        <w:tc>
          <w:tcPr>
            <w:tcW w:w="1055" w:type="dxa"/>
            <w:shd w:val="clear" w:color="auto" w:fill="auto"/>
            <w:vAlign w:val="center"/>
          </w:tcPr>
          <w:p>
            <w:pPr>
              <w:spacing w:after="0" w:line="400" w:lineRule="exact"/>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监控班长</w:t>
            </w:r>
          </w:p>
        </w:tc>
      </w:tr>
    </w:tbl>
    <w:p>
      <w:pPr>
        <w:widowControl w:val="0"/>
        <w:tabs>
          <w:tab w:val="left" w:pos="2832"/>
        </w:tabs>
        <w:spacing w:after="0" w:line="560" w:lineRule="exact"/>
        <w:ind w:left="0" w:firstLine="472" w:firstLineChars="200"/>
        <w:rPr>
          <w:rFonts w:cs="Calibri" w:asciiTheme="minorEastAsia" w:hAnsiTheme="minorEastAsia" w:eastAsiaTheme="minorEastAsia"/>
          <w:b/>
          <w:color w:val="auto"/>
          <w:szCs w:val="24"/>
        </w:rPr>
      </w:pPr>
    </w:p>
    <w:p>
      <w:pPr>
        <w:widowControl w:val="0"/>
        <w:tabs>
          <w:tab w:val="left" w:pos="2832"/>
        </w:tabs>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after="0" w:line="360" w:lineRule="auto"/>
        <w:ind w:left="0" w:firstLine="472" w:firstLineChars="200"/>
        <w:outlineLvl w:val="2"/>
        <w:rPr>
          <w:rFonts w:cs="Calibri" w:asciiTheme="minorEastAsia" w:hAnsiTheme="minorEastAsia" w:eastAsiaTheme="minorEastAsia"/>
          <w:b/>
          <w:color w:val="auto"/>
          <w:szCs w:val="24"/>
        </w:rPr>
      </w:pPr>
      <w:bookmarkStart w:id="27" w:name="_Toc47529681"/>
      <w:bookmarkStart w:id="28" w:name="_Toc89069750"/>
      <w:r>
        <w:rPr>
          <w:rFonts w:hint="eastAsia" w:cs="Calibri" w:asciiTheme="minorEastAsia" w:hAnsiTheme="minorEastAsia" w:eastAsiaTheme="minorEastAsia"/>
          <w:b/>
          <w:color w:val="auto"/>
          <w:szCs w:val="24"/>
        </w:rPr>
        <w:t>2.1.3稽查作业</w:t>
      </w:r>
      <w:bookmarkEnd w:id="27"/>
      <w:bookmarkEnd w:id="28"/>
    </w:p>
    <w:p>
      <w:pPr>
        <w:widowControl w:val="0"/>
        <w:tabs>
          <w:tab w:val="left" w:pos="2832"/>
        </w:tabs>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按照《公路水路行业安全生产风险辨识评估管控基本规范（试行）》对稽查作业进行风险辨识评估，共辨识各类风险事件致险因素14项，风险分级管控清单如下。</w:t>
      </w:r>
    </w:p>
    <w:p>
      <w:pPr>
        <w:widowControl w:val="0"/>
        <w:tabs>
          <w:tab w:val="left" w:pos="2832"/>
        </w:tabs>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表2-</w:t>
      </w:r>
      <w:r>
        <w:rPr>
          <w:rFonts w:cs="Calibri" w:asciiTheme="minorEastAsia" w:hAnsiTheme="minorEastAsia" w:eastAsiaTheme="minorEastAsia"/>
          <w:b/>
          <w:color w:val="auto"/>
          <w:sz w:val="22"/>
          <w:szCs w:val="24"/>
        </w:rPr>
        <w:t>3</w:t>
      </w:r>
      <w:r>
        <w:rPr>
          <w:rFonts w:hint="eastAsia" w:cs="Calibri" w:asciiTheme="minorEastAsia" w:hAnsiTheme="minorEastAsia" w:eastAsiaTheme="minorEastAsia"/>
          <w:b/>
          <w:color w:val="auto"/>
          <w:sz w:val="22"/>
          <w:szCs w:val="24"/>
        </w:rPr>
        <w:t xml:space="preserve"> 稽查作业风险分级管控清单</w:t>
      </w:r>
    </w:p>
    <w:tbl>
      <w:tblPr>
        <w:tblStyle w:val="30"/>
        <w:tblW w:w="1308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5"/>
        <w:gridCol w:w="720"/>
        <w:gridCol w:w="709"/>
        <w:gridCol w:w="2824"/>
        <w:gridCol w:w="714"/>
        <w:gridCol w:w="709"/>
        <w:gridCol w:w="704"/>
        <w:gridCol w:w="662"/>
        <w:gridCol w:w="4312"/>
        <w:gridCol w:w="10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1395" w:type="dxa"/>
            <w:gridSpan w:val="2"/>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风险点</w:t>
            </w:r>
          </w:p>
        </w:tc>
        <w:tc>
          <w:tcPr>
            <w:tcW w:w="709" w:type="dxa"/>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风险事件</w:t>
            </w:r>
          </w:p>
        </w:tc>
        <w:tc>
          <w:tcPr>
            <w:tcW w:w="2824" w:type="dxa"/>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致险因素分析</w:t>
            </w:r>
          </w:p>
        </w:tc>
        <w:tc>
          <w:tcPr>
            <w:tcW w:w="714" w:type="dxa"/>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可能性</w:t>
            </w:r>
          </w:p>
        </w:tc>
        <w:tc>
          <w:tcPr>
            <w:tcW w:w="709" w:type="dxa"/>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严重程度</w:t>
            </w:r>
          </w:p>
        </w:tc>
        <w:tc>
          <w:tcPr>
            <w:tcW w:w="704" w:type="dxa"/>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风险值</w:t>
            </w:r>
          </w:p>
        </w:tc>
        <w:tc>
          <w:tcPr>
            <w:tcW w:w="662" w:type="dxa"/>
            <w:tcBorders>
              <w:bottom w:val="single" w:color="auto" w:sz="6" w:space="0"/>
            </w:tcBorders>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风险等级</w:t>
            </w:r>
          </w:p>
        </w:tc>
        <w:tc>
          <w:tcPr>
            <w:tcW w:w="4312" w:type="dxa"/>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管控措施</w:t>
            </w:r>
          </w:p>
        </w:tc>
        <w:tc>
          <w:tcPr>
            <w:tcW w:w="1055" w:type="dxa"/>
            <w:shd w:val="clear" w:color="auto" w:fill="F1F1F1" w:themeFill="background1" w:themeFillShade="F2"/>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责任人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restart"/>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稽查</w:t>
            </w:r>
          </w:p>
        </w:tc>
        <w:tc>
          <w:tcPr>
            <w:tcW w:w="720" w:type="dxa"/>
            <w:vMerge w:val="restart"/>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稽查作业</w:t>
            </w:r>
          </w:p>
        </w:tc>
        <w:tc>
          <w:tcPr>
            <w:tcW w:w="709" w:type="dxa"/>
            <w:vMerge w:val="restart"/>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车辆伤害</w:t>
            </w: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过往车辆失控、冲卡、交通事故等。</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4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稽查作业时注意观察周边环境和来往车辆，穿越车道时遵守规则，必要时摆放安全标志牌，设专人监护。</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稽查人员不遵守操作规程，如未穿标志服、注意力不集中等。</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5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5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加强作业人员安全教育培训和班前检查，严格按规程作业。</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雨雪、雾霾等恶劣天气或照明不足。</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4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关注气象信息，合理安排作业时间，减少雨雪、雾霾等恶劣天气室外作业。</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追缴逃费车辆过程中发生交通事故，治理闯卡逃费车辆应急处置不当等。</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5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10 </w:t>
            </w:r>
          </w:p>
        </w:tc>
        <w:tc>
          <w:tcPr>
            <w:tcW w:w="662" w:type="dxa"/>
            <w:tcBorders>
              <w:top w:val="single" w:color="auto" w:sz="6" w:space="0"/>
              <w:bottom w:val="single" w:color="auto" w:sz="6" w:space="0"/>
            </w:tcBorders>
            <w:shd w:val="clear" w:color="000000" w:fill="FAE600"/>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一般</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制定相关作业流程，追缴作业时遵守车辆驾驶安全规定，并加强个人防护。</w:t>
            </w:r>
          </w:p>
        </w:tc>
        <w:tc>
          <w:tcPr>
            <w:tcW w:w="1055"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主任、副主任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restart"/>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财产损失</w:t>
            </w: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未按规定对收费站、路段等进行稽查。</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4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4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加强稽查人员业务培训，定期检查责任落实情况。</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稽查人员徇私舞弊。</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5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5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加强稽查人员业务培训，提高廉政意识。</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restart"/>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其他伤害</w:t>
            </w: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蛇、蜜蜂等动物伤害</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作业时人员注意观察周边环境，发生伤害事故时及时就医处理。</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稽查作业时高处落物。</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作业时人员注意观察周边环境，注意来往车辆。</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跌伤、扭伤。</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作业时人员注意观察周边环境，注意凸起物体及坑槽。</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雷击</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关注气象信息，合理安排作业时间，避免雷雨天气进行稽查作业。</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中暑</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关注气象信息，合理安排作业时间，为室外作业人员配备防暑降温用品。</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突发疾病</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对职工进行安全体检，适时调岗换岗。</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暴力伤害</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2 </w:t>
            </w:r>
          </w:p>
        </w:tc>
        <w:tc>
          <w:tcPr>
            <w:tcW w:w="662" w:type="dxa"/>
            <w:tcBorders>
              <w:top w:val="single" w:color="auto" w:sz="6" w:space="0"/>
              <w:bottom w:val="single" w:color="auto" w:sz="6"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稽查人员按规定携带证件、穿戴制服，加强安全教育培训，按规定程序作业。</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5"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20"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709" w:type="dxa"/>
            <w:vMerge w:val="continue"/>
            <w:vAlign w:val="center"/>
          </w:tcPr>
          <w:p>
            <w:pPr>
              <w:spacing w:after="0" w:line="360" w:lineRule="exact"/>
              <w:ind w:left="0" w:firstLine="0"/>
              <w:rPr>
                <w:rFonts w:ascii="宋体" w:hAnsi="宋体" w:eastAsia="宋体" w:cs="宋体"/>
                <w:color w:val="auto"/>
                <w:kern w:val="0"/>
                <w:sz w:val="20"/>
                <w:szCs w:val="18"/>
              </w:rPr>
            </w:pPr>
          </w:p>
        </w:tc>
        <w:tc>
          <w:tcPr>
            <w:tcW w:w="2824" w:type="dxa"/>
            <w:shd w:val="clear" w:color="auto" w:fill="auto"/>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稽查纠纷</w:t>
            </w:r>
          </w:p>
        </w:tc>
        <w:tc>
          <w:tcPr>
            <w:tcW w:w="71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3 </w:t>
            </w:r>
          </w:p>
        </w:tc>
        <w:tc>
          <w:tcPr>
            <w:tcW w:w="709"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1 </w:t>
            </w:r>
          </w:p>
        </w:tc>
        <w:tc>
          <w:tcPr>
            <w:tcW w:w="704" w:type="dxa"/>
            <w:shd w:val="clear" w:color="auto" w:fill="auto"/>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 xml:space="preserve">3 </w:t>
            </w:r>
          </w:p>
        </w:tc>
        <w:tc>
          <w:tcPr>
            <w:tcW w:w="662" w:type="dxa"/>
            <w:tcBorders>
              <w:top w:val="single" w:color="auto" w:sz="6" w:space="0"/>
              <w:bottom w:val="single" w:color="auto" w:sz="4" w:space="0"/>
            </w:tcBorders>
            <w:shd w:val="clear" w:color="000000" w:fill="3764FF"/>
            <w:vAlign w:val="center"/>
          </w:tcPr>
          <w:p>
            <w:pPr>
              <w:spacing w:after="0" w:line="360" w:lineRule="exact"/>
              <w:ind w:left="0" w:firstLine="0"/>
              <w:jc w:val="center"/>
              <w:rPr>
                <w:rFonts w:ascii="宋体" w:hAnsi="宋体" w:eastAsia="宋体" w:cs="宋体"/>
                <w:color w:val="auto"/>
                <w:kern w:val="0"/>
                <w:sz w:val="20"/>
                <w:szCs w:val="18"/>
              </w:rPr>
            </w:pPr>
            <w:r>
              <w:rPr>
                <w:rFonts w:hint="eastAsia" w:ascii="宋体" w:hAnsi="宋体" w:eastAsia="宋体" w:cs="宋体"/>
                <w:color w:val="auto"/>
                <w:kern w:val="0"/>
                <w:sz w:val="20"/>
                <w:szCs w:val="18"/>
              </w:rPr>
              <w:t>低</w:t>
            </w:r>
          </w:p>
        </w:tc>
        <w:tc>
          <w:tcPr>
            <w:tcW w:w="4312" w:type="dxa"/>
            <w:shd w:val="clear" w:color="000000" w:fill="FFFFFF"/>
            <w:vAlign w:val="center"/>
          </w:tcPr>
          <w:p>
            <w:pPr>
              <w:spacing w:after="0" w:line="360" w:lineRule="exact"/>
              <w:ind w:left="0" w:firstLine="0"/>
              <w:rPr>
                <w:rFonts w:ascii="宋体" w:hAnsi="宋体" w:eastAsia="宋体" w:cs="宋体"/>
                <w:color w:val="auto"/>
                <w:kern w:val="0"/>
                <w:sz w:val="20"/>
                <w:szCs w:val="18"/>
              </w:rPr>
            </w:pPr>
            <w:r>
              <w:rPr>
                <w:rFonts w:hint="eastAsia" w:ascii="宋体" w:hAnsi="宋体" w:eastAsia="宋体" w:cs="宋体"/>
                <w:color w:val="auto"/>
                <w:kern w:val="0"/>
                <w:sz w:val="20"/>
                <w:szCs w:val="18"/>
              </w:rPr>
              <w:t>稽查人员按规定携带证件、穿戴制服，加强业务技能培训，按规定程序作业。</w:t>
            </w:r>
          </w:p>
        </w:tc>
        <w:tc>
          <w:tcPr>
            <w:tcW w:w="1055" w:type="dxa"/>
            <w:shd w:val="clear" w:color="000000" w:fill="FFFFFF"/>
            <w:vAlign w:val="center"/>
          </w:tcPr>
          <w:p>
            <w:pPr>
              <w:spacing w:after="0" w:line="360" w:lineRule="exact"/>
              <w:ind w:left="0" w:firstLine="0"/>
              <w:jc w:val="center"/>
              <w:rPr>
                <w:rFonts w:ascii="宋体" w:hAnsi="宋体" w:eastAsia="宋体" w:cs="宋体"/>
                <w:color w:val="auto"/>
                <w:kern w:val="0"/>
                <w:sz w:val="20"/>
                <w:szCs w:val="18"/>
              </w:rPr>
            </w:pPr>
            <w:r>
              <w:rPr>
                <w:rFonts w:hint="eastAsia" w:cs="宋体" w:asciiTheme="minorEastAsia" w:hAnsiTheme="minorEastAsia" w:eastAsiaTheme="minorEastAsia"/>
                <w:color w:val="auto"/>
                <w:kern w:val="0"/>
                <w:sz w:val="21"/>
                <w:szCs w:val="21"/>
              </w:rPr>
              <w:t>稽查员</w:t>
            </w:r>
          </w:p>
        </w:tc>
      </w:tr>
    </w:tbl>
    <w:p>
      <w:pPr>
        <w:widowControl w:val="0"/>
        <w:tabs>
          <w:tab w:val="left" w:pos="2832"/>
        </w:tabs>
        <w:spacing w:after="0" w:line="560" w:lineRule="exact"/>
        <w:ind w:left="0" w:firstLine="432" w:firstLineChars="200"/>
        <w:jc w:val="center"/>
        <w:rPr>
          <w:rFonts w:cs="Calibri" w:asciiTheme="minorEastAsia" w:hAnsiTheme="minorEastAsia" w:eastAsiaTheme="minorEastAsia"/>
          <w:b/>
          <w:color w:val="auto"/>
          <w:sz w:val="22"/>
          <w:szCs w:val="24"/>
        </w:rPr>
      </w:pPr>
    </w:p>
    <w:p>
      <w:pPr>
        <w:widowControl w:val="0"/>
        <w:tabs>
          <w:tab w:val="left" w:pos="2832"/>
        </w:tabs>
        <w:spacing w:after="0" w:line="560" w:lineRule="exact"/>
        <w:ind w:left="0" w:firstLine="472" w:firstLineChars="200"/>
        <w:rPr>
          <w:rFonts w:cs="Calibri" w:asciiTheme="minorEastAsia" w:hAnsiTheme="minorEastAsia" w:eastAsiaTheme="minorEastAsia"/>
          <w:color w:val="auto"/>
          <w:szCs w:val="24"/>
        </w:rPr>
        <w:sectPr>
          <w:headerReference r:id="rId8" w:type="default"/>
          <w:footerReference r:id="rId9" w:type="default"/>
          <w:pgSz w:w="16838" w:h="11906" w:orient="landscape"/>
          <w:pgMar w:top="1531" w:right="1985" w:bottom="1531" w:left="1985" w:header="851" w:footer="1531" w:gutter="0"/>
          <w:cols w:space="720" w:num="1"/>
          <w:docGrid w:type="linesAndChars" w:linePitch="584" w:charSpace="-849"/>
        </w:sect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29" w:name="_Toc42940677"/>
      <w:bookmarkStart w:id="30" w:name="_Toc89069751"/>
      <w:r>
        <w:rPr>
          <w:rFonts w:hint="eastAsia" w:cs="Calibri" w:asciiTheme="minorEastAsia" w:hAnsiTheme="minorEastAsia" w:eastAsiaTheme="minorEastAsia"/>
          <w:b/>
          <w:color w:val="auto"/>
          <w:sz w:val="28"/>
          <w:szCs w:val="24"/>
        </w:rPr>
        <w:t>2.2风险告知牌</w:t>
      </w:r>
      <w:bookmarkEnd w:id="29"/>
      <w:bookmarkEnd w:id="30"/>
    </w:p>
    <w:p>
      <w:pPr>
        <w:widowControl w:val="0"/>
        <w:spacing w:after="0" w:line="480" w:lineRule="exact"/>
        <w:ind w:left="0" w:firstLine="480"/>
        <w:jc w:val="both"/>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指挥调度中心涉及的风险告知牌包括</w:t>
      </w:r>
      <w:r>
        <w:rPr>
          <w:rFonts w:hint="eastAsia" w:cs="Calibri" w:asciiTheme="minorEastAsia" w:hAnsiTheme="minorEastAsia" w:eastAsiaTheme="minorEastAsia"/>
          <w:color w:val="auto"/>
          <w:szCs w:val="24"/>
        </w:rPr>
        <w:t>监控中心、</w:t>
      </w:r>
      <w:r>
        <w:rPr>
          <w:rFonts w:cs="Calibri" w:asciiTheme="minorEastAsia" w:hAnsiTheme="minorEastAsia" w:eastAsiaTheme="minorEastAsia"/>
          <w:color w:val="auto"/>
          <w:szCs w:val="24"/>
        </w:rPr>
        <w:t>通信机房</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发电机房</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消防泵房</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配电室等</w:t>
      </w:r>
      <w:r>
        <w:rPr>
          <w:rFonts w:hint="eastAsia" w:cs="Calibri" w:asciiTheme="minorEastAsia" w:hAnsiTheme="minorEastAsia" w:eastAsiaTheme="minorEastAsia"/>
          <w:color w:val="auto"/>
          <w:szCs w:val="24"/>
        </w:rPr>
        <w:t>。</w:t>
      </w:r>
    </w:p>
    <w:p>
      <w:pPr>
        <w:spacing w:after="0" w:line="240" w:lineRule="auto"/>
        <w:ind w:left="0" w:firstLine="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br w:type="page"/>
      </w:r>
    </w:p>
    <w:tbl>
      <w:tblPr>
        <w:tblStyle w:val="30"/>
        <w:tblpPr w:leftFromText="180" w:rightFromText="180" w:vertAnchor="text" w:horzAnchor="margin" w:tblpXSpec="center" w:tblpY="1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2135"/>
        <w:gridCol w:w="3839"/>
        <w:gridCol w:w="1080"/>
        <w:gridCol w:w="6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7" w:hRule="atLeast"/>
        </w:trPr>
        <w:tc>
          <w:tcPr>
            <w:tcW w:w="2135" w:type="dxa"/>
            <w:shd w:val="clear" w:color="auto" w:fill="FFFFFF"/>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风险点名称</w:t>
            </w:r>
          </w:p>
        </w:tc>
        <w:tc>
          <w:tcPr>
            <w:tcW w:w="3839" w:type="dxa"/>
            <w:shd w:val="clear" w:color="auto" w:fill="FFFFFF"/>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监控中心</w:t>
            </w:r>
          </w:p>
        </w:tc>
        <w:tc>
          <w:tcPr>
            <w:tcW w:w="1080" w:type="dxa"/>
            <w:vMerge w:val="restart"/>
            <w:shd w:val="clear" w:color="auto" w:fill="FFFFFF"/>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致险因素描述</w:t>
            </w:r>
          </w:p>
        </w:tc>
        <w:tc>
          <w:tcPr>
            <w:tcW w:w="6030" w:type="dxa"/>
            <w:vMerge w:val="restart"/>
            <w:shd w:val="clear" w:color="auto" w:fill="FFFFFF"/>
            <w:vAlign w:val="center"/>
          </w:tcPr>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1.违规使用大功率电气设备、私拉乱接、机电设备及线缆老化；</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2.堆放易燃易爆物品，吸烟、违章动火作业；</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3.消防器材不足、失效，作业人员操作不熟练，疏散不及时；</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4.监控设备老化、故障未及时修复，操作不熟练或违章操作；</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5.未按规定开展监控、稽查作业，信息发布、上报流程不当。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55" w:hRule="atLeast"/>
        </w:trPr>
        <w:tc>
          <w:tcPr>
            <w:tcW w:w="2135" w:type="dxa"/>
            <w:tcBorders>
              <w:bottom w:val="single" w:color="auto" w:sz="4" w:space="0"/>
            </w:tcBorders>
            <w:shd w:val="clear" w:color="auto" w:fill="FFFFFF"/>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风险等级</w:t>
            </w:r>
          </w:p>
        </w:tc>
        <w:tc>
          <w:tcPr>
            <w:tcW w:w="3839" w:type="dxa"/>
            <w:shd w:val="clear" w:color="auto" w:fill="FAE600"/>
            <w:vAlign w:val="center"/>
          </w:tcPr>
          <w:p>
            <w:pPr>
              <w:spacing w:after="0" w:line="320" w:lineRule="exact"/>
              <w:ind w:left="11" w:hanging="11"/>
              <w:jc w:val="center"/>
              <w:rPr>
                <w:rFonts w:ascii="宋体" w:hAnsi="宋体" w:eastAsia="宋体" w:cs="Times New Roman"/>
                <w:b/>
                <w:color w:val="auto"/>
                <w:sz w:val="21"/>
                <w:szCs w:val="24"/>
              </w:rPr>
            </w:pPr>
            <w:r>
              <w:rPr>
                <w:rFonts w:ascii="宋体" w:hAnsi="宋体" w:eastAsia="宋体" w:cs="Times New Roman"/>
                <w:b/>
                <w:color w:val="auto"/>
                <w:sz w:val="21"/>
                <w:szCs w:val="24"/>
              </w:rPr>
              <w:t>一般风险</w:t>
            </w:r>
          </w:p>
        </w:tc>
        <w:tc>
          <w:tcPr>
            <w:tcW w:w="1080" w:type="dxa"/>
            <w:vMerge w:val="continue"/>
            <w:shd w:val="clear" w:color="auto" w:fill="FFFFFF"/>
            <w:vAlign w:val="center"/>
          </w:tcPr>
          <w:p>
            <w:pPr>
              <w:spacing w:after="0" w:line="240" w:lineRule="auto"/>
              <w:ind w:left="0" w:firstLine="0"/>
              <w:jc w:val="center"/>
              <w:rPr>
                <w:rFonts w:ascii="宋体" w:hAnsi="宋体" w:eastAsia="宋体" w:cs="Times New Roman"/>
                <w:b/>
                <w:color w:val="auto"/>
                <w:sz w:val="21"/>
                <w:szCs w:val="24"/>
              </w:rPr>
            </w:pPr>
          </w:p>
        </w:tc>
        <w:tc>
          <w:tcPr>
            <w:tcW w:w="6030" w:type="dxa"/>
            <w:vMerge w:val="continue"/>
            <w:shd w:val="clear" w:color="auto" w:fill="FFFFFF"/>
            <w:vAlign w:val="center"/>
          </w:tcPr>
          <w:p>
            <w:pPr>
              <w:spacing w:after="0" w:line="320" w:lineRule="exact"/>
              <w:ind w:left="11" w:hanging="11"/>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3" w:hRule="atLeast"/>
        </w:trPr>
        <w:tc>
          <w:tcPr>
            <w:tcW w:w="2135" w:type="dxa"/>
            <w:tcBorders>
              <w:bottom w:val="single" w:color="auto" w:sz="4" w:space="0"/>
            </w:tcBorders>
            <w:shd w:val="clear" w:color="auto" w:fill="FFFFFF"/>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事故类型</w:t>
            </w:r>
          </w:p>
        </w:tc>
        <w:tc>
          <w:tcPr>
            <w:tcW w:w="3839" w:type="dxa"/>
            <w:shd w:val="clear" w:color="auto" w:fill="FFFFFF"/>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火灾 触电 事故扩大</w:t>
            </w:r>
          </w:p>
        </w:tc>
        <w:tc>
          <w:tcPr>
            <w:tcW w:w="1080" w:type="dxa"/>
            <w:vMerge w:val="continue"/>
            <w:shd w:val="clear" w:color="auto" w:fill="FFFFFF"/>
            <w:vAlign w:val="center"/>
          </w:tcPr>
          <w:p>
            <w:pPr>
              <w:spacing w:after="0" w:line="240" w:lineRule="auto"/>
              <w:ind w:left="0" w:firstLine="0"/>
              <w:jc w:val="center"/>
              <w:rPr>
                <w:rFonts w:ascii="宋体" w:hAnsi="宋体" w:eastAsia="宋体" w:cs="Times New Roman"/>
                <w:b/>
                <w:color w:val="auto"/>
                <w:sz w:val="21"/>
                <w:szCs w:val="24"/>
              </w:rPr>
            </w:pPr>
          </w:p>
        </w:tc>
        <w:tc>
          <w:tcPr>
            <w:tcW w:w="6030" w:type="dxa"/>
            <w:vMerge w:val="continue"/>
            <w:shd w:val="clear" w:color="auto" w:fill="FFFFFF"/>
            <w:vAlign w:val="center"/>
          </w:tcPr>
          <w:p>
            <w:pPr>
              <w:spacing w:after="0" w:line="320" w:lineRule="exact"/>
              <w:ind w:left="11" w:hanging="11"/>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74" w:hRule="atLeast"/>
        </w:trPr>
        <w:tc>
          <w:tcPr>
            <w:tcW w:w="5974" w:type="dxa"/>
            <w:gridSpan w:val="2"/>
            <w:tcBorders>
              <w:bottom w:val="single" w:color="auto" w:sz="6" w:space="0"/>
            </w:tcBorders>
            <w:shd w:val="clear" w:color="auto" w:fill="FFFFFF"/>
          </w:tcPr>
          <w:p>
            <w:pPr>
              <w:spacing w:after="0" w:line="320" w:lineRule="exact"/>
              <w:ind w:left="0" w:firstLine="0"/>
              <w:jc w:val="center"/>
              <w:rPr>
                <w:rFonts w:ascii="宋体" w:hAnsi="宋体" w:eastAsia="宋体"/>
                <w:b/>
                <w:color w:val="auto"/>
                <w:sz w:val="21"/>
              </w:rPr>
            </w:pPr>
            <w:r>
              <w:rPr>
                <w:rFonts w:hint="eastAsia" w:ascii="宋体" w:hAnsi="宋体" w:eastAsia="宋体"/>
                <w:b/>
                <w:color w:val="auto"/>
                <w:sz w:val="21"/>
              </w:rPr>
              <w:t>安全标志</w:t>
            </w:r>
          </w:p>
          <w:p>
            <w:pPr>
              <w:spacing w:after="0" w:line="240" w:lineRule="auto"/>
              <w:ind w:left="0" w:firstLine="0"/>
              <w:jc w:val="center"/>
              <w:rPr>
                <w:rFonts w:ascii="宋体" w:hAnsi="宋体"/>
                <w:b/>
                <w:color w:val="auto"/>
                <w:sz w:val="21"/>
              </w:rPr>
            </w:pPr>
            <w:r>
              <w:rPr>
                <w:color w:val="auto"/>
                <w:sz w:val="21"/>
              </w:rPr>
              <w:drawing>
                <wp:inline distT="0" distB="0" distL="0" distR="0">
                  <wp:extent cx="1084580" cy="1350645"/>
                  <wp:effectExtent l="0" t="0" r="127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84580" cy="1350645"/>
                          </a:xfrm>
                          <a:prstGeom prst="rect">
                            <a:avLst/>
                          </a:prstGeom>
                          <a:noFill/>
                          <a:ln>
                            <a:noFill/>
                          </a:ln>
                        </pic:spPr>
                      </pic:pic>
                    </a:graphicData>
                  </a:graphic>
                </wp:inline>
              </w:drawing>
            </w:r>
            <w:r>
              <w:rPr>
                <w:rFonts w:hint="eastAsia"/>
                <w:color w:val="auto"/>
                <w:sz w:val="21"/>
              </w:rPr>
              <w:t xml:space="preserve"> </w:t>
            </w:r>
            <w:r>
              <w:rPr>
                <w:color w:val="auto"/>
                <w:sz w:val="21"/>
              </w:rPr>
              <w:drawing>
                <wp:inline distT="0" distB="0" distL="0" distR="0">
                  <wp:extent cx="1095375" cy="1350645"/>
                  <wp:effectExtent l="0" t="0" r="952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95375" cy="1350645"/>
                          </a:xfrm>
                          <a:prstGeom prst="rect">
                            <a:avLst/>
                          </a:prstGeom>
                          <a:noFill/>
                          <a:ln>
                            <a:noFill/>
                          </a:ln>
                        </pic:spPr>
                      </pic:pic>
                    </a:graphicData>
                  </a:graphic>
                </wp:inline>
              </w:drawing>
            </w:r>
            <w:r>
              <w:rPr>
                <w:rFonts w:hint="eastAsia"/>
                <w:color w:val="auto"/>
                <w:sz w:val="21"/>
              </w:rPr>
              <w:t xml:space="preserve"> </w:t>
            </w:r>
            <w:r>
              <w:rPr>
                <w:color w:val="auto"/>
                <w:sz w:val="13"/>
              </w:rPr>
              <w:drawing>
                <wp:inline distT="0" distB="0" distL="0" distR="0">
                  <wp:extent cx="1095375" cy="1350645"/>
                  <wp:effectExtent l="0" t="0" r="952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5375" cy="1350645"/>
                          </a:xfrm>
                          <a:prstGeom prst="rect">
                            <a:avLst/>
                          </a:prstGeom>
                          <a:noFill/>
                          <a:ln>
                            <a:noFill/>
                          </a:ln>
                        </pic:spPr>
                      </pic:pic>
                    </a:graphicData>
                  </a:graphic>
                </wp:inline>
              </w:drawing>
            </w:r>
          </w:p>
        </w:tc>
        <w:tc>
          <w:tcPr>
            <w:tcW w:w="1080" w:type="dxa"/>
            <w:tcBorders>
              <w:bottom w:val="single" w:color="auto" w:sz="6" w:space="0"/>
            </w:tcBorders>
            <w:shd w:val="clear" w:color="auto" w:fill="FFFFFF"/>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风险管控措施</w:t>
            </w:r>
          </w:p>
        </w:tc>
        <w:tc>
          <w:tcPr>
            <w:tcW w:w="6030" w:type="dxa"/>
            <w:tcBorders>
              <w:bottom w:val="single" w:color="auto" w:sz="4" w:space="0"/>
            </w:tcBorders>
            <w:shd w:val="clear" w:color="auto" w:fill="FFFFFF"/>
            <w:vAlign w:val="center"/>
          </w:tcPr>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1.加强员工业务培训和安全教育培训，按规定开展隐患排查治理，发现隐患及时上报处理；</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2.按规定进行班前检查、班中巡查和班后交接，规范填写记录并落实信息发布等相关审批流程；</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3.认真落实勤务保障相关规定。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5" w:type="dxa"/>
            <w:tcBorders>
              <w:top w:val="single" w:color="auto" w:sz="6" w:space="0"/>
            </w:tcBorders>
            <w:shd w:val="clear" w:color="auto" w:fill="FFFFFF"/>
            <w:vAlign w:val="center"/>
          </w:tcPr>
          <w:p>
            <w:pPr>
              <w:spacing w:beforeLines="50" w:after="0" w:line="240" w:lineRule="auto"/>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责任部门</w:t>
            </w:r>
          </w:p>
        </w:tc>
        <w:tc>
          <w:tcPr>
            <w:tcW w:w="3839" w:type="dxa"/>
            <w:tcBorders>
              <w:top w:val="single" w:color="auto" w:sz="6" w:space="0"/>
            </w:tcBorders>
            <w:shd w:val="clear" w:color="auto" w:fill="FFFFFF"/>
            <w:vAlign w:val="center"/>
          </w:tcPr>
          <w:p>
            <w:pPr>
              <w:spacing w:beforeLines="50" w:after="0" w:line="240" w:lineRule="auto"/>
              <w:ind w:left="11" w:hanging="11"/>
              <w:rPr>
                <w:rFonts w:ascii="宋体" w:hAnsi="宋体"/>
                <w:b/>
                <w:color w:val="auto"/>
                <w:sz w:val="21"/>
              </w:rPr>
            </w:pPr>
          </w:p>
        </w:tc>
        <w:tc>
          <w:tcPr>
            <w:tcW w:w="1080" w:type="dxa"/>
            <w:vMerge w:val="restart"/>
            <w:tcBorders>
              <w:top w:val="single" w:color="auto" w:sz="6" w:space="0"/>
            </w:tcBorders>
            <w:shd w:val="clear" w:color="auto" w:fill="FFFFFF"/>
            <w:vAlign w:val="center"/>
          </w:tcPr>
          <w:p>
            <w:pPr>
              <w:spacing w:beforeLines="50" w:after="0" w:line="240" w:lineRule="auto"/>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应急处置措施</w:t>
            </w:r>
          </w:p>
        </w:tc>
        <w:tc>
          <w:tcPr>
            <w:tcW w:w="6030" w:type="dxa"/>
            <w:vMerge w:val="restart"/>
            <w:tcBorders>
              <w:top w:val="single" w:color="auto" w:sz="6" w:space="0"/>
            </w:tcBorders>
            <w:shd w:val="clear" w:color="auto" w:fill="FFFFFF"/>
            <w:vAlign w:val="center"/>
          </w:tcPr>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1. 监控中心内发生人员伤亡时，应使伤者尽快脱离危险源，实施抢救，拨打120等急救电话。</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2. 道路交通事故、拥堵等情形发生时，按规定流程进行信息发布、阻断信息上报等工作。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5" w:type="dxa"/>
            <w:shd w:val="clear" w:color="auto" w:fill="FFFFFF"/>
            <w:vAlign w:val="center"/>
          </w:tcPr>
          <w:p>
            <w:pPr>
              <w:spacing w:beforeLines="50" w:after="0" w:line="240" w:lineRule="auto"/>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责任人</w:t>
            </w:r>
          </w:p>
        </w:tc>
        <w:tc>
          <w:tcPr>
            <w:tcW w:w="3839" w:type="dxa"/>
            <w:shd w:val="clear" w:color="auto" w:fill="FFFFFF"/>
            <w:vAlign w:val="center"/>
          </w:tcPr>
          <w:p>
            <w:pPr>
              <w:spacing w:beforeLines="50" w:after="0" w:line="240" w:lineRule="auto"/>
              <w:ind w:left="11" w:hanging="11"/>
              <w:rPr>
                <w:rFonts w:ascii="宋体" w:hAnsi="宋体"/>
                <w:b/>
                <w:color w:val="auto"/>
                <w:sz w:val="21"/>
              </w:rPr>
            </w:pPr>
          </w:p>
        </w:tc>
        <w:tc>
          <w:tcPr>
            <w:tcW w:w="1080" w:type="dxa"/>
            <w:vMerge w:val="continue"/>
            <w:shd w:val="clear" w:color="auto" w:fill="FFFFFF"/>
            <w:vAlign w:val="center"/>
          </w:tcPr>
          <w:p>
            <w:pPr>
              <w:spacing w:beforeLines="50" w:after="0" w:line="240" w:lineRule="auto"/>
              <w:ind w:left="11" w:hanging="11"/>
              <w:jc w:val="center"/>
              <w:rPr>
                <w:rFonts w:ascii="宋体" w:hAnsi="宋体"/>
                <w:b/>
                <w:color w:val="auto"/>
                <w:sz w:val="21"/>
              </w:rPr>
            </w:pPr>
          </w:p>
        </w:tc>
        <w:tc>
          <w:tcPr>
            <w:tcW w:w="6030" w:type="dxa"/>
            <w:vMerge w:val="continue"/>
            <w:shd w:val="clear" w:color="auto" w:fill="FFFFFF"/>
            <w:vAlign w:val="center"/>
          </w:tcPr>
          <w:p>
            <w:pPr>
              <w:spacing w:beforeLines="50" w:after="0" w:line="240" w:lineRule="auto"/>
              <w:ind w:left="11" w:hanging="11"/>
              <w:rPr>
                <w:rFonts w:ascii="黑体" w:eastAsia="黑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5" w:type="dxa"/>
            <w:shd w:val="clear" w:color="auto" w:fill="FFFFFF"/>
            <w:vAlign w:val="center"/>
          </w:tcPr>
          <w:p>
            <w:pPr>
              <w:spacing w:beforeLines="50" w:after="0" w:line="240" w:lineRule="auto"/>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责任电话</w:t>
            </w:r>
          </w:p>
        </w:tc>
        <w:tc>
          <w:tcPr>
            <w:tcW w:w="3839" w:type="dxa"/>
            <w:shd w:val="clear" w:color="auto" w:fill="FFFFFF"/>
            <w:vAlign w:val="center"/>
          </w:tcPr>
          <w:p>
            <w:pPr>
              <w:spacing w:beforeLines="50" w:after="0" w:line="240" w:lineRule="auto"/>
              <w:ind w:left="11" w:hanging="11"/>
              <w:rPr>
                <w:rFonts w:ascii="宋体" w:hAnsi="宋体"/>
                <w:b/>
                <w:color w:val="auto"/>
                <w:sz w:val="21"/>
              </w:rPr>
            </w:pPr>
          </w:p>
        </w:tc>
        <w:tc>
          <w:tcPr>
            <w:tcW w:w="1080" w:type="dxa"/>
            <w:vMerge w:val="continue"/>
            <w:shd w:val="clear" w:color="auto" w:fill="FFFFFF"/>
            <w:vAlign w:val="center"/>
          </w:tcPr>
          <w:p>
            <w:pPr>
              <w:spacing w:beforeLines="50" w:after="0" w:line="240" w:lineRule="auto"/>
              <w:ind w:left="11" w:hanging="11"/>
              <w:jc w:val="center"/>
              <w:rPr>
                <w:rFonts w:ascii="宋体" w:hAnsi="宋体"/>
                <w:b/>
                <w:color w:val="auto"/>
                <w:sz w:val="21"/>
              </w:rPr>
            </w:pPr>
          </w:p>
        </w:tc>
        <w:tc>
          <w:tcPr>
            <w:tcW w:w="6030" w:type="dxa"/>
            <w:vMerge w:val="continue"/>
            <w:shd w:val="clear" w:color="auto" w:fill="FFFFFF"/>
            <w:vAlign w:val="center"/>
          </w:tcPr>
          <w:p>
            <w:pPr>
              <w:spacing w:beforeLines="50" w:after="0" w:line="240" w:lineRule="auto"/>
              <w:ind w:left="11" w:hanging="11"/>
              <w:rPr>
                <w:rFonts w:ascii="黑体" w:eastAsia="黑体"/>
                <w:color w:val="auto"/>
                <w:sz w:val="21"/>
              </w:rPr>
            </w:pPr>
          </w:p>
        </w:tc>
      </w:tr>
    </w:tbl>
    <w:p>
      <w:pPr>
        <w:widowControl w:val="0"/>
        <w:spacing w:after="0" w:line="360" w:lineRule="auto"/>
        <w:ind w:left="210" w:firstLine="0"/>
        <w:jc w:val="both"/>
        <w:rPr>
          <w:rFonts w:cs="Calibri" w:asciiTheme="minorEastAsia" w:hAnsiTheme="minorEastAsia" w:eastAsiaTheme="minorEastAsia"/>
          <w:color w:val="auto"/>
          <w:szCs w:val="24"/>
        </w:rPr>
      </w:pPr>
    </w:p>
    <w:tbl>
      <w:tblPr>
        <w:tblStyle w:val="30"/>
        <w:tblpPr w:leftFromText="180" w:rightFromText="180" w:vertAnchor="text" w:horzAnchor="margin" w:tblpXSpec="center" w:tblpY="1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3831"/>
        <w:gridCol w:w="1265"/>
        <w:gridCol w:w="5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33" w:type="dxa"/>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风险点名称</w:t>
            </w:r>
          </w:p>
        </w:tc>
        <w:tc>
          <w:tcPr>
            <w:tcW w:w="4081" w:type="dxa"/>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通信机房</w:t>
            </w:r>
          </w:p>
        </w:tc>
        <w:tc>
          <w:tcPr>
            <w:tcW w:w="1336" w:type="dxa"/>
            <w:vMerge w:val="restart"/>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致险因素描述</w:t>
            </w:r>
          </w:p>
        </w:tc>
        <w:tc>
          <w:tcPr>
            <w:tcW w:w="6298" w:type="dxa"/>
            <w:vMerge w:val="restart"/>
            <w:shd w:val="clear" w:color="auto" w:fill="auto"/>
            <w:vAlign w:val="center"/>
          </w:tcPr>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1.作业人员未持证上岗；</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2.检维修作业未遵守安全操作规程；</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3.检修工具及劳动防护用品有缺陷；</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4.防雷接地等防护设施有缺陷；</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5.UPS老化、日常维护管理不当、充放电试验不当等。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233" w:type="dxa"/>
            <w:tcBorders>
              <w:bottom w:val="single" w:color="auto" w:sz="4" w:space="0"/>
            </w:tcBorders>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风险等级</w:t>
            </w:r>
          </w:p>
        </w:tc>
        <w:tc>
          <w:tcPr>
            <w:tcW w:w="4081" w:type="dxa"/>
            <w:shd w:val="clear" w:color="auto" w:fill="FAE600"/>
            <w:vAlign w:val="center"/>
          </w:tcPr>
          <w:p>
            <w:pPr>
              <w:spacing w:after="0" w:line="320" w:lineRule="exact"/>
              <w:ind w:left="11" w:hanging="11"/>
              <w:jc w:val="center"/>
              <w:rPr>
                <w:rFonts w:ascii="宋体" w:hAnsi="宋体" w:eastAsia="宋体" w:cs="Times New Roman"/>
                <w:b/>
                <w:color w:val="auto"/>
                <w:sz w:val="21"/>
                <w:szCs w:val="24"/>
              </w:rPr>
            </w:pPr>
            <w:r>
              <w:rPr>
                <w:rFonts w:ascii="宋体" w:hAnsi="宋体" w:eastAsia="宋体" w:cs="Times New Roman"/>
                <w:b/>
                <w:color w:val="auto"/>
                <w:sz w:val="21"/>
                <w:szCs w:val="24"/>
              </w:rPr>
              <w:t>一般风险</w:t>
            </w:r>
          </w:p>
        </w:tc>
        <w:tc>
          <w:tcPr>
            <w:tcW w:w="1336" w:type="dxa"/>
            <w:vMerge w:val="continue"/>
            <w:shd w:val="clear" w:color="auto" w:fill="auto"/>
            <w:vAlign w:val="center"/>
          </w:tcPr>
          <w:p>
            <w:pPr>
              <w:spacing w:after="0" w:line="320" w:lineRule="exact"/>
              <w:ind w:left="11" w:hanging="11"/>
              <w:jc w:val="center"/>
              <w:rPr>
                <w:rFonts w:ascii="宋体" w:hAnsi="宋体" w:eastAsia="宋体" w:cs="Times New Roman"/>
                <w:b/>
                <w:color w:val="auto"/>
                <w:sz w:val="21"/>
                <w:szCs w:val="24"/>
              </w:rPr>
            </w:pPr>
          </w:p>
        </w:tc>
        <w:tc>
          <w:tcPr>
            <w:tcW w:w="6298" w:type="dxa"/>
            <w:vMerge w:val="continue"/>
            <w:shd w:val="clear" w:color="auto" w:fill="auto"/>
            <w:vAlign w:val="center"/>
          </w:tcPr>
          <w:p>
            <w:pPr>
              <w:spacing w:after="0" w:line="320" w:lineRule="exact"/>
              <w:ind w:left="11" w:hanging="11"/>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233" w:type="dxa"/>
            <w:tcBorders>
              <w:bottom w:val="single" w:color="auto" w:sz="4" w:space="0"/>
            </w:tcBorders>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事故类型</w:t>
            </w:r>
          </w:p>
        </w:tc>
        <w:tc>
          <w:tcPr>
            <w:tcW w:w="4081" w:type="dxa"/>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触电 火灾</w:t>
            </w:r>
          </w:p>
        </w:tc>
        <w:tc>
          <w:tcPr>
            <w:tcW w:w="1336" w:type="dxa"/>
            <w:vMerge w:val="continue"/>
            <w:shd w:val="clear" w:color="auto" w:fill="auto"/>
            <w:vAlign w:val="center"/>
          </w:tcPr>
          <w:p>
            <w:pPr>
              <w:spacing w:after="0" w:line="320" w:lineRule="exact"/>
              <w:ind w:left="11" w:hanging="11"/>
              <w:jc w:val="center"/>
              <w:rPr>
                <w:rFonts w:ascii="宋体" w:hAnsi="宋体" w:eastAsia="宋体" w:cs="Times New Roman"/>
                <w:b/>
                <w:color w:val="auto"/>
                <w:sz w:val="21"/>
                <w:szCs w:val="24"/>
              </w:rPr>
            </w:pPr>
          </w:p>
        </w:tc>
        <w:tc>
          <w:tcPr>
            <w:tcW w:w="6298" w:type="dxa"/>
            <w:vMerge w:val="continue"/>
            <w:shd w:val="clear" w:color="auto" w:fill="auto"/>
            <w:vAlign w:val="center"/>
          </w:tcPr>
          <w:p>
            <w:pPr>
              <w:spacing w:after="0" w:line="320" w:lineRule="exact"/>
              <w:ind w:left="11" w:hanging="11"/>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6314" w:type="dxa"/>
            <w:gridSpan w:val="2"/>
            <w:tcBorders>
              <w:bottom w:val="single" w:color="auto" w:sz="6" w:space="0"/>
            </w:tcBorders>
            <w:shd w:val="clear" w:color="auto" w:fill="auto"/>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安全标志</w:t>
            </w:r>
          </w:p>
          <w:p>
            <w:pPr>
              <w:spacing w:line="360" w:lineRule="auto"/>
              <w:jc w:val="center"/>
              <w:rPr>
                <w:rFonts w:ascii="宋体" w:hAnsi="宋体"/>
                <w:b/>
                <w:color w:val="auto"/>
              </w:rPr>
            </w:pPr>
            <w:r>
              <w:rPr>
                <w:color w:val="auto"/>
              </w:rPr>
              <w:drawing>
                <wp:inline distT="0" distB="0" distL="0" distR="0">
                  <wp:extent cx="859155" cy="10890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61888" cy="1092533"/>
                          </a:xfrm>
                          <a:prstGeom prst="rect">
                            <a:avLst/>
                          </a:prstGeom>
                          <a:noFill/>
                          <a:ln>
                            <a:noFill/>
                          </a:ln>
                        </pic:spPr>
                      </pic:pic>
                    </a:graphicData>
                  </a:graphic>
                </wp:inline>
              </w:drawing>
            </w:r>
            <w:r>
              <w:rPr>
                <w:color w:val="auto"/>
              </w:rPr>
              <w:drawing>
                <wp:inline distT="0" distB="0" distL="0" distR="0">
                  <wp:extent cx="869315" cy="1083945"/>
                  <wp:effectExtent l="0" t="0" r="698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73971" cy="1089471"/>
                          </a:xfrm>
                          <a:prstGeom prst="rect">
                            <a:avLst/>
                          </a:prstGeom>
                          <a:noFill/>
                          <a:ln>
                            <a:noFill/>
                          </a:ln>
                        </pic:spPr>
                      </pic:pic>
                    </a:graphicData>
                  </a:graphic>
                </wp:inline>
              </w:drawing>
            </w:r>
            <w:r>
              <w:rPr>
                <w:color w:val="auto"/>
              </w:rPr>
              <w:drawing>
                <wp:inline distT="0" distB="0" distL="0" distR="0">
                  <wp:extent cx="875665" cy="109156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80798" cy="1097982"/>
                          </a:xfrm>
                          <a:prstGeom prst="rect">
                            <a:avLst/>
                          </a:prstGeom>
                          <a:noFill/>
                          <a:ln>
                            <a:noFill/>
                          </a:ln>
                        </pic:spPr>
                      </pic:pic>
                    </a:graphicData>
                  </a:graphic>
                </wp:inline>
              </w:drawing>
            </w:r>
            <w:r>
              <w:rPr>
                <w:color w:val="auto"/>
              </w:rPr>
              <w:drawing>
                <wp:inline distT="0" distB="0" distL="0" distR="0">
                  <wp:extent cx="901065" cy="1108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13893" cy="1123841"/>
                          </a:xfrm>
                          <a:prstGeom prst="rect">
                            <a:avLst/>
                          </a:prstGeom>
                          <a:noFill/>
                          <a:ln>
                            <a:noFill/>
                          </a:ln>
                        </pic:spPr>
                      </pic:pic>
                    </a:graphicData>
                  </a:graphic>
                </wp:inline>
              </w:drawing>
            </w:r>
          </w:p>
        </w:tc>
        <w:tc>
          <w:tcPr>
            <w:tcW w:w="1336" w:type="dxa"/>
            <w:tcBorders>
              <w:bottom w:val="single" w:color="auto" w:sz="6" w:space="0"/>
            </w:tcBorders>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风险管控措施</w:t>
            </w:r>
          </w:p>
        </w:tc>
        <w:tc>
          <w:tcPr>
            <w:tcW w:w="6298" w:type="dxa"/>
            <w:tcBorders>
              <w:bottom w:val="single" w:color="auto" w:sz="4" w:space="0"/>
            </w:tcBorders>
            <w:shd w:val="clear" w:color="auto" w:fill="auto"/>
            <w:vAlign w:val="center"/>
          </w:tcPr>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1.作业人员必须持证上岗；</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2.作业人员须接受岗前安全教育，熟知岗位危险源及防范措施；</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3.检修工具及劳动防护用品应合格且在检验有效期内；</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4.定期检查配电设备及安全防护情况，发现异常时应及时修复；</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5.对UPS加强日常维护管理，规范进行充放电试验。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33" w:type="dxa"/>
            <w:tcBorders>
              <w:top w:val="single" w:color="auto" w:sz="6" w:space="0"/>
            </w:tcBorders>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责任部门</w:t>
            </w:r>
          </w:p>
        </w:tc>
        <w:tc>
          <w:tcPr>
            <w:tcW w:w="4081" w:type="dxa"/>
            <w:tcBorders>
              <w:top w:val="single" w:color="auto" w:sz="6" w:space="0"/>
            </w:tcBorders>
            <w:shd w:val="clear" w:color="auto" w:fill="auto"/>
            <w:vAlign w:val="center"/>
          </w:tcPr>
          <w:p>
            <w:pPr>
              <w:spacing w:after="0" w:line="320" w:lineRule="exact"/>
              <w:ind w:left="11" w:hanging="11"/>
              <w:rPr>
                <w:rFonts w:ascii="宋体" w:hAnsi="宋体" w:eastAsia="宋体" w:cs="Times New Roman"/>
                <w:b/>
                <w:color w:val="auto"/>
                <w:sz w:val="21"/>
                <w:szCs w:val="24"/>
              </w:rPr>
            </w:pPr>
          </w:p>
        </w:tc>
        <w:tc>
          <w:tcPr>
            <w:tcW w:w="1336" w:type="dxa"/>
            <w:vMerge w:val="restart"/>
            <w:tcBorders>
              <w:top w:val="single" w:color="auto" w:sz="6" w:space="0"/>
            </w:tcBorders>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应急处置措施</w:t>
            </w:r>
          </w:p>
        </w:tc>
        <w:tc>
          <w:tcPr>
            <w:tcW w:w="6298" w:type="dxa"/>
            <w:vMerge w:val="restart"/>
            <w:tcBorders>
              <w:top w:val="single" w:color="auto" w:sz="6" w:space="0"/>
            </w:tcBorders>
            <w:shd w:val="clear" w:color="auto" w:fill="auto"/>
            <w:vAlign w:val="center"/>
          </w:tcPr>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1.触电时应</w:t>
            </w:r>
            <w:r>
              <w:rPr>
                <w:rFonts w:ascii="宋体" w:hAnsi="宋体" w:eastAsia="宋体" w:cs="Times New Roman"/>
                <w:b/>
                <w:color w:val="auto"/>
                <w:sz w:val="21"/>
                <w:szCs w:val="24"/>
              </w:rPr>
              <w:t>迅速切断电源，或者用绝缘物体挑开电线或带电物体，使伤者尽快脱离电源</w:t>
            </w:r>
            <w:r>
              <w:rPr>
                <w:rFonts w:hint="eastAsia" w:ascii="宋体" w:hAnsi="宋体" w:eastAsia="宋体" w:cs="Times New Roman"/>
                <w:b/>
                <w:color w:val="auto"/>
                <w:sz w:val="21"/>
                <w:szCs w:val="24"/>
              </w:rPr>
              <w:t>，</w:t>
            </w:r>
            <w:r>
              <w:rPr>
                <w:rFonts w:ascii="宋体" w:hAnsi="宋体" w:eastAsia="宋体" w:cs="Times New Roman"/>
                <w:b/>
                <w:color w:val="auto"/>
                <w:sz w:val="21"/>
                <w:szCs w:val="24"/>
              </w:rPr>
              <w:t>将伤者移至安全地带；</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2.</w:t>
            </w:r>
            <w:r>
              <w:rPr>
                <w:rFonts w:ascii="宋体" w:hAnsi="宋体" w:eastAsia="宋体" w:cs="Times New Roman"/>
                <w:b/>
                <w:color w:val="auto"/>
                <w:sz w:val="21"/>
                <w:szCs w:val="24"/>
              </w:rPr>
              <w:t>若触电者失去知觉，应使其平卧，以利呼吸；若触电者呼吸、脉搏停止，必须实施人工呼吸或胸外心脏挤压法抢救；</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3.火灾时，及时疏散至安全地带，按预案进行初期火灾控制。</w:t>
            </w:r>
          </w:p>
          <w:p>
            <w:pPr>
              <w:spacing w:after="0" w:line="320" w:lineRule="exact"/>
              <w:ind w:left="11" w:hanging="11"/>
              <w:rPr>
                <w:rFonts w:ascii="宋体" w:hAnsi="宋体" w:eastAsia="宋体" w:cs="Times New Roman"/>
                <w:b/>
                <w:color w:val="auto"/>
                <w:sz w:val="21"/>
                <w:szCs w:val="24"/>
              </w:rPr>
            </w:pPr>
            <w:r>
              <w:rPr>
                <w:rFonts w:hint="eastAsia" w:ascii="宋体" w:hAnsi="宋体" w:eastAsia="宋体" w:cs="Times New Roman"/>
                <w:b/>
                <w:color w:val="auto"/>
                <w:sz w:val="21"/>
                <w:szCs w:val="24"/>
              </w:rPr>
              <w:t>4.按预案及信息报告流程</w:t>
            </w:r>
            <w:r>
              <w:rPr>
                <w:rFonts w:ascii="宋体" w:hAnsi="宋体" w:eastAsia="宋体" w:cs="Times New Roman"/>
                <w:b/>
                <w:color w:val="auto"/>
                <w:sz w:val="21"/>
                <w:szCs w:val="24"/>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2233" w:type="dxa"/>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责任人</w:t>
            </w:r>
          </w:p>
        </w:tc>
        <w:tc>
          <w:tcPr>
            <w:tcW w:w="4081" w:type="dxa"/>
            <w:shd w:val="clear" w:color="auto" w:fill="auto"/>
            <w:vAlign w:val="center"/>
          </w:tcPr>
          <w:p>
            <w:pPr>
              <w:spacing w:after="0" w:line="320" w:lineRule="exact"/>
              <w:ind w:left="11" w:hanging="11"/>
              <w:rPr>
                <w:rFonts w:ascii="宋体" w:hAnsi="宋体" w:eastAsia="宋体" w:cs="Times New Roman"/>
                <w:b/>
                <w:color w:val="auto"/>
                <w:sz w:val="21"/>
                <w:szCs w:val="24"/>
              </w:rPr>
            </w:pPr>
          </w:p>
        </w:tc>
        <w:tc>
          <w:tcPr>
            <w:tcW w:w="1336" w:type="dxa"/>
            <w:vMerge w:val="continue"/>
            <w:shd w:val="clear" w:color="auto" w:fill="auto"/>
            <w:vAlign w:val="center"/>
          </w:tcPr>
          <w:p>
            <w:pPr>
              <w:spacing w:line="360" w:lineRule="auto"/>
              <w:jc w:val="center"/>
              <w:rPr>
                <w:rFonts w:ascii="宋体" w:hAnsi="宋体"/>
                <w:b/>
                <w:color w:val="auto"/>
              </w:rPr>
            </w:pPr>
          </w:p>
        </w:tc>
        <w:tc>
          <w:tcPr>
            <w:tcW w:w="6298" w:type="dxa"/>
            <w:vMerge w:val="continue"/>
            <w:shd w:val="clear" w:color="auto" w:fill="auto"/>
            <w:vAlign w:val="center"/>
          </w:tcPr>
          <w:p>
            <w:pPr>
              <w:spacing w:line="360" w:lineRule="auto"/>
              <w:rPr>
                <w:rFonts w:ascii="黑体" w:eastAsia="黑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233" w:type="dxa"/>
            <w:shd w:val="clear" w:color="auto" w:fill="auto"/>
            <w:vAlign w:val="center"/>
          </w:tcPr>
          <w:p>
            <w:pPr>
              <w:spacing w:after="0" w:line="320" w:lineRule="exact"/>
              <w:ind w:left="11" w:hanging="11"/>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责任电话</w:t>
            </w:r>
          </w:p>
        </w:tc>
        <w:tc>
          <w:tcPr>
            <w:tcW w:w="4081" w:type="dxa"/>
            <w:shd w:val="clear" w:color="auto" w:fill="auto"/>
            <w:vAlign w:val="center"/>
          </w:tcPr>
          <w:p>
            <w:pPr>
              <w:spacing w:after="0" w:line="320" w:lineRule="exact"/>
              <w:ind w:left="11" w:hanging="11"/>
              <w:rPr>
                <w:rFonts w:ascii="宋体" w:hAnsi="宋体" w:eastAsia="宋体" w:cs="Times New Roman"/>
                <w:b/>
                <w:color w:val="auto"/>
                <w:sz w:val="21"/>
                <w:szCs w:val="24"/>
              </w:rPr>
            </w:pPr>
          </w:p>
        </w:tc>
        <w:tc>
          <w:tcPr>
            <w:tcW w:w="1336" w:type="dxa"/>
            <w:vMerge w:val="continue"/>
            <w:shd w:val="clear" w:color="auto" w:fill="auto"/>
            <w:vAlign w:val="center"/>
          </w:tcPr>
          <w:p>
            <w:pPr>
              <w:spacing w:line="360" w:lineRule="auto"/>
              <w:jc w:val="center"/>
              <w:rPr>
                <w:rFonts w:ascii="宋体" w:hAnsi="宋体"/>
                <w:b/>
                <w:color w:val="auto"/>
              </w:rPr>
            </w:pPr>
          </w:p>
        </w:tc>
        <w:tc>
          <w:tcPr>
            <w:tcW w:w="6298" w:type="dxa"/>
            <w:vMerge w:val="continue"/>
            <w:shd w:val="clear" w:color="auto" w:fill="auto"/>
            <w:vAlign w:val="center"/>
          </w:tcPr>
          <w:p>
            <w:pPr>
              <w:spacing w:line="360" w:lineRule="auto"/>
              <w:rPr>
                <w:rFonts w:ascii="黑体" w:eastAsia="黑体"/>
                <w:color w:val="auto"/>
              </w:rPr>
            </w:pPr>
          </w:p>
        </w:tc>
      </w:tr>
    </w:tbl>
    <w:p>
      <w:pPr>
        <w:spacing w:after="0" w:line="240" w:lineRule="auto"/>
        <w:ind w:left="0" w:firstLine="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br w:type="page"/>
      </w:r>
    </w:p>
    <w:tbl>
      <w:tblPr>
        <w:tblStyle w:val="30"/>
        <w:tblpPr w:leftFromText="180" w:rightFromText="180" w:vertAnchor="text" w:horzAnchor="margin" w:tblpXSpec="center" w:tblpY="2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3800"/>
        <w:gridCol w:w="1177"/>
        <w:gridCol w:w="6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077" w:type="dxa"/>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风险点名称</w:t>
            </w:r>
          </w:p>
        </w:tc>
        <w:tc>
          <w:tcPr>
            <w:tcW w:w="3800" w:type="dxa"/>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食堂</w:t>
            </w:r>
          </w:p>
        </w:tc>
        <w:tc>
          <w:tcPr>
            <w:tcW w:w="1177" w:type="dxa"/>
            <w:vMerge w:val="restart"/>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致险因素描述</w:t>
            </w:r>
          </w:p>
        </w:tc>
        <w:tc>
          <w:tcPr>
            <w:tcW w:w="6030" w:type="dxa"/>
            <w:vMerge w:val="restart"/>
            <w:shd w:val="clear" w:color="auto" w:fill="auto"/>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1.食材、卫生、生熟条件等部分；</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2.用气、用火管理不善，应急程序不当，消防设备配置不完善；</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3.食堂违规使用大功率电器、私拉乱接、电气不防水等；</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4.高温蒸煮设备防护及劳动防护用品有缺陷。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077" w:type="dxa"/>
            <w:tcBorders>
              <w:bottom w:val="single" w:color="auto" w:sz="4" w:space="0"/>
            </w:tcBorders>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风险等级</w:t>
            </w:r>
          </w:p>
        </w:tc>
        <w:tc>
          <w:tcPr>
            <w:tcW w:w="3800" w:type="dxa"/>
            <w:shd w:val="clear" w:color="auto" w:fill="FAE600"/>
            <w:vAlign w:val="center"/>
          </w:tcPr>
          <w:p>
            <w:pPr>
              <w:spacing w:after="0" w:line="320" w:lineRule="exact"/>
              <w:ind w:left="0" w:firstLine="0"/>
              <w:jc w:val="center"/>
              <w:rPr>
                <w:rFonts w:ascii="宋体" w:hAnsi="宋体" w:eastAsia="宋体" w:cs="Times New Roman"/>
                <w:b/>
                <w:color w:val="auto"/>
                <w:sz w:val="21"/>
                <w:szCs w:val="24"/>
              </w:rPr>
            </w:pPr>
            <w:r>
              <w:rPr>
                <w:rFonts w:ascii="宋体" w:hAnsi="宋体" w:eastAsia="宋体" w:cs="Times New Roman"/>
                <w:b/>
                <w:color w:val="auto"/>
                <w:sz w:val="21"/>
                <w:szCs w:val="24"/>
              </w:rPr>
              <w:t>一般风险</w:t>
            </w:r>
          </w:p>
        </w:tc>
        <w:tc>
          <w:tcPr>
            <w:tcW w:w="1177" w:type="dxa"/>
            <w:vMerge w:val="continue"/>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6030" w:type="dxa"/>
            <w:vMerge w:val="continue"/>
            <w:shd w:val="clear" w:color="auto" w:fill="auto"/>
            <w:vAlign w:val="center"/>
          </w:tcPr>
          <w:p>
            <w:pPr>
              <w:spacing w:after="0" w:line="320" w:lineRule="exact"/>
              <w:ind w:left="0" w:firstLine="0"/>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077" w:type="dxa"/>
            <w:tcBorders>
              <w:bottom w:val="single" w:color="auto" w:sz="4" w:space="0"/>
            </w:tcBorders>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事故类型</w:t>
            </w:r>
          </w:p>
        </w:tc>
        <w:tc>
          <w:tcPr>
            <w:tcW w:w="3800" w:type="dxa"/>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食物中毒 火灾 触电 灼烫</w:t>
            </w:r>
          </w:p>
        </w:tc>
        <w:tc>
          <w:tcPr>
            <w:tcW w:w="1177" w:type="dxa"/>
            <w:vMerge w:val="continue"/>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6030" w:type="dxa"/>
            <w:vMerge w:val="continue"/>
            <w:shd w:val="clear" w:color="auto" w:fill="auto"/>
            <w:vAlign w:val="center"/>
          </w:tcPr>
          <w:p>
            <w:pPr>
              <w:spacing w:after="0" w:line="320" w:lineRule="exact"/>
              <w:ind w:left="0" w:firstLine="0"/>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77" w:type="dxa"/>
            <w:gridSpan w:val="2"/>
            <w:tcBorders>
              <w:bottom w:val="single" w:color="auto" w:sz="6" w:space="0"/>
            </w:tcBorders>
            <w:shd w:val="clear" w:color="auto" w:fill="auto"/>
          </w:tcPr>
          <w:p>
            <w:pPr>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spacing w:after="0" w:line="360" w:lineRule="auto"/>
              <w:ind w:left="0" w:firstLine="0"/>
              <w:rPr>
                <w:rFonts w:ascii="宋体" w:hAnsi="宋体" w:eastAsia="宋体" w:cs="Times New Roman"/>
                <w:b/>
                <w:color w:val="auto"/>
                <w:szCs w:val="24"/>
              </w:rPr>
            </w:pPr>
            <w:r>
              <w:rPr>
                <w:rFonts w:ascii="宋体" w:hAnsi="宋体" w:eastAsia="宋体" w:cs="Times New Roman"/>
                <w:color w:val="auto"/>
                <w:szCs w:val="24"/>
              </w:rPr>
              <w:drawing>
                <wp:inline distT="0" distB="0" distL="0" distR="0">
                  <wp:extent cx="871855" cy="1084580"/>
                  <wp:effectExtent l="0" t="0" r="444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71855" cy="1084580"/>
                          </a:xfrm>
                          <a:prstGeom prst="rect">
                            <a:avLst/>
                          </a:prstGeom>
                          <a:noFill/>
                          <a:ln>
                            <a:noFill/>
                          </a:ln>
                        </pic:spPr>
                      </pic:pic>
                    </a:graphicData>
                  </a:graphic>
                </wp:inline>
              </w:drawing>
            </w:r>
            <w:r>
              <w:rPr>
                <w:rFonts w:ascii="宋体" w:hAnsi="宋体" w:eastAsia="宋体" w:cs="Times New Roman"/>
                <w:color w:val="auto"/>
                <w:szCs w:val="24"/>
              </w:rPr>
              <w:drawing>
                <wp:inline distT="0" distB="0" distL="0" distR="0">
                  <wp:extent cx="882650" cy="10845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82650" cy="1084580"/>
                          </a:xfrm>
                          <a:prstGeom prst="rect">
                            <a:avLst/>
                          </a:prstGeom>
                          <a:noFill/>
                          <a:ln>
                            <a:noFill/>
                          </a:ln>
                        </pic:spPr>
                      </pic:pic>
                    </a:graphicData>
                  </a:graphic>
                </wp:inline>
              </w:drawing>
            </w:r>
            <w:r>
              <w:rPr>
                <w:rFonts w:ascii="宋体" w:hAnsi="宋体" w:eastAsia="宋体" w:cs="Times New Roman"/>
                <w:color w:val="auto"/>
                <w:szCs w:val="24"/>
              </w:rPr>
              <w:drawing>
                <wp:inline distT="0" distB="0" distL="0" distR="0">
                  <wp:extent cx="882650" cy="10845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82650" cy="1084580"/>
                          </a:xfrm>
                          <a:prstGeom prst="rect">
                            <a:avLst/>
                          </a:prstGeom>
                          <a:noFill/>
                          <a:ln>
                            <a:noFill/>
                          </a:ln>
                        </pic:spPr>
                      </pic:pic>
                    </a:graphicData>
                  </a:graphic>
                </wp:inline>
              </w:drawing>
            </w:r>
            <w:r>
              <w:rPr>
                <w:rFonts w:ascii="宋体" w:hAnsi="宋体" w:eastAsia="宋体" w:cs="Times New Roman"/>
                <w:color w:val="auto"/>
                <w:szCs w:val="24"/>
              </w:rPr>
              <w:drawing>
                <wp:inline distT="0" distB="0" distL="0" distR="0">
                  <wp:extent cx="871855" cy="1084580"/>
                  <wp:effectExtent l="0" t="0" r="444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71855" cy="1084580"/>
                          </a:xfrm>
                          <a:prstGeom prst="rect">
                            <a:avLst/>
                          </a:prstGeom>
                          <a:noFill/>
                          <a:ln>
                            <a:noFill/>
                          </a:ln>
                        </pic:spPr>
                      </pic:pic>
                    </a:graphicData>
                  </a:graphic>
                </wp:inline>
              </w:drawing>
            </w:r>
          </w:p>
        </w:tc>
        <w:tc>
          <w:tcPr>
            <w:tcW w:w="1177" w:type="dxa"/>
            <w:tcBorders>
              <w:bottom w:val="single" w:color="auto" w:sz="6" w:space="0"/>
            </w:tcBorders>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风险管控措施</w:t>
            </w:r>
          </w:p>
        </w:tc>
        <w:tc>
          <w:tcPr>
            <w:tcW w:w="6030" w:type="dxa"/>
            <w:tcBorders>
              <w:bottom w:val="single" w:color="auto" w:sz="4" w:space="0"/>
            </w:tcBorders>
            <w:shd w:val="clear" w:color="auto" w:fill="auto"/>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1.食材应选择正规渠道、保持食堂卫生、食堂作业人员必须持证上岗，遵守岗位操作规程；</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2.作业人员须接受岗前消防、用电等安全教育，熟知岗位危险源及防范措施；</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 加强食堂日常食品卫生、消防、用电等检查管理；</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4.高温蒸煮设备防护及劳动防护用品应合格有效。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077" w:type="dxa"/>
            <w:tcBorders>
              <w:top w:val="single" w:color="auto" w:sz="6" w:space="0"/>
            </w:tcBorders>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责任部门</w:t>
            </w:r>
          </w:p>
        </w:tc>
        <w:tc>
          <w:tcPr>
            <w:tcW w:w="3800" w:type="dxa"/>
            <w:tcBorders>
              <w:top w:val="single" w:color="auto" w:sz="6" w:space="0"/>
            </w:tcBorders>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1177" w:type="dxa"/>
            <w:vMerge w:val="restart"/>
            <w:tcBorders>
              <w:top w:val="single" w:color="auto" w:sz="6" w:space="0"/>
            </w:tcBorders>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应急处置措施</w:t>
            </w:r>
          </w:p>
        </w:tc>
        <w:tc>
          <w:tcPr>
            <w:tcW w:w="6030" w:type="dxa"/>
            <w:vMerge w:val="restart"/>
            <w:tcBorders>
              <w:top w:val="single" w:color="auto" w:sz="6" w:space="0"/>
            </w:tcBorders>
            <w:shd w:val="clear" w:color="auto" w:fill="auto"/>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1.食物中毒时应立即停止进食，及时采取催吐等施救方式；</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2.触电时应</w:t>
            </w:r>
            <w:r>
              <w:rPr>
                <w:rFonts w:ascii="宋体" w:hAnsi="宋体" w:eastAsia="宋体" w:cs="Times New Roman"/>
                <w:b/>
                <w:color w:val="auto"/>
                <w:sz w:val="21"/>
                <w:szCs w:val="24"/>
              </w:rPr>
              <w:t>迅速切断电源，用绝缘物体使伤者尽快脱离电源</w:t>
            </w:r>
            <w:r>
              <w:rPr>
                <w:rFonts w:hint="eastAsia" w:ascii="宋体" w:hAnsi="宋体" w:eastAsia="宋体" w:cs="Times New Roman"/>
                <w:b/>
                <w:color w:val="auto"/>
                <w:sz w:val="21"/>
                <w:szCs w:val="24"/>
              </w:rPr>
              <w:t>，</w:t>
            </w:r>
            <w:r>
              <w:rPr>
                <w:rFonts w:ascii="宋体" w:hAnsi="宋体" w:eastAsia="宋体" w:cs="Times New Roman"/>
                <w:b/>
                <w:color w:val="auto"/>
                <w:sz w:val="21"/>
                <w:szCs w:val="24"/>
              </w:rPr>
              <w:t>使其平卧，</w:t>
            </w:r>
            <w:r>
              <w:rPr>
                <w:rFonts w:hint="eastAsia" w:ascii="宋体" w:hAnsi="宋体" w:eastAsia="宋体" w:cs="Times New Roman"/>
                <w:b/>
                <w:color w:val="auto"/>
                <w:sz w:val="21"/>
                <w:szCs w:val="24"/>
              </w:rPr>
              <w:t>必要时</w:t>
            </w:r>
            <w:r>
              <w:rPr>
                <w:rFonts w:ascii="宋体" w:hAnsi="宋体" w:eastAsia="宋体" w:cs="Times New Roman"/>
                <w:b/>
                <w:color w:val="auto"/>
                <w:sz w:val="21"/>
                <w:szCs w:val="24"/>
              </w:rPr>
              <w:t>实施人工呼吸或胸外心脏挤压法抢救；</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3.火灾时按预案进行初期火灾控制，并及时将就餐人员疏散；</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 按预案及信息报告流程</w:t>
            </w:r>
            <w:r>
              <w:rPr>
                <w:rFonts w:ascii="宋体" w:hAnsi="宋体" w:eastAsia="宋体" w:cs="Times New Roman"/>
                <w:b/>
                <w:color w:val="auto"/>
                <w:sz w:val="21"/>
                <w:szCs w:val="24"/>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077" w:type="dxa"/>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责任人</w:t>
            </w:r>
          </w:p>
        </w:tc>
        <w:tc>
          <w:tcPr>
            <w:tcW w:w="3800" w:type="dxa"/>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1177" w:type="dxa"/>
            <w:vMerge w:val="continue"/>
            <w:shd w:val="clear" w:color="auto" w:fill="auto"/>
            <w:vAlign w:val="center"/>
          </w:tcPr>
          <w:p>
            <w:pPr>
              <w:spacing w:after="0" w:line="320" w:lineRule="exact"/>
              <w:ind w:left="0" w:firstLine="0"/>
              <w:jc w:val="center"/>
              <w:rPr>
                <w:rFonts w:ascii="宋体" w:hAnsi="宋体" w:eastAsia="宋体" w:cs="Times New Roman"/>
                <w:b/>
                <w:color w:val="auto"/>
                <w:szCs w:val="24"/>
              </w:rPr>
            </w:pPr>
          </w:p>
        </w:tc>
        <w:tc>
          <w:tcPr>
            <w:tcW w:w="6030" w:type="dxa"/>
            <w:vMerge w:val="continue"/>
            <w:shd w:val="clear" w:color="auto" w:fill="auto"/>
            <w:vAlign w:val="center"/>
          </w:tcPr>
          <w:p>
            <w:pPr>
              <w:spacing w:after="0" w:line="320" w:lineRule="exact"/>
              <w:ind w:left="0" w:firstLine="0"/>
              <w:rPr>
                <w:rFonts w:ascii="宋体" w:hAnsi="宋体" w:eastAsia="宋体"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077" w:type="dxa"/>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责任电话</w:t>
            </w:r>
          </w:p>
        </w:tc>
        <w:tc>
          <w:tcPr>
            <w:tcW w:w="3800" w:type="dxa"/>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1177" w:type="dxa"/>
            <w:vMerge w:val="continue"/>
            <w:shd w:val="clear" w:color="auto" w:fill="auto"/>
            <w:vAlign w:val="center"/>
          </w:tcPr>
          <w:p>
            <w:pPr>
              <w:spacing w:after="0" w:line="320" w:lineRule="exact"/>
              <w:ind w:left="0" w:firstLine="0"/>
              <w:jc w:val="center"/>
              <w:rPr>
                <w:rFonts w:ascii="宋体" w:hAnsi="宋体" w:eastAsia="宋体" w:cs="Times New Roman"/>
                <w:b/>
                <w:color w:val="auto"/>
                <w:szCs w:val="24"/>
              </w:rPr>
            </w:pPr>
          </w:p>
        </w:tc>
        <w:tc>
          <w:tcPr>
            <w:tcW w:w="6030" w:type="dxa"/>
            <w:vMerge w:val="continue"/>
            <w:shd w:val="clear" w:color="auto" w:fill="auto"/>
            <w:vAlign w:val="center"/>
          </w:tcPr>
          <w:p>
            <w:pPr>
              <w:spacing w:after="0" w:line="320" w:lineRule="exact"/>
              <w:ind w:left="0" w:firstLine="0"/>
              <w:rPr>
                <w:rFonts w:ascii="宋体" w:hAnsi="宋体" w:eastAsia="宋体" w:cs="Times New Roman"/>
                <w:color w:val="auto"/>
                <w:szCs w:val="24"/>
              </w:rPr>
            </w:pPr>
          </w:p>
        </w:tc>
      </w:tr>
    </w:tbl>
    <w:p>
      <w:pPr>
        <w:spacing w:after="0" w:line="240" w:lineRule="auto"/>
        <w:ind w:left="0" w:firstLine="0"/>
        <w:rPr>
          <w:rFonts w:cs="Calibri" w:asciiTheme="minorEastAsia" w:hAnsiTheme="minorEastAsia" w:eastAsiaTheme="minorEastAsia"/>
          <w:color w:val="auto"/>
          <w:szCs w:val="24"/>
        </w:rPr>
      </w:pPr>
    </w:p>
    <w:tbl>
      <w:tblPr>
        <w:tblStyle w:val="30"/>
        <w:tblpPr w:leftFromText="180" w:rightFromText="180" w:vertAnchor="text" w:horzAnchor="margin" w:tblpXSpec="center" w:tblpY="1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271"/>
        <w:gridCol w:w="3933"/>
        <w:gridCol w:w="1133"/>
        <w:gridCol w:w="5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9" w:hRule="atLeast"/>
        </w:trPr>
        <w:tc>
          <w:tcPr>
            <w:tcW w:w="868"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风险点名称</w:t>
            </w:r>
          </w:p>
        </w:tc>
        <w:tc>
          <w:tcPr>
            <w:tcW w:w="1503"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发电机房</w:t>
            </w:r>
          </w:p>
        </w:tc>
        <w:tc>
          <w:tcPr>
            <w:tcW w:w="433" w:type="pct"/>
            <w:vMerge w:val="restar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致险因素描述</w:t>
            </w:r>
          </w:p>
        </w:tc>
        <w:tc>
          <w:tcPr>
            <w:tcW w:w="2196" w:type="pct"/>
            <w:vMerge w:val="restart"/>
            <w:shd w:val="clear" w:color="auto" w:fill="FFFFFF" w:themeFill="background1"/>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1.油品泄漏，机房通风不良，发电机排烟设施；</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2.启机或检维修作业未遵守安全操作规程；</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3.检修工具及劳动防护用品有缺陷；</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4.室内动火、吸烟等火源控制不严，消防设施设置不当；</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5.发电机安全防护设施有缺陷。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9" w:hRule="atLeast"/>
        </w:trPr>
        <w:tc>
          <w:tcPr>
            <w:tcW w:w="868"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风险等级</w:t>
            </w:r>
          </w:p>
        </w:tc>
        <w:tc>
          <w:tcPr>
            <w:tcW w:w="1503" w:type="pct"/>
            <w:shd w:val="clear" w:color="auto" w:fill="FAE600"/>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一般风险</w:t>
            </w:r>
          </w:p>
        </w:tc>
        <w:tc>
          <w:tcPr>
            <w:tcW w:w="433" w:type="pct"/>
            <w:vMerge w:val="continue"/>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p>
        </w:tc>
        <w:tc>
          <w:tcPr>
            <w:tcW w:w="2196" w:type="pct"/>
            <w:vMerge w:val="continue"/>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trPr>
        <w:tc>
          <w:tcPr>
            <w:tcW w:w="868"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事故类型</w:t>
            </w:r>
          </w:p>
        </w:tc>
        <w:tc>
          <w:tcPr>
            <w:tcW w:w="1503"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触电 火灾 中毒</w:t>
            </w:r>
          </w:p>
        </w:tc>
        <w:tc>
          <w:tcPr>
            <w:tcW w:w="433" w:type="pct"/>
            <w:vMerge w:val="continue"/>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p>
        </w:tc>
        <w:tc>
          <w:tcPr>
            <w:tcW w:w="2196" w:type="pct"/>
            <w:vMerge w:val="continue"/>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17" w:hRule="atLeast"/>
        </w:trPr>
        <w:tc>
          <w:tcPr>
            <w:tcW w:w="2371" w:type="pct"/>
            <w:gridSpan w:val="2"/>
            <w:shd w:val="clear" w:color="auto" w:fill="FFFFFF" w:themeFill="background1"/>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安全标志</w:t>
            </w:r>
          </w:p>
          <w:p>
            <w:pPr>
              <w:spacing w:after="0" w:line="360" w:lineRule="auto"/>
              <w:ind w:left="0" w:firstLine="0"/>
              <w:rPr>
                <w:rFonts w:ascii="宋体" w:hAnsi="宋体" w:eastAsia="宋体" w:cs="Times New Roman"/>
                <w:b/>
                <w:color w:val="auto"/>
                <w:szCs w:val="24"/>
              </w:rPr>
            </w:pPr>
            <w:r>
              <w:rPr>
                <w:rFonts w:ascii="宋体" w:hAnsi="宋体" w:eastAsia="宋体" w:cs="Times New Roman"/>
                <w:b/>
                <w:color w:val="auto"/>
                <w:szCs w:val="24"/>
              </w:rPr>
              <w:drawing>
                <wp:inline distT="0" distB="0" distL="0" distR="0">
                  <wp:extent cx="922655" cy="11531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22655" cy="1153160"/>
                          </a:xfrm>
                          <a:prstGeom prst="rect">
                            <a:avLst/>
                          </a:prstGeom>
                          <a:noFill/>
                          <a:ln>
                            <a:noFill/>
                          </a:ln>
                        </pic:spPr>
                      </pic:pic>
                    </a:graphicData>
                  </a:graphic>
                </wp:inline>
              </w:drawing>
            </w:r>
            <w:r>
              <w:rPr>
                <w:rFonts w:ascii="宋体" w:hAnsi="宋体" w:eastAsia="宋体" w:cs="Times New Roman"/>
                <w:b/>
                <w:color w:val="auto"/>
                <w:szCs w:val="24"/>
              </w:rPr>
              <w:drawing>
                <wp:inline distT="0" distB="0" distL="0" distR="0">
                  <wp:extent cx="938530" cy="115316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38530" cy="1153160"/>
                          </a:xfrm>
                          <a:prstGeom prst="rect">
                            <a:avLst/>
                          </a:prstGeom>
                          <a:noFill/>
                          <a:ln>
                            <a:noFill/>
                          </a:ln>
                        </pic:spPr>
                      </pic:pic>
                    </a:graphicData>
                  </a:graphic>
                </wp:inline>
              </w:drawing>
            </w:r>
            <w:r>
              <w:rPr>
                <w:rFonts w:ascii="宋体" w:hAnsi="宋体" w:eastAsia="宋体" w:cs="Times New Roman"/>
                <w:b/>
                <w:color w:val="auto"/>
                <w:szCs w:val="24"/>
              </w:rPr>
              <w:drawing>
                <wp:inline distT="0" distB="0" distL="0" distR="0">
                  <wp:extent cx="898525" cy="11531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98525" cy="1153160"/>
                          </a:xfrm>
                          <a:prstGeom prst="rect">
                            <a:avLst/>
                          </a:prstGeom>
                          <a:noFill/>
                          <a:ln>
                            <a:noFill/>
                          </a:ln>
                        </pic:spPr>
                      </pic:pic>
                    </a:graphicData>
                  </a:graphic>
                </wp:inline>
              </w:drawing>
            </w:r>
            <w:r>
              <w:rPr>
                <w:rFonts w:ascii="宋体" w:hAnsi="宋体" w:eastAsia="宋体" w:cs="Times New Roman"/>
                <w:b/>
                <w:color w:val="auto"/>
                <w:szCs w:val="24"/>
              </w:rPr>
              <w:drawing>
                <wp:inline distT="0" distB="0" distL="0" distR="0">
                  <wp:extent cx="901065" cy="11366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27178" cy="1169274"/>
                          </a:xfrm>
                          <a:prstGeom prst="rect">
                            <a:avLst/>
                          </a:prstGeom>
                          <a:noFill/>
                          <a:ln>
                            <a:noFill/>
                          </a:ln>
                        </pic:spPr>
                      </pic:pic>
                    </a:graphicData>
                  </a:graphic>
                </wp:inline>
              </w:drawing>
            </w:r>
          </w:p>
        </w:tc>
        <w:tc>
          <w:tcPr>
            <w:tcW w:w="433"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风险管控措施</w:t>
            </w:r>
          </w:p>
        </w:tc>
        <w:tc>
          <w:tcPr>
            <w:tcW w:w="2196" w:type="pct"/>
            <w:shd w:val="clear" w:color="auto" w:fill="FFFFFF" w:themeFill="background1"/>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1.油箱防外溢设施良好，发电机设备状态良好，无跑冒滴漏；</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2.作业人员须接受岗前安全教育，熟知岗位危险源及防范措施；</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3.检修工具及劳动防护用品应合格且在检验有效期内；</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4.严格控制室内动火，设置完备良好的消防设施；</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5.设备定期及时检维修、定期试验，确保接地、通风状态良好。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86" w:hRule="atLeast"/>
        </w:trPr>
        <w:tc>
          <w:tcPr>
            <w:tcW w:w="868"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责任部门</w:t>
            </w:r>
          </w:p>
        </w:tc>
        <w:tc>
          <w:tcPr>
            <w:tcW w:w="1503"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p>
        </w:tc>
        <w:tc>
          <w:tcPr>
            <w:tcW w:w="433" w:type="pct"/>
            <w:vMerge w:val="restar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应急处置措施</w:t>
            </w:r>
          </w:p>
        </w:tc>
        <w:tc>
          <w:tcPr>
            <w:tcW w:w="2196" w:type="pct"/>
            <w:vMerge w:val="restart"/>
            <w:shd w:val="clear" w:color="auto" w:fill="FFFFFF" w:themeFill="background1"/>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1.触电时应迅速切断电源，或者用绝缘物体挑开电线或带电物体，使伤者尽快脱离电源；若触电者失去知觉，应使其平卧；若呼吸、脉搏停止，应实施人工呼吸或胸外心脏挤压法抢救；</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2．中毒事故发生时，应先通风再施救，不得盲目施救。</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3.火灾时，及时疏散至安全地带，按预案进行初期火灾控制。</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4.按预案及信息报告流程向上级报告，拨打急救电话。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68"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责任人</w:t>
            </w:r>
          </w:p>
        </w:tc>
        <w:tc>
          <w:tcPr>
            <w:tcW w:w="1503"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p>
        </w:tc>
        <w:tc>
          <w:tcPr>
            <w:tcW w:w="433" w:type="pct"/>
            <w:vMerge w:val="continue"/>
            <w:shd w:val="clear" w:color="auto" w:fill="FFFFFF" w:themeFill="background1"/>
            <w:vAlign w:val="center"/>
          </w:tcPr>
          <w:p>
            <w:pPr>
              <w:rPr>
                <w:rFonts w:ascii="宋体" w:hAnsi="宋体" w:eastAsia="宋体" w:cs="Times New Roman"/>
                <w:b/>
                <w:color w:val="auto"/>
                <w:szCs w:val="24"/>
              </w:rPr>
            </w:pPr>
          </w:p>
        </w:tc>
        <w:tc>
          <w:tcPr>
            <w:tcW w:w="2196" w:type="pct"/>
            <w:vMerge w:val="continue"/>
            <w:shd w:val="clear" w:color="auto" w:fill="FFFFFF" w:themeFill="background1"/>
            <w:vAlign w:val="center"/>
          </w:tcPr>
          <w:p>
            <w:pPr>
              <w:rPr>
                <w:rFonts w:ascii="宋体" w:hAnsi="宋体" w:eastAsia="宋体" w:cs="Times New Roman"/>
                <w:b/>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68"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责任电话</w:t>
            </w:r>
          </w:p>
        </w:tc>
        <w:tc>
          <w:tcPr>
            <w:tcW w:w="1503" w:type="pct"/>
            <w:shd w:val="clear" w:color="auto" w:fill="FFFFFF" w:themeFill="background1"/>
            <w:vAlign w:val="center"/>
          </w:tcPr>
          <w:p>
            <w:pPr>
              <w:spacing w:after="0" w:line="320" w:lineRule="exact"/>
              <w:ind w:left="0" w:firstLine="0"/>
              <w:jc w:val="center"/>
              <w:rPr>
                <w:rFonts w:ascii="宋体" w:hAnsi="宋体" w:eastAsia="宋体" w:cs="Times New Roman"/>
                <w:b/>
                <w:color w:val="auto"/>
                <w:sz w:val="21"/>
                <w:szCs w:val="24"/>
              </w:rPr>
            </w:pPr>
          </w:p>
        </w:tc>
        <w:tc>
          <w:tcPr>
            <w:tcW w:w="433" w:type="pct"/>
            <w:vMerge w:val="continue"/>
            <w:shd w:val="clear" w:color="auto" w:fill="FFFFFF" w:themeFill="background1"/>
            <w:vAlign w:val="center"/>
          </w:tcPr>
          <w:p>
            <w:pPr>
              <w:rPr>
                <w:rFonts w:ascii="宋体" w:hAnsi="宋体" w:eastAsia="宋体" w:cs="Times New Roman"/>
                <w:b/>
                <w:color w:val="auto"/>
                <w:szCs w:val="24"/>
              </w:rPr>
            </w:pPr>
          </w:p>
        </w:tc>
        <w:tc>
          <w:tcPr>
            <w:tcW w:w="2196" w:type="pct"/>
            <w:vMerge w:val="continue"/>
            <w:shd w:val="clear" w:color="auto" w:fill="FFFFFF" w:themeFill="background1"/>
            <w:vAlign w:val="center"/>
          </w:tcPr>
          <w:p>
            <w:pPr>
              <w:rPr>
                <w:rFonts w:ascii="宋体" w:hAnsi="宋体" w:eastAsia="宋体" w:cs="Times New Roman"/>
                <w:b/>
                <w:color w:val="auto"/>
                <w:szCs w:val="24"/>
              </w:rPr>
            </w:pPr>
          </w:p>
        </w:tc>
      </w:tr>
    </w:tbl>
    <w:p>
      <w:pPr>
        <w:spacing w:after="0" w:line="240" w:lineRule="auto"/>
        <w:ind w:left="0" w:firstLine="0"/>
        <w:rPr>
          <w:rFonts w:cs="Calibri" w:asciiTheme="minorEastAsia" w:hAnsiTheme="minorEastAsia" w:eastAsiaTheme="minorEastAsia"/>
          <w:color w:val="auto"/>
          <w:szCs w:val="24"/>
        </w:rPr>
      </w:pPr>
    </w:p>
    <w:tbl>
      <w:tblPr>
        <w:tblStyle w:val="30"/>
        <w:tblpPr w:leftFromText="180" w:rightFromText="180" w:vertAnchor="text" w:horzAnchor="margin" w:tblpXSpec="center" w:tblpY="1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3828"/>
        <w:gridCol w:w="1146"/>
        <w:gridCol w:w="6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98" w:type="pct"/>
            <w:shd w:val="clear" w:color="auto" w:fill="auto"/>
            <w:vAlign w:val="center"/>
          </w:tcPr>
          <w:p>
            <w:pPr>
              <w:spacing w:after="0" w:line="400" w:lineRule="exact"/>
              <w:ind w:left="0"/>
              <w:jc w:val="center"/>
              <w:rPr>
                <w:rFonts w:cs="Times New Roman" w:asciiTheme="minorEastAsia" w:hAnsiTheme="minorEastAsia" w:eastAsiaTheme="minorEastAsia"/>
                <w:b/>
                <w:color w:val="auto"/>
                <w:sz w:val="21"/>
              </w:rPr>
            </w:pPr>
            <w:r>
              <w:rPr>
                <w:rFonts w:hint="eastAsia" w:cs="Times New Roman" w:asciiTheme="minorEastAsia" w:hAnsiTheme="minorEastAsia" w:eastAsiaTheme="minorEastAsia"/>
                <w:b/>
                <w:color w:val="auto"/>
                <w:sz w:val="21"/>
              </w:rPr>
              <w:t>风险点</w:t>
            </w:r>
          </w:p>
        </w:tc>
        <w:tc>
          <w:tcPr>
            <w:tcW w:w="1463" w:type="pct"/>
            <w:shd w:val="clear" w:color="auto" w:fill="auto"/>
            <w:vAlign w:val="center"/>
          </w:tcPr>
          <w:p>
            <w:pPr>
              <w:spacing w:after="0" w:line="400" w:lineRule="exact"/>
              <w:ind w:left="0"/>
              <w:jc w:val="center"/>
              <w:rPr>
                <w:rFonts w:cs="Times New Roman" w:asciiTheme="minorEastAsia" w:hAnsiTheme="minorEastAsia" w:eastAsiaTheme="minorEastAsia"/>
                <w:b/>
                <w:color w:val="auto"/>
                <w:sz w:val="21"/>
                <w:szCs w:val="24"/>
              </w:rPr>
            </w:pPr>
            <w:r>
              <w:rPr>
                <w:rFonts w:hint="eastAsia" w:cs="Times New Roman" w:asciiTheme="minorEastAsia" w:hAnsiTheme="minorEastAsia" w:eastAsiaTheme="minorEastAsia"/>
                <w:b/>
                <w:color w:val="auto"/>
                <w:sz w:val="21"/>
                <w:szCs w:val="24"/>
              </w:rPr>
              <w:t>消防泵房</w:t>
            </w:r>
          </w:p>
        </w:tc>
        <w:tc>
          <w:tcPr>
            <w:tcW w:w="438" w:type="pct"/>
            <w:vMerge w:val="restart"/>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致险因素描述</w:t>
            </w:r>
          </w:p>
        </w:tc>
        <w:tc>
          <w:tcPr>
            <w:tcW w:w="2301" w:type="pct"/>
            <w:vMerge w:val="restart"/>
            <w:shd w:val="clear" w:color="auto" w:fill="auto"/>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1.非专业人员操作；</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2.作业人员操作流程不熟，未遵守安全操作规程；</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3.设备检测、维修保养不到位，照明不足，开关、阀门未处于正确位置；</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4.供电设备外壳及接地不到位。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98" w:type="pct"/>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sz w:val="21"/>
              </w:rPr>
            </w:pPr>
            <w:r>
              <w:rPr>
                <w:rFonts w:hint="eastAsia" w:cs="Times New Roman" w:asciiTheme="minorEastAsia" w:hAnsiTheme="minorEastAsia" w:eastAsiaTheme="minorEastAsia"/>
                <w:b/>
                <w:color w:val="auto"/>
                <w:sz w:val="21"/>
              </w:rPr>
              <w:t>风险等级</w:t>
            </w:r>
          </w:p>
        </w:tc>
        <w:tc>
          <w:tcPr>
            <w:tcW w:w="1463" w:type="pct"/>
            <w:shd w:val="clear" w:color="auto" w:fill="FAE600"/>
            <w:vAlign w:val="center"/>
          </w:tcPr>
          <w:p>
            <w:pPr>
              <w:spacing w:after="0" w:line="400" w:lineRule="exact"/>
              <w:ind w:left="0"/>
              <w:jc w:val="center"/>
              <w:rPr>
                <w:rFonts w:cs="Times New Roman" w:asciiTheme="minorEastAsia" w:hAnsiTheme="minorEastAsia" w:eastAsiaTheme="minorEastAsia"/>
                <w:b/>
                <w:color w:val="auto"/>
                <w:sz w:val="21"/>
                <w:szCs w:val="24"/>
              </w:rPr>
            </w:pPr>
            <w:r>
              <w:rPr>
                <w:rFonts w:cs="Times New Roman" w:asciiTheme="minorEastAsia" w:hAnsiTheme="minorEastAsia" w:eastAsiaTheme="minorEastAsia"/>
                <w:b/>
                <w:color w:val="auto"/>
                <w:sz w:val="21"/>
                <w:szCs w:val="24"/>
              </w:rPr>
              <w:t>一般风险</w:t>
            </w:r>
          </w:p>
        </w:tc>
        <w:tc>
          <w:tcPr>
            <w:tcW w:w="438" w:type="pct"/>
            <w:vMerge w:val="continue"/>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2301" w:type="pct"/>
            <w:vMerge w:val="continue"/>
            <w:shd w:val="clear" w:color="auto" w:fill="auto"/>
            <w:vAlign w:val="center"/>
          </w:tcPr>
          <w:p>
            <w:pPr>
              <w:spacing w:after="0" w:line="320" w:lineRule="exact"/>
              <w:ind w:left="0" w:firstLine="0"/>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98" w:type="pct"/>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sz w:val="21"/>
              </w:rPr>
            </w:pPr>
            <w:r>
              <w:rPr>
                <w:rFonts w:hint="eastAsia" w:cs="Times New Roman" w:asciiTheme="minorEastAsia" w:hAnsiTheme="minorEastAsia" w:eastAsiaTheme="minorEastAsia"/>
                <w:b/>
                <w:color w:val="auto"/>
                <w:sz w:val="21"/>
              </w:rPr>
              <w:t>事故类型</w:t>
            </w:r>
          </w:p>
        </w:tc>
        <w:tc>
          <w:tcPr>
            <w:tcW w:w="1463" w:type="pct"/>
            <w:shd w:val="clear" w:color="auto" w:fill="auto"/>
            <w:vAlign w:val="center"/>
          </w:tcPr>
          <w:p>
            <w:pPr>
              <w:spacing w:after="0" w:line="400" w:lineRule="exact"/>
              <w:ind w:left="0"/>
              <w:jc w:val="center"/>
              <w:rPr>
                <w:rFonts w:cs="Times New Roman" w:asciiTheme="minorEastAsia" w:hAnsiTheme="minorEastAsia" w:eastAsiaTheme="minorEastAsia"/>
                <w:b/>
                <w:color w:val="auto"/>
                <w:sz w:val="21"/>
                <w:szCs w:val="24"/>
              </w:rPr>
            </w:pPr>
            <w:r>
              <w:rPr>
                <w:rFonts w:hint="eastAsia" w:cs="Times New Roman" w:asciiTheme="minorEastAsia" w:hAnsiTheme="minorEastAsia" w:eastAsiaTheme="minorEastAsia"/>
                <w:b/>
                <w:color w:val="auto"/>
                <w:sz w:val="21"/>
                <w:szCs w:val="24"/>
              </w:rPr>
              <w:t>事故扩大 触电 淹溺 机械伤害</w:t>
            </w:r>
          </w:p>
        </w:tc>
        <w:tc>
          <w:tcPr>
            <w:tcW w:w="438" w:type="pct"/>
            <w:vMerge w:val="continue"/>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2301" w:type="pct"/>
            <w:vMerge w:val="continue"/>
            <w:shd w:val="clear" w:color="auto" w:fill="auto"/>
            <w:vAlign w:val="center"/>
          </w:tcPr>
          <w:p>
            <w:pPr>
              <w:spacing w:after="0" w:line="320" w:lineRule="exact"/>
              <w:ind w:left="0" w:firstLine="0"/>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0" w:type="pct"/>
            <w:gridSpan w:val="2"/>
            <w:tcBorders>
              <w:bottom w:val="single" w:color="auto" w:sz="6" w:space="0"/>
            </w:tcBorders>
            <w:shd w:val="clear" w:color="auto" w:fill="auto"/>
            <w:vAlign w:val="center"/>
          </w:tcPr>
          <w:p>
            <w:pPr>
              <w:spacing w:after="0" w:line="240" w:lineRule="auto"/>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安全标志</w:t>
            </w:r>
          </w:p>
          <w:p>
            <w:pPr>
              <w:spacing w:after="0" w:line="360" w:lineRule="auto"/>
              <w:ind w:left="0" w:firstLine="0"/>
              <w:jc w:val="center"/>
              <w:rPr>
                <w:rFonts w:cs="Times New Roman" w:asciiTheme="minorEastAsia" w:hAnsiTheme="minorEastAsia" w:eastAsiaTheme="minorEastAsia"/>
                <w:b/>
                <w:color w:val="auto"/>
                <w:sz w:val="21"/>
                <w:szCs w:val="24"/>
              </w:rPr>
            </w:pPr>
            <w:r>
              <w:rPr>
                <w:rFonts w:cs="Times New Roman" w:asciiTheme="minorEastAsia" w:hAnsiTheme="minorEastAsia" w:eastAsiaTheme="minorEastAsia"/>
                <w:b/>
                <w:color w:val="auto"/>
                <w:sz w:val="21"/>
                <w:szCs w:val="24"/>
              </w:rPr>
              <w:drawing>
                <wp:inline distT="0" distB="0" distL="0" distR="0">
                  <wp:extent cx="846455" cy="10528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48862" cy="1056148"/>
                          </a:xfrm>
                          <a:prstGeom prst="rect">
                            <a:avLst/>
                          </a:prstGeom>
                          <a:noFill/>
                          <a:ln>
                            <a:noFill/>
                          </a:ln>
                        </pic:spPr>
                      </pic:pic>
                    </a:graphicData>
                  </a:graphic>
                </wp:inline>
              </w:drawing>
            </w:r>
            <w:r>
              <w:rPr>
                <w:rFonts w:asciiTheme="minorEastAsia" w:hAnsiTheme="minorEastAsia" w:eastAsiaTheme="minorEastAsia"/>
                <w:b/>
                <w:color w:val="auto"/>
                <w:sz w:val="21"/>
              </w:rPr>
              <w:drawing>
                <wp:inline distT="0" distB="0" distL="0" distR="0">
                  <wp:extent cx="830580" cy="107950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cstate="print"/>
                          <a:stretch>
                            <a:fillRect/>
                          </a:stretch>
                        </pic:blipFill>
                        <pic:spPr>
                          <a:xfrm>
                            <a:off x="0" y="0"/>
                            <a:ext cx="830769" cy="1080000"/>
                          </a:xfrm>
                          <a:prstGeom prst="rect">
                            <a:avLst/>
                          </a:prstGeom>
                        </pic:spPr>
                      </pic:pic>
                    </a:graphicData>
                  </a:graphic>
                </wp:inline>
              </w:drawing>
            </w:r>
            <w:r>
              <w:rPr>
                <w:rFonts w:asciiTheme="minorEastAsia" w:hAnsiTheme="minorEastAsia" w:eastAsiaTheme="minorEastAsia"/>
                <w:b/>
                <w:color w:val="auto"/>
                <w:sz w:val="21"/>
              </w:rPr>
              <w:drawing>
                <wp:inline distT="0" distB="0" distL="0" distR="0">
                  <wp:extent cx="834390" cy="1078865"/>
                  <wp:effectExtent l="0" t="0" r="381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cstate="print"/>
                          <a:stretch>
                            <a:fillRect/>
                          </a:stretch>
                        </pic:blipFill>
                        <pic:spPr>
                          <a:xfrm>
                            <a:off x="0" y="0"/>
                            <a:ext cx="836410" cy="1081325"/>
                          </a:xfrm>
                          <a:prstGeom prst="rect">
                            <a:avLst/>
                          </a:prstGeom>
                        </pic:spPr>
                      </pic:pic>
                    </a:graphicData>
                  </a:graphic>
                </wp:inline>
              </w:drawing>
            </w:r>
            <w:r>
              <w:rPr>
                <w:rFonts w:asciiTheme="minorEastAsia" w:hAnsiTheme="minorEastAsia" w:eastAsiaTheme="minorEastAsia"/>
                <w:b/>
                <w:color w:val="auto"/>
                <w:sz w:val="21"/>
              </w:rPr>
              <w:drawing>
                <wp:inline distT="0" distB="0" distL="0" distR="0">
                  <wp:extent cx="841375" cy="107950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stretch>
                            <a:fillRect/>
                          </a:stretch>
                        </pic:blipFill>
                        <pic:spPr>
                          <a:xfrm>
                            <a:off x="0" y="0"/>
                            <a:ext cx="841558" cy="1080000"/>
                          </a:xfrm>
                          <a:prstGeom prst="rect">
                            <a:avLst/>
                          </a:prstGeom>
                        </pic:spPr>
                      </pic:pic>
                    </a:graphicData>
                  </a:graphic>
                </wp:inline>
              </w:drawing>
            </w:r>
          </w:p>
        </w:tc>
        <w:tc>
          <w:tcPr>
            <w:tcW w:w="438" w:type="pct"/>
            <w:tcBorders>
              <w:bottom w:val="single" w:color="auto" w:sz="6" w:space="0"/>
            </w:tcBorders>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风险管控措施</w:t>
            </w:r>
          </w:p>
        </w:tc>
        <w:tc>
          <w:tcPr>
            <w:tcW w:w="2301" w:type="pct"/>
            <w:tcBorders>
              <w:bottom w:val="single" w:color="auto" w:sz="4" w:space="0"/>
            </w:tcBorders>
            <w:shd w:val="clear" w:color="auto" w:fill="auto"/>
            <w:vAlign w:val="center"/>
          </w:tcPr>
          <w:p>
            <w:pPr>
              <w:spacing w:after="0" w:line="320" w:lineRule="exact"/>
              <w:ind w:left="0" w:firstLine="0"/>
              <w:rPr>
                <w:rFonts w:ascii="宋体" w:hAnsi="宋体" w:eastAsia="宋体" w:cs="Times New Roman"/>
                <w:b/>
                <w:color w:val="auto"/>
                <w:sz w:val="21"/>
                <w:szCs w:val="24"/>
              </w:rPr>
            </w:pPr>
            <w:r>
              <w:rPr>
                <w:rFonts w:ascii="宋体" w:hAnsi="宋体" w:eastAsia="宋体" w:cs="Times New Roman"/>
                <w:b/>
                <w:color w:val="auto"/>
                <w:sz w:val="21"/>
                <w:szCs w:val="24"/>
              </w:rPr>
              <w:t>1.无关人员严禁进入</w:t>
            </w:r>
            <w:r>
              <w:rPr>
                <w:rFonts w:hint="eastAsia" w:ascii="宋体" w:hAnsi="宋体" w:eastAsia="宋体" w:cs="Times New Roman"/>
                <w:b/>
                <w:color w:val="auto"/>
                <w:sz w:val="21"/>
                <w:szCs w:val="24"/>
              </w:rPr>
              <w:t>、</w:t>
            </w:r>
            <w:r>
              <w:rPr>
                <w:rFonts w:ascii="宋体" w:hAnsi="宋体" w:eastAsia="宋体" w:cs="Times New Roman"/>
                <w:b/>
                <w:color w:val="auto"/>
                <w:sz w:val="21"/>
                <w:szCs w:val="24"/>
              </w:rPr>
              <w:t>操作；</w:t>
            </w:r>
          </w:p>
          <w:p>
            <w:pPr>
              <w:spacing w:after="0" w:line="320" w:lineRule="exact"/>
              <w:ind w:left="0" w:firstLine="0"/>
              <w:rPr>
                <w:rFonts w:ascii="宋体" w:hAnsi="宋体" w:eastAsia="宋体" w:cs="Times New Roman"/>
                <w:b/>
                <w:color w:val="auto"/>
                <w:sz w:val="21"/>
                <w:szCs w:val="24"/>
              </w:rPr>
            </w:pPr>
            <w:r>
              <w:rPr>
                <w:rFonts w:ascii="宋体" w:hAnsi="宋体" w:eastAsia="宋体" w:cs="Times New Roman"/>
                <w:b/>
                <w:color w:val="auto"/>
                <w:sz w:val="21"/>
                <w:szCs w:val="24"/>
              </w:rPr>
              <w:t>2.</w:t>
            </w:r>
            <w:r>
              <w:rPr>
                <w:rFonts w:hint="eastAsia" w:ascii="宋体" w:hAnsi="宋体" w:eastAsia="宋体" w:cs="Times New Roman"/>
                <w:b/>
                <w:color w:val="auto"/>
                <w:sz w:val="21"/>
                <w:szCs w:val="24"/>
              </w:rPr>
              <w:t>由专业人员操作，</w:t>
            </w:r>
            <w:r>
              <w:rPr>
                <w:rFonts w:ascii="宋体" w:hAnsi="宋体" w:eastAsia="宋体" w:cs="Times New Roman"/>
                <w:b/>
                <w:color w:val="auto"/>
                <w:sz w:val="21"/>
                <w:szCs w:val="24"/>
              </w:rPr>
              <w:t>熟知岗位</w:t>
            </w:r>
            <w:r>
              <w:rPr>
                <w:rFonts w:hint="eastAsia" w:ascii="宋体" w:hAnsi="宋体" w:eastAsia="宋体" w:cs="Times New Roman"/>
                <w:b/>
                <w:color w:val="auto"/>
                <w:sz w:val="21"/>
                <w:szCs w:val="24"/>
              </w:rPr>
              <w:t>风险</w:t>
            </w:r>
            <w:r>
              <w:rPr>
                <w:rFonts w:ascii="宋体" w:hAnsi="宋体" w:eastAsia="宋体" w:cs="Times New Roman"/>
                <w:b/>
                <w:color w:val="auto"/>
                <w:sz w:val="21"/>
                <w:szCs w:val="24"/>
              </w:rPr>
              <w:t>及防范措施</w:t>
            </w:r>
            <w:r>
              <w:rPr>
                <w:rFonts w:hint="eastAsia" w:ascii="宋体" w:hAnsi="宋体" w:eastAsia="宋体" w:cs="Times New Roman"/>
                <w:b/>
                <w:color w:val="auto"/>
                <w:sz w:val="21"/>
                <w:szCs w:val="24"/>
              </w:rPr>
              <w:t>，</w:t>
            </w:r>
            <w:r>
              <w:rPr>
                <w:rFonts w:ascii="宋体" w:hAnsi="宋体" w:eastAsia="宋体" w:cs="Times New Roman"/>
                <w:b/>
                <w:color w:val="auto"/>
                <w:sz w:val="21"/>
                <w:szCs w:val="24"/>
              </w:rPr>
              <w:t>按规程操作；</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3.检修工具及劳动防护用品应合格，且在检验有效期内；</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w:t>
            </w:r>
            <w:r>
              <w:rPr>
                <w:rFonts w:ascii="宋体" w:hAnsi="宋体" w:eastAsia="宋体" w:cs="Times New Roman"/>
                <w:b/>
                <w:color w:val="auto"/>
                <w:sz w:val="21"/>
                <w:szCs w:val="24"/>
              </w:rPr>
              <w:t>.</w:t>
            </w:r>
            <w:r>
              <w:rPr>
                <w:rFonts w:hint="eastAsia" w:ascii="宋体" w:hAnsi="宋体" w:eastAsia="宋体" w:cs="Times New Roman"/>
                <w:b/>
                <w:color w:val="auto"/>
                <w:sz w:val="21"/>
                <w:szCs w:val="24"/>
              </w:rPr>
              <w:t>控制</w:t>
            </w:r>
            <w:r>
              <w:rPr>
                <w:rFonts w:ascii="宋体" w:hAnsi="宋体" w:eastAsia="宋体" w:cs="Times New Roman"/>
                <w:b/>
                <w:color w:val="auto"/>
                <w:sz w:val="21"/>
                <w:szCs w:val="24"/>
              </w:rPr>
              <w:t>开关</w:t>
            </w:r>
            <w:r>
              <w:rPr>
                <w:rFonts w:hint="eastAsia" w:ascii="宋体" w:hAnsi="宋体" w:eastAsia="宋体" w:cs="Times New Roman"/>
                <w:b/>
                <w:color w:val="auto"/>
                <w:sz w:val="21"/>
                <w:szCs w:val="24"/>
              </w:rPr>
              <w:t>、</w:t>
            </w:r>
            <w:r>
              <w:rPr>
                <w:rFonts w:ascii="宋体" w:hAnsi="宋体" w:eastAsia="宋体" w:cs="Times New Roman"/>
                <w:b/>
                <w:color w:val="auto"/>
                <w:sz w:val="21"/>
                <w:szCs w:val="24"/>
              </w:rPr>
              <w:t>阀门应处于正确位置</w:t>
            </w:r>
            <w:r>
              <w:rPr>
                <w:rFonts w:hint="eastAsia" w:ascii="宋体" w:hAnsi="宋体" w:eastAsia="宋体" w:cs="Times New Roman"/>
                <w:b/>
                <w:color w:val="auto"/>
                <w:sz w:val="21"/>
                <w:szCs w:val="24"/>
              </w:rPr>
              <w:t>；</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5</w:t>
            </w:r>
            <w:r>
              <w:rPr>
                <w:rFonts w:ascii="宋体" w:hAnsi="宋体" w:eastAsia="宋体" w:cs="Times New Roman"/>
                <w:b/>
                <w:color w:val="auto"/>
                <w:sz w:val="21"/>
                <w:szCs w:val="24"/>
              </w:rPr>
              <w:t>.电气设备应按规定接地</w:t>
            </w:r>
            <w:r>
              <w:rPr>
                <w:rFonts w:hint="eastAsia" w:ascii="宋体" w:hAnsi="宋体" w:eastAsia="宋体" w:cs="Times New Roman"/>
                <w:b/>
                <w:color w:val="auto"/>
                <w:sz w:val="21"/>
                <w:szCs w:val="24"/>
              </w:rPr>
              <w:t>。</w:t>
            </w:r>
          </w:p>
          <w:p>
            <w:pPr>
              <w:spacing w:after="0" w:line="320" w:lineRule="exact"/>
              <w:ind w:left="0" w:firstLine="0"/>
              <w:rPr>
                <w:rFonts w:ascii="宋体" w:hAnsi="宋体" w:eastAsia="宋体" w:cs="Times New Roman"/>
                <w:b/>
                <w:color w:val="auto"/>
                <w:sz w:val="21"/>
                <w:szCs w:val="24"/>
              </w:rPr>
            </w:pPr>
            <w:r>
              <w:rPr>
                <w:rFonts w:ascii="宋体" w:hAnsi="宋体" w:eastAsia="宋体" w:cs="Times New Roman"/>
                <w:b/>
                <w:color w:val="auto"/>
                <w:sz w:val="21"/>
                <w:szCs w:val="24"/>
              </w:rPr>
              <w:t>6</w:t>
            </w:r>
            <w:r>
              <w:rPr>
                <w:rFonts w:hint="eastAsia" w:ascii="宋体" w:hAnsi="宋体" w:eastAsia="宋体" w:cs="Times New Roman"/>
                <w:b/>
                <w:color w:val="auto"/>
                <w:sz w:val="21"/>
                <w:szCs w:val="24"/>
              </w:rPr>
              <w:t>.定期维保检修设备，按规定启动、测试水泵。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98" w:type="pct"/>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sz w:val="21"/>
              </w:rPr>
            </w:pPr>
            <w:r>
              <w:rPr>
                <w:rFonts w:hint="eastAsia" w:cs="Times New Roman" w:asciiTheme="minorEastAsia" w:hAnsiTheme="minorEastAsia" w:eastAsiaTheme="minorEastAsia"/>
                <w:b/>
                <w:color w:val="auto"/>
                <w:sz w:val="21"/>
              </w:rPr>
              <w:t>责任部门</w:t>
            </w:r>
          </w:p>
        </w:tc>
        <w:tc>
          <w:tcPr>
            <w:tcW w:w="1463" w:type="pct"/>
            <w:tcBorders>
              <w:top w:val="single" w:color="auto" w:sz="6" w:space="0"/>
            </w:tcBorders>
            <w:shd w:val="clear" w:color="auto" w:fill="auto"/>
            <w:vAlign w:val="center"/>
          </w:tcPr>
          <w:p>
            <w:pPr>
              <w:spacing w:after="0" w:line="360" w:lineRule="auto"/>
              <w:ind w:left="0"/>
              <w:rPr>
                <w:rFonts w:cs="Times New Roman" w:asciiTheme="minorEastAsia" w:hAnsiTheme="minorEastAsia" w:eastAsiaTheme="minorEastAsia"/>
                <w:b/>
                <w:color w:val="auto"/>
                <w:sz w:val="21"/>
                <w:szCs w:val="24"/>
              </w:rPr>
            </w:pPr>
          </w:p>
        </w:tc>
        <w:tc>
          <w:tcPr>
            <w:tcW w:w="438" w:type="pct"/>
            <w:vMerge w:val="restart"/>
            <w:tcBorders>
              <w:top w:val="single" w:color="auto" w:sz="6" w:space="0"/>
            </w:tcBorders>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应急处置措施</w:t>
            </w:r>
          </w:p>
        </w:tc>
        <w:tc>
          <w:tcPr>
            <w:tcW w:w="2301" w:type="pct"/>
            <w:vMerge w:val="restart"/>
            <w:tcBorders>
              <w:top w:val="single" w:color="auto" w:sz="6" w:space="0"/>
            </w:tcBorders>
            <w:shd w:val="clear" w:color="auto" w:fill="auto"/>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1.火灾时，应迅速启动消防泵，</w:t>
            </w:r>
            <w:r>
              <w:rPr>
                <w:rFonts w:ascii="宋体" w:hAnsi="宋体" w:eastAsia="宋体" w:cs="Times New Roman"/>
                <w:b/>
                <w:color w:val="auto"/>
                <w:sz w:val="21"/>
                <w:szCs w:val="24"/>
              </w:rPr>
              <w:t>无法启动时</w:t>
            </w:r>
            <w:r>
              <w:rPr>
                <w:rFonts w:hint="eastAsia" w:ascii="宋体" w:hAnsi="宋体" w:eastAsia="宋体" w:cs="Times New Roman"/>
                <w:b/>
                <w:color w:val="auto"/>
                <w:sz w:val="21"/>
                <w:szCs w:val="24"/>
              </w:rPr>
              <w:t>，</w:t>
            </w:r>
            <w:r>
              <w:rPr>
                <w:rFonts w:ascii="宋体" w:hAnsi="宋体" w:eastAsia="宋体" w:cs="Times New Roman"/>
                <w:b/>
                <w:color w:val="auto"/>
                <w:sz w:val="21"/>
                <w:szCs w:val="24"/>
              </w:rPr>
              <w:t>应查明原因</w:t>
            </w:r>
            <w:r>
              <w:rPr>
                <w:rFonts w:hint="eastAsia" w:ascii="宋体" w:hAnsi="宋体" w:eastAsia="宋体" w:cs="Times New Roman"/>
                <w:b/>
                <w:color w:val="auto"/>
                <w:sz w:val="21"/>
                <w:szCs w:val="24"/>
              </w:rPr>
              <w:t>重新启动，联系专业维保单位。</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w:t>
            </w:r>
            <w:r>
              <w:rPr>
                <w:rFonts w:ascii="宋体" w:hAnsi="宋体" w:eastAsia="宋体" w:cs="Times New Roman"/>
                <w:b/>
                <w:color w:val="auto"/>
                <w:sz w:val="21"/>
                <w:szCs w:val="24"/>
              </w:rPr>
              <w:t>.</w:t>
            </w:r>
            <w:r>
              <w:rPr>
                <w:rFonts w:hint="eastAsia" w:ascii="宋体" w:hAnsi="宋体" w:eastAsia="宋体" w:cs="Times New Roman"/>
                <w:b/>
                <w:color w:val="auto"/>
                <w:sz w:val="21"/>
                <w:szCs w:val="24"/>
              </w:rPr>
              <w:t>触电时应</w:t>
            </w:r>
            <w:r>
              <w:rPr>
                <w:rFonts w:ascii="宋体" w:hAnsi="宋体" w:eastAsia="宋体" w:cs="Times New Roman"/>
                <w:b/>
                <w:color w:val="auto"/>
                <w:sz w:val="21"/>
                <w:szCs w:val="24"/>
              </w:rPr>
              <w:t>迅速切断电源，或者用绝缘物体挑开电线或带电物体，使伤者尽快脱离电源</w:t>
            </w:r>
            <w:r>
              <w:rPr>
                <w:rFonts w:hint="eastAsia" w:ascii="宋体" w:hAnsi="宋体" w:eastAsia="宋体" w:cs="Times New Roman"/>
                <w:b/>
                <w:color w:val="auto"/>
                <w:sz w:val="21"/>
                <w:szCs w:val="24"/>
              </w:rPr>
              <w:t>，</w:t>
            </w:r>
            <w:r>
              <w:rPr>
                <w:rFonts w:ascii="宋体" w:hAnsi="宋体" w:eastAsia="宋体" w:cs="Times New Roman"/>
                <w:b/>
                <w:color w:val="auto"/>
                <w:sz w:val="21"/>
                <w:szCs w:val="24"/>
              </w:rPr>
              <w:t>将伤者移至安全地带；</w:t>
            </w:r>
          </w:p>
          <w:p>
            <w:pPr>
              <w:spacing w:after="0" w:line="320" w:lineRule="exact"/>
              <w:ind w:left="0" w:firstLine="0"/>
              <w:rPr>
                <w:rFonts w:ascii="宋体" w:hAnsi="宋体" w:eastAsia="宋体" w:cs="Times New Roman"/>
                <w:b/>
                <w:color w:val="auto"/>
                <w:sz w:val="21"/>
                <w:szCs w:val="24"/>
              </w:rPr>
            </w:pPr>
            <w:r>
              <w:rPr>
                <w:rFonts w:ascii="宋体" w:hAnsi="宋体" w:eastAsia="宋体" w:cs="Times New Roman"/>
                <w:b/>
                <w:color w:val="auto"/>
                <w:sz w:val="21"/>
                <w:szCs w:val="24"/>
              </w:rPr>
              <w:t>3.</w:t>
            </w:r>
            <w:r>
              <w:rPr>
                <w:rFonts w:hint="eastAsia" w:ascii="宋体" w:hAnsi="宋体" w:eastAsia="宋体" w:cs="Times New Roman"/>
                <w:b/>
                <w:color w:val="auto"/>
                <w:sz w:val="21"/>
                <w:szCs w:val="24"/>
              </w:rPr>
              <w:t>按预案及信息报告流程</w:t>
            </w:r>
            <w:r>
              <w:rPr>
                <w:rFonts w:ascii="宋体" w:hAnsi="宋体" w:eastAsia="宋体" w:cs="Times New Roman"/>
                <w:b/>
                <w:color w:val="auto"/>
                <w:sz w:val="21"/>
                <w:szCs w:val="24"/>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8" w:type="pct"/>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sz w:val="21"/>
              </w:rPr>
            </w:pPr>
            <w:r>
              <w:rPr>
                <w:rFonts w:hint="eastAsia" w:cs="Times New Roman" w:asciiTheme="minorEastAsia" w:hAnsiTheme="minorEastAsia" w:eastAsiaTheme="minorEastAsia"/>
                <w:b/>
                <w:color w:val="auto"/>
                <w:sz w:val="21"/>
              </w:rPr>
              <w:t>责任人</w:t>
            </w:r>
          </w:p>
        </w:tc>
        <w:tc>
          <w:tcPr>
            <w:tcW w:w="1463" w:type="pct"/>
            <w:tcBorders>
              <w:top w:val="single" w:color="auto" w:sz="6" w:space="0"/>
            </w:tcBorders>
            <w:shd w:val="clear" w:color="auto" w:fill="auto"/>
            <w:vAlign w:val="center"/>
          </w:tcPr>
          <w:p>
            <w:pPr>
              <w:spacing w:after="0" w:line="360" w:lineRule="auto"/>
              <w:ind w:left="0"/>
              <w:rPr>
                <w:rFonts w:cs="Times New Roman" w:asciiTheme="minorEastAsia" w:hAnsiTheme="minorEastAsia" w:eastAsiaTheme="minorEastAsia"/>
                <w:b/>
                <w:color w:val="auto"/>
                <w:sz w:val="21"/>
                <w:szCs w:val="24"/>
              </w:rPr>
            </w:pPr>
          </w:p>
        </w:tc>
        <w:tc>
          <w:tcPr>
            <w:tcW w:w="438" w:type="pct"/>
            <w:vMerge w:val="continue"/>
            <w:shd w:val="clear" w:color="auto" w:fill="auto"/>
            <w:vAlign w:val="center"/>
          </w:tcPr>
          <w:p>
            <w:pPr>
              <w:spacing w:after="0" w:line="360" w:lineRule="auto"/>
              <w:ind w:left="0"/>
              <w:jc w:val="center"/>
              <w:rPr>
                <w:rFonts w:cs="Times New Roman" w:asciiTheme="minorEastAsia" w:hAnsiTheme="minorEastAsia" w:eastAsiaTheme="minorEastAsia"/>
                <w:b/>
                <w:color w:val="auto"/>
                <w:sz w:val="21"/>
                <w:szCs w:val="24"/>
              </w:rPr>
            </w:pPr>
          </w:p>
        </w:tc>
        <w:tc>
          <w:tcPr>
            <w:tcW w:w="2301" w:type="pct"/>
            <w:vMerge w:val="continue"/>
            <w:shd w:val="clear" w:color="auto" w:fill="auto"/>
            <w:vAlign w:val="center"/>
          </w:tcPr>
          <w:p>
            <w:pPr>
              <w:spacing w:after="0" w:line="360" w:lineRule="auto"/>
              <w:ind w:left="0"/>
              <w:rPr>
                <w:rFonts w:cs="Times New Roman" w:asciiTheme="minorEastAsia" w:hAnsiTheme="minorEastAsia" w:eastAsiaTheme="minorEastAsia"/>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98" w:type="pct"/>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sz w:val="21"/>
              </w:rPr>
            </w:pPr>
            <w:r>
              <w:rPr>
                <w:rFonts w:hint="eastAsia" w:cs="Times New Roman" w:asciiTheme="minorEastAsia" w:hAnsiTheme="minorEastAsia" w:eastAsiaTheme="minorEastAsia"/>
                <w:b/>
                <w:color w:val="auto"/>
                <w:sz w:val="21"/>
              </w:rPr>
              <w:t>责任人电话</w:t>
            </w:r>
          </w:p>
        </w:tc>
        <w:tc>
          <w:tcPr>
            <w:tcW w:w="1463" w:type="pct"/>
            <w:tcBorders>
              <w:top w:val="single" w:color="auto" w:sz="6" w:space="0"/>
            </w:tcBorders>
            <w:shd w:val="clear" w:color="auto" w:fill="auto"/>
            <w:vAlign w:val="center"/>
          </w:tcPr>
          <w:p>
            <w:pPr>
              <w:spacing w:after="0" w:line="360" w:lineRule="auto"/>
              <w:ind w:left="0"/>
              <w:rPr>
                <w:rFonts w:cs="Times New Roman" w:asciiTheme="minorEastAsia" w:hAnsiTheme="minorEastAsia" w:eastAsiaTheme="minorEastAsia"/>
                <w:b/>
                <w:color w:val="auto"/>
                <w:sz w:val="21"/>
                <w:szCs w:val="24"/>
              </w:rPr>
            </w:pPr>
          </w:p>
        </w:tc>
        <w:tc>
          <w:tcPr>
            <w:tcW w:w="438" w:type="pct"/>
            <w:vMerge w:val="continue"/>
            <w:shd w:val="clear" w:color="auto" w:fill="auto"/>
            <w:vAlign w:val="center"/>
          </w:tcPr>
          <w:p>
            <w:pPr>
              <w:spacing w:after="0" w:line="360" w:lineRule="auto"/>
              <w:ind w:left="0"/>
              <w:jc w:val="center"/>
              <w:rPr>
                <w:rFonts w:cs="Times New Roman" w:asciiTheme="minorEastAsia" w:hAnsiTheme="minorEastAsia" w:eastAsiaTheme="minorEastAsia"/>
                <w:b/>
                <w:color w:val="auto"/>
                <w:sz w:val="21"/>
                <w:szCs w:val="24"/>
              </w:rPr>
            </w:pPr>
          </w:p>
        </w:tc>
        <w:tc>
          <w:tcPr>
            <w:tcW w:w="2301" w:type="pct"/>
            <w:vMerge w:val="continue"/>
            <w:shd w:val="clear" w:color="auto" w:fill="auto"/>
            <w:vAlign w:val="center"/>
          </w:tcPr>
          <w:p>
            <w:pPr>
              <w:spacing w:after="0" w:line="360" w:lineRule="auto"/>
              <w:ind w:left="0"/>
              <w:rPr>
                <w:rFonts w:cs="Times New Roman" w:asciiTheme="minorEastAsia" w:hAnsiTheme="minorEastAsia" w:eastAsiaTheme="minorEastAsia"/>
                <w:b/>
                <w:color w:val="auto"/>
                <w:sz w:val="21"/>
                <w:szCs w:val="21"/>
              </w:rPr>
            </w:pPr>
          </w:p>
        </w:tc>
      </w:tr>
    </w:tbl>
    <w:p>
      <w:pPr>
        <w:spacing w:after="0" w:line="240" w:lineRule="auto"/>
        <w:ind w:left="0" w:firstLine="0"/>
        <w:rPr>
          <w:rFonts w:cs="Calibri" w:asciiTheme="minorEastAsia" w:hAnsiTheme="minorEastAsia" w:eastAsiaTheme="minorEastAsia"/>
          <w:b/>
          <w:color w:val="auto"/>
          <w:sz w:val="21"/>
          <w:szCs w:val="24"/>
        </w:rPr>
      </w:pPr>
    </w:p>
    <w:tbl>
      <w:tblPr>
        <w:tblStyle w:val="30"/>
        <w:tblpPr w:leftFromText="180" w:rightFromText="180" w:vertAnchor="text" w:horzAnchor="margin" w:tblpXSpec="center" w:tblpY="474"/>
        <w:tblW w:w="13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3"/>
        <w:gridCol w:w="3942"/>
        <w:gridCol w:w="1134"/>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403" w:type="dxa"/>
            <w:shd w:val="clear" w:color="auto" w:fill="auto"/>
            <w:vAlign w:val="center"/>
          </w:tcPr>
          <w:p>
            <w:pPr>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风险点名称</w:t>
            </w:r>
          </w:p>
        </w:tc>
        <w:tc>
          <w:tcPr>
            <w:tcW w:w="3942" w:type="dxa"/>
            <w:shd w:val="clear" w:color="auto" w:fill="auto"/>
            <w:vAlign w:val="center"/>
          </w:tcPr>
          <w:p>
            <w:pPr>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配电室</w:t>
            </w:r>
          </w:p>
        </w:tc>
        <w:tc>
          <w:tcPr>
            <w:tcW w:w="1134" w:type="dxa"/>
            <w:vMerge w:val="restart"/>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致险因素描述</w:t>
            </w:r>
          </w:p>
        </w:tc>
        <w:tc>
          <w:tcPr>
            <w:tcW w:w="5812" w:type="dxa"/>
            <w:vMerge w:val="restart"/>
            <w:shd w:val="clear" w:color="auto" w:fill="auto"/>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1.作业人员未持证上岗；</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2.停复电或检维修作业未遵守安全操作规程；</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3.检修工具及劳动防护用品有缺陷；</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4.安全防护设施有缺陷；</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5.多人协调作业配合不当。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403" w:type="dxa"/>
            <w:shd w:val="clear" w:color="auto" w:fill="auto"/>
            <w:vAlign w:val="center"/>
          </w:tcPr>
          <w:p>
            <w:pPr>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风险等级</w:t>
            </w:r>
          </w:p>
        </w:tc>
        <w:tc>
          <w:tcPr>
            <w:tcW w:w="3942" w:type="dxa"/>
            <w:shd w:val="clear" w:color="auto" w:fill="FAE600"/>
            <w:vAlign w:val="center"/>
          </w:tcPr>
          <w:p>
            <w:pPr>
              <w:spacing w:after="0" w:line="240" w:lineRule="auto"/>
              <w:ind w:left="0" w:firstLine="0"/>
              <w:jc w:val="center"/>
              <w:rPr>
                <w:rFonts w:ascii="宋体" w:hAnsi="宋体" w:eastAsia="宋体"/>
                <w:b/>
                <w:color w:val="auto"/>
              </w:rPr>
            </w:pPr>
            <w:r>
              <w:rPr>
                <w:rFonts w:ascii="宋体" w:hAnsi="宋体" w:eastAsia="宋体"/>
                <w:b/>
                <w:color w:val="auto"/>
              </w:rPr>
              <w:t>一般风险</w:t>
            </w:r>
          </w:p>
        </w:tc>
        <w:tc>
          <w:tcPr>
            <w:tcW w:w="1134" w:type="dxa"/>
            <w:vMerge w:val="continue"/>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5812" w:type="dxa"/>
            <w:vMerge w:val="continue"/>
            <w:shd w:val="clear" w:color="auto" w:fill="auto"/>
            <w:vAlign w:val="center"/>
          </w:tcPr>
          <w:p>
            <w:pPr>
              <w:spacing w:after="0" w:line="320" w:lineRule="exact"/>
              <w:ind w:left="0" w:firstLine="0"/>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403" w:type="dxa"/>
            <w:shd w:val="clear" w:color="auto" w:fill="auto"/>
            <w:vAlign w:val="center"/>
          </w:tcPr>
          <w:p>
            <w:pPr>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事故类型</w:t>
            </w:r>
          </w:p>
        </w:tc>
        <w:tc>
          <w:tcPr>
            <w:tcW w:w="3942" w:type="dxa"/>
            <w:shd w:val="clear" w:color="auto" w:fill="auto"/>
            <w:vAlign w:val="center"/>
          </w:tcPr>
          <w:p>
            <w:pPr>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触电 火灾</w:t>
            </w:r>
          </w:p>
        </w:tc>
        <w:tc>
          <w:tcPr>
            <w:tcW w:w="1134" w:type="dxa"/>
            <w:vMerge w:val="continue"/>
            <w:shd w:val="clear" w:color="auto" w:fill="auto"/>
            <w:vAlign w:val="center"/>
          </w:tcPr>
          <w:p>
            <w:pPr>
              <w:spacing w:after="0" w:line="320" w:lineRule="exact"/>
              <w:ind w:left="0" w:firstLine="0"/>
              <w:jc w:val="center"/>
              <w:rPr>
                <w:rFonts w:ascii="宋体" w:hAnsi="宋体" w:eastAsia="宋体" w:cs="Times New Roman"/>
                <w:b/>
                <w:color w:val="auto"/>
                <w:sz w:val="21"/>
                <w:szCs w:val="24"/>
              </w:rPr>
            </w:pPr>
          </w:p>
        </w:tc>
        <w:tc>
          <w:tcPr>
            <w:tcW w:w="5812" w:type="dxa"/>
            <w:vMerge w:val="continue"/>
            <w:shd w:val="clear" w:color="auto" w:fill="auto"/>
            <w:vAlign w:val="center"/>
          </w:tcPr>
          <w:p>
            <w:pPr>
              <w:spacing w:after="0" w:line="320" w:lineRule="exact"/>
              <w:ind w:left="0" w:firstLine="0"/>
              <w:rPr>
                <w:rFonts w:ascii="宋体" w:hAnsi="宋体" w:eastAsia="宋体" w:cs="Times New Roman"/>
                <w:b/>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6" w:hRule="atLeast"/>
        </w:trPr>
        <w:tc>
          <w:tcPr>
            <w:tcW w:w="6345" w:type="dxa"/>
            <w:gridSpan w:val="2"/>
            <w:shd w:val="clear" w:color="auto" w:fill="auto"/>
          </w:tcPr>
          <w:p>
            <w:pPr>
              <w:spacing w:after="0" w:line="320" w:lineRule="exact"/>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spacing w:after="0" w:line="240" w:lineRule="auto"/>
              <w:ind w:left="0" w:firstLine="0"/>
              <w:rPr>
                <w:rFonts w:ascii="宋体" w:hAnsi="宋体" w:eastAsia="宋体"/>
                <w:b/>
                <w:color w:val="auto"/>
              </w:rPr>
            </w:pPr>
            <w:r>
              <w:rPr>
                <w:rFonts w:ascii="宋体" w:hAnsi="宋体" w:eastAsia="宋体"/>
                <w:color w:val="auto"/>
              </w:rPr>
              <w:drawing>
                <wp:inline distT="0" distB="0" distL="0" distR="0">
                  <wp:extent cx="925195" cy="1148080"/>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r>
              <w:rPr>
                <w:rFonts w:ascii="宋体" w:hAnsi="宋体" w:eastAsia="宋体"/>
                <w:color w:val="auto"/>
              </w:rPr>
              <w:drawing>
                <wp:inline distT="0" distB="0" distL="0" distR="0">
                  <wp:extent cx="903605" cy="114808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03605" cy="1148080"/>
                          </a:xfrm>
                          <a:prstGeom prst="rect">
                            <a:avLst/>
                          </a:prstGeom>
                          <a:noFill/>
                          <a:ln>
                            <a:noFill/>
                          </a:ln>
                        </pic:spPr>
                      </pic:pic>
                    </a:graphicData>
                  </a:graphic>
                </wp:inline>
              </w:drawing>
            </w:r>
            <w:r>
              <w:rPr>
                <w:rFonts w:ascii="宋体" w:hAnsi="宋体" w:eastAsia="宋体"/>
                <w:color w:val="auto"/>
              </w:rPr>
              <w:drawing>
                <wp:inline distT="0" distB="0" distL="0" distR="0">
                  <wp:extent cx="925195" cy="1148080"/>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r>
              <w:rPr>
                <w:rFonts w:ascii="宋体" w:hAnsi="宋体" w:eastAsia="宋体"/>
                <w:color w:val="auto"/>
              </w:rPr>
              <w:drawing>
                <wp:inline distT="0" distB="0" distL="0" distR="0">
                  <wp:extent cx="925195" cy="1148080"/>
                  <wp:effectExtent l="0" t="0" r="82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p>
        </w:tc>
        <w:tc>
          <w:tcPr>
            <w:tcW w:w="1134" w:type="dxa"/>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风险管控措施</w:t>
            </w:r>
          </w:p>
        </w:tc>
        <w:tc>
          <w:tcPr>
            <w:tcW w:w="5812" w:type="dxa"/>
            <w:shd w:val="clear" w:color="auto" w:fill="auto"/>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1.作业人员必须持证上岗；</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2.作业人员须接受岗前安全教育，熟知岗位危险源及防范措施；</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3.检修工具及劳动防护用品应合格且在检验有效期内；</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4.定期检查配电设备及安全防护情况，发现异常应及时修复；</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5.多人协调作业时应事先制定安全防护措施及指挥人员。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403" w:type="dxa"/>
            <w:shd w:val="clear" w:color="auto" w:fill="auto"/>
            <w:vAlign w:val="center"/>
          </w:tcPr>
          <w:p>
            <w:pPr>
              <w:spacing w:after="0" w:line="240" w:lineRule="auto"/>
              <w:ind w:left="0" w:firstLine="0"/>
              <w:jc w:val="center"/>
              <w:rPr>
                <w:rFonts w:ascii="宋体" w:hAnsi="宋体" w:eastAsia="宋体"/>
                <w:b/>
                <w:color w:val="auto"/>
              </w:rPr>
            </w:pPr>
            <w:r>
              <w:rPr>
                <w:rFonts w:hint="eastAsia" w:ascii="宋体" w:hAnsi="宋体" w:eastAsia="宋体"/>
                <w:b/>
                <w:color w:val="auto"/>
              </w:rPr>
              <w:t>责任部门</w:t>
            </w:r>
          </w:p>
        </w:tc>
        <w:tc>
          <w:tcPr>
            <w:tcW w:w="3942" w:type="dxa"/>
            <w:shd w:val="clear" w:color="auto" w:fill="auto"/>
            <w:vAlign w:val="center"/>
          </w:tcPr>
          <w:p>
            <w:pPr>
              <w:spacing w:after="0" w:line="240" w:lineRule="auto"/>
              <w:ind w:left="0" w:firstLine="0"/>
              <w:rPr>
                <w:rFonts w:ascii="宋体" w:hAnsi="宋体" w:eastAsia="宋体"/>
                <w:b/>
                <w:color w:val="auto"/>
              </w:rPr>
            </w:pPr>
          </w:p>
        </w:tc>
        <w:tc>
          <w:tcPr>
            <w:tcW w:w="1134" w:type="dxa"/>
            <w:vMerge w:val="restart"/>
            <w:shd w:val="clear" w:color="auto" w:fill="auto"/>
            <w:vAlign w:val="center"/>
          </w:tcPr>
          <w:p>
            <w:pPr>
              <w:spacing w:after="0" w:line="320" w:lineRule="exact"/>
              <w:ind w:left="0" w:firstLine="0"/>
              <w:jc w:val="center"/>
              <w:rPr>
                <w:rFonts w:ascii="宋体" w:hAnsi="宋体" w:eastAsia="宋体" w:cs="Times New Roman"/>
                <w:b/>
                <w:color w:val="auto"/>
                <w:sz w:val="21"/>
                <w:szCs w:val="24"/>
              </w:rPr>
            </w:pPr>
            <w:r>
              <w:rPr>
                <w:rFonts w:hint="eastAsia" w:ascii="宋体" w:hAnsi="宋体" w:eastAsia="宋体" w:cs="Times New Roman"/>
                <w:b/>
                <w:color w:val="auto"/>
                <w:sz w:val="21"/>
                <w:szCs w:val="24"/>
              </w:rPr>
              <w:t>应急处置措施</w:t>
            </w:r>
          </w:p>
        </w:tc>
        <w:tc>
          <w:tcPr>
            <w:tcW w:w="5812" w:type="dxa"/>
            <w:vMerge w:val="restart"/>
            <w:shd w:val="clear" w:color="auto" w:fill="auto"/>
            <w:vAlign w:val="center"/>
          </w:tcPr>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1.触电时应迅速切断电源，或者用绝缘物体挑开电线或带电物体，使伤者尽快脱离电源，将伤者移至安全地带；</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2.若触电者失去知觉，应使其平卧，以利呼吸；若触电者呼吸、脉搏停止，必须实施人工呼吸或胸外心脏挤压法抢救；</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3.火灾时，及时疏散至安全地带，按预案进行初期火灾控制。</w:t>
            </w:r>
          </w:p>
          <w:p>
            <w:pPr>
              <w:spacing w:after="0" w:line="320" w:lineRule="exact"/>
              <w:ind w:left="0" w:firstLine="0"/>
              <w:rPr>
                <w:rFonts w:ascii="宋体" w:hAnsi="宋体" w:eastAsia="宋体" w:cs="Times New Roman"/>
                <w:b/>
                <w:color w:val="auto"/>
                <w:sz w:val="21"/>
                <w:szCs w:val="24"/>
              </w:rPr>
            </w:pPr>
            <w:r>
              <w:rPr>
                <w:rFonts w:hint="eastAsia" w:ascii="宋体" w:hAnsi="宋体" w:eastAsia="宋体" w:cs="Times New Roman"/>
                <w:b/>
                <w:color w:val="auto"/>
                <w:sz w:val="21"/>
                <w:szCs w:val="24"/>
              </w:rPr>
              <w:t>4.按预案及信息报告流程向上级报告，拨打120等急救电话。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403" w:type="dxa"/>
            <w:shd w:val="clear" w:color="auto" w:fill="auto"/>
            <w:vAlign w:val="center"/>
          </w:tcPr>
          <w:p>
            <w:pPr>
              <w:spacing w:after="0" w:line="240" w:lineRule="auto"/>
              <w:ind w:left="0" w:firstLine="0"/>
              <w:jc w:val="center"/>
              <w:rPr>
                <w:rFonts w:ascii="宋体" w:hAnsi="宋体" w:eastAsia="宋体"/>
                <w:b/>
                <w:color w:val="auto"/>
              </w:rPr>
            </w:pPr>
            <w:r>
              <w:rPr>
                <w:rFonts w:hint="eastAsia" w:ascii="宋体" w:hAnsi="宋体" w:eastAsia="宋体"/>
                <w:b/>
                <w:color w:val="auto"/>
              </w:rPr>
              <w:t>责任人</w:t>
            </w:r>
          </w:p>
        </w:tc>
        <w:tc>
          <w:tcPr>
            <w:tcW w:w="3942" w:type="dxa"/>
            <w:shd w:val="clear" w:color="auto" w:fill="auto"/>
            <w:vAlign w:val="center"/>
          </w:tcPr>
          <w:p>
            <w:pPr>
              <w:spacing w:after="0" w:line="240" w:lineRule="auto"/>
              <w:ind w:left="0" w:firstLine="0"/>
              <w:rPr>
                <w:rFonts w:ascii="宋体" w:hAnsi="宋体" w:eastAsia="宋体"/>
                <w:b/>
                <w:color w:val="auto"/>
              </w:rPr>
            </w:pPr>
          </w:p>
        </w:tc>
        <w:tc>
          <w:tcPr>
            <w:tcW w:w="1134" w:type="dxa"/>
            <w:vMerge w:val="continue"/>
            <w:shd w:val="clear" w:color="auto" w:fill="auto"/>
            <w:vAlign w:val="center"/>
          </w:tcPr>
          <w:p>
            <w:pPr>
              <w:jc w:val="center"/>
              <w:rPr>
                <w:rFonts w:ascii="宋体" w:hAnsi="宋体" w:eastAsia="宋体"/>
                <w:b/>
                <w:color w:val="auto"/>
              </w:rPr>
            </w:pPr>
          </w:p>
        </w:tc>
        <w:tc>
          <w:tcPr>
            <w:tcW w:w="5812" w:type="dxa"/>
            <w:vMerge w:val="continue"/>
            <w:shd w:val="clear" w:color="auto" w:fill="auto"/>
            <w:vAlign w:val="center"/>
          </w:tcPr>
          <w:p>
            <w:pPr>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403" w:type="dxa"/>
            <w:shd w:val="clear" w:color="auto" w:fill="auto"/>
            <w:vAlign w:val="center"/>
          </w:tcPr>
          <w:p>
            <w:pPr>
              <w:spacing w:after="0" w:line="240" w:lineRule="auto"/>
              <w:ind w:left="0" w:firstLine="0"/>
              <w:jc w:val="center"/>
              <w:rPr>
                <w:rFonts w:ascii="宋体" w:hAnsi="宋体" w:eastAsia="宋体"/>
                <w:b/>
                <w:color w:val="auto"/>
              </w:rPr>
            </w:pPr>
            <w:r>
              <w:rPr>
                <w:rFonts w:hint="eastAsia" w:ascii="宋体" w:hAnsi="宋体" w:eastAsia="宋体"/>
                <w:b/>
                <w:color w:val="auto"/>
              </w:rPr>
              <w:t>责任电话</w:t>
            </w:r>
          </w:p>
        </w:tc>
        <w:tc>
          <w:tcPr>
            <w:tcW w:w="3942" w:type="dxa"/>
            <w:shd w:val="clear" w:color="auto" w:fill="auto"/>
            <w:vAlign w:val="center"/>
          </w:tcPr>
          <w:p>
            <w:pPr>
              <w:spacing w:after="0" w:line="240" w:lineRule="auto"/>
              <w:ind w:left="0" w:firstLine="0"/>
              <w:rPr>
                <w:rFonts w:ascii="宋体" w:hAnsi="宋体" w:eastAsia="宋体"/>
                <w:b/>
                <w:color w:val="auto"/>
              </w:rPr>
            </w:pPr>
          </w:p>
        </w:tc>
        <w:tc>
          <w:tcPr>
            <w:tcW w:w="1134" w:type="dxa"/>
            <w:vMerge w:val="continue"/>
            <w:shd w:val="clear" w:color="auto" w:fill="auto"/>
            <w:vAlign w:val="center"/>
          </w:tcPr>
          <w:p>
            <w:pPr>
              <w:jc w:val="center"/>
              <w:rPr>
                <w:rFonts w:ascii="宋体" w:hAnsi="宋体" w:eastAsia="宋体"/>
                <w:b/>
                <w:color w:val="auto"/>
              </w:rPr>
            </w:pPr>
          </w:p>
        </w:tc>
        <w:tc>
          <w:tcPr>
            <w:tcW w:w="5812" w:type="dxa"/>
            <w:vMerge w:val="continue"/>
            <w:shd w:val="clear" w:color="auto" w:fill="auto"/>
            <w:vAlign w:val="center"/>
          </w:tcPr>
          <w:p>
            <w:pPr>
              <w:rPr>
                <w:rFonts w:ascii="宋体" w:hAnsi="宋体" w:eastAsia="宋体"/>
                <w:color w:val="auto"/>
              </w:rPr>
            </w:pPr>
          </w:p>
        </w:tc>
      </w:tr>
    </w:tbl>
    <w:p>
      <w:pPr>
        <w:widowControl w:val="0"/>
        <w:spacing w:after="0" w:line="360" w:lineRule="auto"/>
        <w:ind w:left="210" w:firstLine="0"/>
        <w:jc w:val="both"/>
        <w:rPr>
          <w:rFonts w:cs="Calibri" w:asciiTheme="minorEastAsia" w:hAnsiTheme="minorEastAsia" w:eastAsiaTheme="minorEastAsia"/>
          <w:color w:val="auto"/>
          <w:szCs w:val="24"/>
        </w:rPr>
        <w:sectPr>
          <w:pgSz w:w="16838" w:h="11906" w:orient="landscape"/>
          <w:pgMar w:top="1531" w:right="1985" w:bottom="1531" w:left="1985" w:header="851" w:footer="1531" w:gutter="0"/>
          <w:cols w:space="720" w:num="1"/>
          <w:docGrid w:type="linesAndChars" w:linePitch="584" w:charSpace="-849"/>
        </w:sect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31" w:name="_Toc42940678"/>
      <w:bookmarkStart w:id="32" w:name="_Toc89069752"/>
      <w:r>
        <w:rPr>
          <w:rFonts w:hint="eastAsia" w:cs="Calibri" w:asciiTheme="minorEastAsia" w:hAnsiTheme="minorEastAsia" w:eastAsiaTheme="minorEastAsia"/>
          <w:b/>
          <w:color w:val="auto"/>
          <w:sz w:val="28"/>
          <w:szCs w:val="24"/>
        </w:rPr>
        <w:t>2.3岗位风险告知卡</w:t>
      </w:r>
      <w:bookmarkEnd w:id="31"/>
      <w:bookmarkEnd w:id="32"/>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指挥调度中心共设置主任、副主任、监控员、机电员等岗位，按照岗位职责建立岗位风险告知卡。</w:t>
      </w:r>
    </w:p>
    <w:p>
      <w:pPr>
        <w:spacing w:after="0" w:line="240" w:lineRule="auto"/>
        <w:ind w:left="0" w:firstLine="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br w:type="page"/>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指挥调度中心风险告知卡</w:t>
      </w:r>
    </w:p>
    <w:tbl>
      <w:tblPr>
        <w:tblStyle w:val="2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1"/>
        <w:gridCol w:w="1905"/>
        <w:gridCol w:w="425"/>
        <w:gridCol w:w="2554"/>
        <w:gridCol w:w="281"/>
        <w:gridCol w:w="3120"/>
        <w:gridCol w:w="849"/>
        <w:gridCol w:w="51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69" w:type="pct"/>
            <w:gridSpan w:val="3"/>
            <w:tcBorders>
              <w:top w:val="single" w:color="auto" w:sz="12" w:space="0"/>
              <w:bottom w:val="single" w:color="auto" w:sz="6"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风险分析点</w:t>
            </w:r>
            <w:r>
              <w:rPr>
                <w:rFonts w:hint="eastAsia" w:ascii="Calibri" w:hAnsi="Calibri" w:eastAsia="宋体" w:cs="Times New Roman"/>
                <w:b/>
                <w:color w:val="auto"/>
                <w:sz w:val="21"/>
              </w:rPr>
              <w:t>：</w:t>
            </w:r>
            <w:r>
              <w:rPr>
                <w:rFonts w:hint="eastAsia" w:ascii="Calibri" w:hAnsi="Calibri" w:eastAsia="宋体" w:cs="Times New Roman"/>
                <w:color w:val="auto"/>
                <w:sz w:val="21"/>
              </w:rPr>
              <w:t>办公楼、收费站、路段、监控中心</w:t>
            </w:r>
          </w:p>
        </w:tc>
        <w:tc>
          <w:tcPr>
            <w:tcW w:w="818" w:type="pct"/>
            <w:tcBorders>
              <w:right w:val="single" w:color="auto" w:sz="4" w:space="0"/>
            </w:tcBorders>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岗位</w:t>
            </w:r>
            <w:r>
              <w:rPr>
                <w:rFonts w:hint="eastAsia" w:ascii="Calibri" w:hAnsi="Calibri" w:eastAsia="宋体" w:cs="Times New Roman"/>
                <w:b/>
                <w:color w:val="auto"/>
                <w:sz w:val="21"/>
              </w:rPr>
              <w:t>：</w:t>
            </w:r>
            <w:r>
              <w:rPr>
                <w:rFonts w:hint="eastAsia" w:ascii="Calibri" w:hAnsi="Calibri" w:eastAsia="宋体" w:cs="Times New Roman"/>
                <w:color w:val="auto"/>
                <w:sz w:val="21"/>
              </w:rPr>
              <w:t>主任、副主任</w:t>
            </w:r>
          </w:p>
        </w:tc>
        <w:tc>
          <w:tcPr>
            <w:tcW w:w="1361" w:type="pct"/>
            <w:gridSpan w:val="3"/>
            <w:tcBorders>
              <w:left w:val="single" w:color="auto" w:sz="4" w:space="0"/>
            </w:tcBorders>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工作描述</w:t>
            </w:r>
            <w:r>
              <w:rPr>
                <w:rFonts w:hint="eastAsia" w:ascii="Calibri" w:hAnsi="Calibri" w:eastAsia="宋体" w:cs="Times New Roman"/>
                <w:b/>
                <w:color w:val="auto"/>
                <w:sz w:val="21"/>
              </w:rPr>
              <w:t>：</w:t>
            </w:r>
            <w:r>
              <w:rPr>
                <w:rFonts w:hint="eastAsia" w:ascii="Calibri" w:hAnsi="Calibri" w:eastAsia="宋体" w:cs="Times New Roman"/>
                <w:color w:val="auto"/>
                <w:sz w:val="21"/>
              </w:rPr>
              <w:t>机关办公、监控、稽查及机电维护管理</w:t>
            </w:r>
          </w:p>
        </w:tc>
        <w:tc>
          <w:tcPr>
            <w:tcW w:w="1652" w:type="pct"/>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设备种类</w:t>
            </w:r>
            <w:r>
              <w:rPr>
                <w:rFonts w:hint="eastAsia" w:ascii="Calibri" w:hAnsi="Calibri" w:eastAsia="宋体" w:cs="Times New Roman"/>
                <w:b/>
                <w:color w:val="auto"/>
                <w:sz w:val="21"/>
              </w:rPr>
              <w:t>：</w:t>
            </w:r>
            <w:r>
              <w:rPr>
                <w:rFonts w:hint="eastAsia" w:ascii="Calibri" w:hAnsi="Calibri" w:eastAsia="宋体" w:cs="Times New Roman"/>
                <w:color w:val="auto"/>
                <w:sz w:val="21"/>
              </w:rPr>
              <w:t>办公设备、车辆、监控稽查设备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hint="eastAsia" w:ascii="Calibri" w:hAnsi="Calibri" w:eastAsia="宋体" w:cs="Times New Roman"/>
                <w:b/>
                <w:color w:val="auto"/>
                <w:sz w:val="21"/>
              </w:rPr>
              <w:t>作业</w:t>
            </w:r>
            <w:r>
              <w:rPr>
                <w:rFonts w:ascii="Calibri" w:hAnsi="Calibri" w:eastAsia="宋体" w:cs="Times New Roman"/>
                <w:b/>
                <w:color w:val="auto"/>
                <w:sz w:val="21"/>
              </w:rPr>
              <w:t>步骤</w:t>
            </w:r>
            <w:r>
              <w:rPr>
                <w:rFonts w:hint="eastAsia" w:ascii="Calibri" w:hAnsi="Calibri" w:eastAsia="宋体" w:cs="Times New Roman"/>
                <w:b/>
                <w:color w:val="auto"/>
                <w:sz w:val="21"/>
              </w:rPr>
              <w:t>/内容</w:t>
            </w:r>
          </w:p>
        </w:tc>
        <w:tc>
          <w:tcPr>
            <w:tcW w:w="610"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b/>
                <w:color w:val="auto"/>
                <w:sz w:val="21"/>
              </w:rPr>
              <w:t>风险事件</w:t>
            </w:r>
          </w:p>
        </w:tc>
        <w:tc>
          <w:tcPr>
            <w:tcW w:w="2043" w:type="pct"/>
            <w:gridSpan w:val="4"/>
            <w:tcBorders>
              <w:left w:val="single" w:color="auto" w:sz="8" w:space="0"/>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hint="eastAsia" w:ascii="Calibri" w:hAnsi="Calibri" w:eastAsia="宋体" w:cs="Times New Roman"/>
                <w:b/>
                <w:color w:val="auto"/>
                <w:sz w:val="21"/>
              </w:rPr>
              <w:t>管控</w:t>
            </w:r>
            <w:r>
              <w:rPr>
                <w:rFonts w:ascii="Calibri" w:hAnsi="Calibri" w:eastAsia="宋体" w:cs="Times New Roman"/>
                <w:b/>
                <w:color w:val="auto"/>
                <w:sz w:val="21"/>
              </w:rPr>
              <w:t>措施</w:t>
            </w:r>
          </w:p>
        </w:tc>
        <w:tc>
          <w:tcPr>
            <w:tcW w:w="1924" w:type="pct"/>
            <w:gridSpan w:val="2"/>
            <w:tcBorders>
              <w:lef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b/>
                <w:color w:val="auto"/>
                <w:sz w:val="21"/>
              </w:rPr>
              <w:t>应急措施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Merge w:val="restart"/>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机关办公、作业检查</w:t>
            </w:r>
          </w:p>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应急处置</w:t>
            </w:r>
          </w:p>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其他。</w:t>
            </w:r>
          </w:p>
          <w:p>
            <w:pPr>
              <w:widowControl w:val="0"/>
              <w:spacing w:beforeLines="20" w:afterLines="10" w:line="280" w:lineRule="exact"/>
              <w:ind w:left="0" w:firstLine="0"/>
              <w:jc w:val="both"/>
              <w:rPr>
                <w:rFonts w:ascii="Calibri" w:hAnsi="Calibri" w:eastAsia="宋体" w:cs="Times New Roman"/>
                <w:color w:val="auto"/>
                <w:sz w:val="21"/>
              </w:rPr>
            </w:pPr>
          </w:p>
        </w:tc>
        <w:tc>
          <w:tcPr>
            <w:tcW w:w="610"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触电</w:t>
            </w:r>
          </w:p>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color w:val="auto"/>
                <w:sz w:val="21"/>
              </w:rPr>
              <w:t>火灾</w:t>
            </w:r>
          </w:p>
        </w:tc>
        <w:tc>
          <w:tcPr>
            <w:tcW w:w="2043" w:type="pct"/>
            <w:gridSpan w:val="4"/>
            <w:tcBorders>
              <w:left w:val="single" w:color="auto" w:sz="8" w:space="0"/>
              <w:righ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按规定使用电器产品，不得私拉乱接、不得使用不合格电气产品、线路及插座；人走电断；不得</w:t>
            </w:r>
            <w:r>
              <w:rPr>
                <w:rFonts w:hint="eastAsia" w:ascii="宋体" w:hAnsi="宋体" w:eastAsia="宋体" w:cs="Times New Roman"/>
                <w:color w:val="auto"/>
                <w:sz w:val="21"/>
                <w:szCs w:val="32"/>
              </w:rPr>
              <w:t>私自存放易燃易爆物品；</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2.非电气作业人员不得检修电气设备；</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3.遵守公司用火、用电安全管理制度。</w:t>
            </w:r>
          </w:p>
        </w:tc>
        <w:tc>
          <w:tcPr>
            <w:tcW w:w="1924" w:type="pct"/>
            <w:gridSpan w:val="2"/>
            <w:tcBorders>
              <w:lef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切断电源，用绝缘物体挑开带电物体；积极抢救伤员：若触电者失去知觉，应使其平卧，以利呼吸；若触电者呼吸、脉搏停止，实施人工呼吸或胸外心脏挤压法抢救；</w:t>
            </w:r>
          </w:p>
          <w:p>
            <w:pPr>
              <w:widowControl w:val="0"/>
              <w:spacing w:beforeLines="20" w:afterLines="10" w:line="28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2.</w:t>
            </w:r>
            <w:r>
              <w:rPr>
                <w:rFonts w:hint="eastAsia" w:ascii="宋体" w:hAnsi="宋体" w:eastAsia="宋体" w:cs="Times New Roman"/>
                <w:color w:val="auto"/>
                <w:sz w:val="21"/>
                <w:szCs w:val="32"/>
              </w:rPr>
              <w:t xml:space="preserve"> 火情较小时使用灭火器灭火，较大时疏散至地面空旷区域</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w:t>
            </w:r>
            <w:r>
              <w:rPr>
                <w:rFonts w:ascii="Calibri" w:hAnsi="Calibri" w:eastAsia="宋体" w:cs="Times New Roman"/>
                <w:color w:val="auto"/>
                <w:sz w:val="21"/>
              </w:rPr>
              <w:t>.</w:t>
            </w:r>
            <w:r>
              <w:rPr>
                <w:rFonts w:hint="eastAsia" w:ascii="Calibri" w:hAnsi="Calibri" w:eastAsia="宋体" w:cs="Times New Roman"/>
                <w:color w:val="auto"/>
                <w:sz w:val="21"/>
              </w:rPr>
              <w:t>及时上报并拨打救援电话。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Merge w:val="continue"/>
            <w:vAlign w:val="center"/>
          </w:tcPr>
          <w:p>
            <w:pPr>
              <w:widowControl w:val="0"/>
              <w:spacing w:beforeLines="20" w:afterLines="10" w:line="280" w:lineRule="exact"/>
              <w:ind w:left="0" w:firstLine="0"/>
              <w:jc w:val="center"/>
              <w:rPr>
                <w:rFonts w:ascii="Calibri" w:hAnsi="Calibri" w:eastAsia="宋体" w:cs="Times New Roman"/>
                <w:color w:val="auto"/>
                <w:sz w:val="21"/>
              </w:rPr>
            </w:pPr>
          </w:p>
        </w:tc>
        <w:tc>
          <w:tcPr>
            <w:tcW w:w="610"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车辆伤害</w:t>
            </w:r>
          </w:p>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高处坠落</w:t>
            </w:r>
          </w:p>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物体打击</w:t>
            </w:r>
          </w:p>
          <w:p>
            <w:pPr>
              <w:widowControl w:val="0"/>
              <w:spacing w:beforeLines="20" w:afterLines="10" w:line="280" w:lineRule="exact"/>
              <w:ind w:left="0" w:firstLine="0"/>
              <w:jc w:val="center"/>
              <w:rPr>
                <w:rFonts w:ascii="Calibri" w:hAnsi="Calibri" w:eastAsia="宋体" w:cs="Times New Roman"/>
                <w:b/>
                <w:color w:val="auto"/>
                <w:sz w:val="21"/>
              </w:rPr>
            </w:pPr>
            <w:r>
              <w:rPr>
                <w:rFonts w:hint="eastAsia" w:ascii="Calibri" w:hAnsi="Calibri" w:eastAsia="宋体" w:cs="Times New Roman"/>
                <w:color w:val="auto"/>
                <w:sz w:val="21"/>
              </w:rPr>
              <w:t>其他</w:t>
            </w:r>
          </w:p>
        </w:tc>
        <w:tc>
          <w:tcPr>
            <w:tcW w:w="2043" w:type="pct"/>
            <w:gridSpan w:val="4"/>
            <w:tcBorders>
              <w:left w:val="single" w:color="auto" w:sz="8" w:space="0"/>
              <w:righ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上路时按规定穿戴反光服，严禁酒后上岗，注意观察来往车辆；</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2．机电作业时按规定设置作业控制区，不得随意停车及横穿车道；</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3.遵守道路交通安全法规和公司安全管理制度。</w:t>
            </w:r>
          </w:p>
        </w:tc>
        <w:tc>
          <w:tcPr>
            <w:tcW w:w="1924" w:type="pct"/>
            <w:gridSpan w:val="2"/>
            <w:tcBorders>
              <w:lef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1.视情况转移伤员或设置警戒区；2.积极抢救伤员：如受伤人员出现骨折、休克或昏迷状况，应采取临时包扎止血措施；若受伤者呼吸、脉搏停止，应实施人工呼吸或胸外心脏挤压法抢救；3.组织或参与现场救援、交通组织；</w:t>
            </w:r>
            <w:r>
              <w:rPr>
                <w:rFonts w:ascii="Calibri" w:hAnsi="Calibri" w:eastAsia="宋体" w:cs="Times New Roman"/>
                <w:color w:val="auto"/>
                <w:sz w:val="21"/>
              </w:rPr>
              <w:t>4.</w:t>
            </w:r>
            <w:r>
              <w:rPr>
                <w:rFonts w:hint="eastAsia" w:ascii="Calibri" w:hAnsi="Calibri" w:eastAsia="宋体" w:cs="Times New Roman"/>
                <w:color w:val="auto"/>
                <w:sz w:val="21"/>
              </w:rPr>
              <w:t>及时上报并拨打救援电话。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Merge w:val="continue"/>
            <w:vAlign w:val="center"/>
          </w:tcPr>
          <w:p>
            <w:pPr>
              <w:widowControl w:val="0"/>
              <w:spacing w:beforeLines="20" w:afterLines="10" w:line="280" w:lineRule="exact"/>
              <w:ind w:left="0" w:firstLine="0"/>
              <w:jc w:val="center"/>
              <w:rPr>
                <w:rFonts w:ascii="Calibri" w:hAnsi="Calibri" w:eastAsia="宋体" w:cs="Times New Roman"/>
                <w:color w:val="auto"/>
                <w:sz w:val="21"/>
              </w:rPr>
            </w:pPr>
          </w:p>
        </w:tc>
        <w:tc>
          <w:tcPr>
            <w:tcW w:w="610"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财产损失</w:t>
            </w:r>
            <w:r>
              <w:rPr>
                <w:rFonts w:hint="eastAsia" w:ascii="Calibri" w:hAnsi="Calibri" w:eastAsia="宋体" w:cs="Times New Roman"/>
                <w:color w:val="auto"/>
                <w:sz w:val="21"/>
              </w:rPr>
              <w:t>/事故扩大</w:t>
            </w:r>
          </w:p>
        </w:tc>
        <w:tc>
          <w:tcPr>
            <w:tcW w:w="2043" w:type="pct"/>
            <w:gridSpan w:val="4"/>
            <w:tcBorders>
              <w:left w:val="single" w:color="auto" w:sz="8" w:space="0"/>
              <w:right w:val="single" w:color="auto" w:sz="8" w:space="0"/>
            </w:tcBorders>
            <w:vAlign w:val="center"/>
          </w:tcPr>
          <w:p>
            <w:pPr>
              <w:widowControl w:val="0"/>
              <w:spacing w:beforeLines="20" w:afterLines="10" w:line="280" w:lineRule="exact"/>
              <w:ind w:left="0" w:firstLine="0"/>
              <w:rPr>
                <w:rFonts w:ascii="宋体" w:hAnsi="宋体" w:eastAsia="宋体" w:cs="Times New Roman"/>
                <w:color w:val="auto"/>
                <w:sz w:val="21"/>
                <w:szCs w:val="32"/>
              </w:rPr>
            </w:pPr>
            <w:r>
              <w:rPr>
                <w:rFonts w:hint="eastAsia" w:ascii="宋体" w:hAnsi="宋体" w:eastAsia="宋体" w:cs="Times New Roman"/>
                <w:color w:val="auto"/>
                <w:sz w:val="21"/>
                <w:szCs w:val="32"/>
              </w:rPr>
              <w:t>1按规定组织对机电设备的巡视、检查和维修、升级改造；</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2.组织监控、稽查人员开展安全教育和业务培训。</w:t>
            </w:r>
          </w:p>
        </w:tc>
        <w:tc>
          <w:tcPr>
            <w:tcW w:w="1924" w:type="pct"/>
            <w:gridSpan w:val="2"/>
            <w:tcBorders>
              <w:left w:val="single" w:color="auto" w:sz="8" w:space="0"/>
            </w:tcBorders>
            <w:vAlign w:val="center"/>
          </w:tcPr>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Calibri" w:hAnsi="Calibri" w:eastAsia="宋体" w:cs="Times New Roman"/>
                <w:color w:val="auto"/>
                <w:sz w:val="21"/>
              </w:rPr>
              <w:t>1.</w:t>
            </w:r>
            <w:r>
              <w:rPr>
                <w:rFonts w:hint="eastAsia" w:ascii="宋体" w:hAnsi="宋体" w:eastAsia="宋体" w:cs="Times New Roman"/>
                <w:color w:val="auto"/>
                <w:sz w:val="21"/>
                <w:szCs w:val="32"/>
              </w:rPr>
              <w:t xml:space="preserve"> 发现机电设备故障及时组织维修、启动应急预案，并按规定上报。</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2.突发事件发生后及时上报，组织信息发布、应急救援工作。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077" w:type="pct"/>
            <w:gridSpan w:val="5"/>
            <w:tcBorders>
              <w:top w:val="single" w:color="auto" w:sz="12" w:space="0"/>
              <w:bottom w:val="single" w:color="auto" w:sz="12"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值班电话</w:t>
            </w:r>
            <w:r>
              <w:rPr>
                <w:rFonts w:hint="eastAsia" w:ascii="Calibri" w:hAnsi="Calibri" w:eastAsia="宋体" w:cs="Times New Roman"/>
                <w:b/>
                <w:color w:val="auto"/>
                <w:sz w:val="21"/>
              </w:rPr>
              <w:t>：</w:t>
            </w:r>
          </w:p>
        </w:tc>
        <w:tc>
          <w:tcPr>
            <w:tcW w:w="2923" w:type="pct"/>
            <w:gridSpan w:val="3"/>
            <w:tcBorders>
              <w:top w:val="single" w:color="auto" w:sz="12" w:space="0"/>
              <w:bottom w:val="single" w:color="auto" w:sz="12"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hint="eastAsia" w:ascii="Calibri" w:hAnsi="Calibri" w:eastAsia="宋体" w:cs="Times New Roman"/>
                <w:b/>
                <w:color w:val="auto"/>
                <w:sz w:val="21"/>
              </w:rPr>
              <w:t>救援</w:t>
            </w:r>
            <w:r>
              <w:rPr>
                <w:rFonts w:ascii="Calibri" w:hAnsi="Calibri" w:eastAsia="宋体" w:cs="Times New Roman"/>
                <w:b/>
                <w:color w:val="auto"/>
                <w:sz w:val="21"/>
              </w:rPr>
              <w:t>电话</w:t>
            </w:r>
            <w:r>
              <w:rPr>
                <w:rFonts w:hint="eastAsia" w:ascii="Calibri" w:hAnsi="Calibri" w:eastAsia="宋体" w:cs="Times New Roman"/>
                <w:b/>
                <w:color w:val="auto"/>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00" w:type="pct"/>
            <w:gridSpan w:val="8"/>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作业小组成员</w:t>
            </w:r>
            <w:r>
              <w:rPr>
                <w:rFonts w:hint="eastAsia" w:ascii="Calibri" w:hAnsi="Calibri" w:eastAsia="宋体" w:cs="Times New Roman"/>
                <w:b/>
                <w:color w:val="auto"/>
                <w:sz w:val="21"/>
              </w:rPr>
              <w:t>：</w:t>
            </w:r>
          </w:p>
        </w:tc>
      </w:tr>
    </w:tbl>
    <w:p>
      <w:pPr>
        <w:spacing w:after="0" w:line="240" w:lineRule="auto"/>
        <w:ind w:left="0" w:firstLine="0"/>
        <w:jc w:val="center"/>
        <w:rPr>
          <w:rFonts w:ascii="华文中宋" w:hAnsi="华文中宋" w:eastAsia="华文中宋" w:cs="Times New Roman"/>
          <w:color w:val="auto"/>
          <w:sz w:val="28"/>
        </w:rPr>
      </w:pPr>
      <w:r>
        <w:rPr>
          <w:rFonts w:ascii="华文中宋" w:hAnsi="华文中宋" w:eastAsia="华文中宋" w:cs="Times New Roman"/>
          <w:color w:val="auto"/>
          <w:sz w:val="28"/>
        </w:rPr>
        <w:br w:type="page"/>
      </w:r>
      <w:r>
        <w:rPr>
          <w:rFonts w:hint="eastAsia" w:ascii="华文中宋" w:hAnsi="华文中宋" w:eastAsia="华文中宋" w:cs="Times New Roman"/>
          <w:color w:val="auto"/>
          <w:sz w:val="28"/>
        </w:rPr>
        <w:t>指挥调度中心风险告知卡</w:t>
      </w:r>
    </w:p>
    <w:tbl>
      <w:tblPr>
        <w:tblStyle w:val="2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5"/>
        <w:gridCol w:w="1914"/>
        <w:gridCol w:w="2551"/>
        <w:gridCol w:w="565"/>
        <w:gridCol w:w="3401"/>
        <w:gridCol w:w="853"/>
        <w:gridCol w:w="48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79" w:type="pct"/>
            <w:gridSpan w:val="2"/>
            <w:tcBorders>
              <w:top w:val="single" w:color="auto" w:sz="12" w:space="0"/>
              <w:bottom w:val="single" w:color="auto" w:sz="6"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风险分析点</w:t>
            </w:r>
            <w:r>
              <w:rPr>
                <w:rFonts w:hint="eastAsia" w:ascii="Calibri" w:hAnsi="Calibri" w:eastAsia="宋体" w:cs="Times New Roman"/>
                <w:b/>
                <w:color w:val="auto"/>
                <w:sz w:val="21"/>
              </w:rPr>
              <w:t>：</w:t>
            </w:r>
            <w:r>
              <w:rPr>
                <w:rFonts w:hint="eastAsia" w:ascii="Calibri" w:hAnsi="Calibri" w:eastAsia="宋体" w:cs="Times New Roman"/>
                <w:color w:val="auto"/>
                <w:sz w:val="21"/>
              </w:rPr>
              <w:t>监控中心</w:t>
            </w:r>
          </w:p>
        </w:tc>
        <w:tc>
          <w:tcPr>
            <w:tcW w:w="817" w:type="pct"/>
            <w:tcBorders>
              <w:right w:val="single" w:color="auto" w:sz="4" w:space="0"/>
            </w:tcBorders>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岗位</w:t>
            </w:r>
            <w:r>
              <w:rPr>
                <w:rFonts w:hint="eastAsia" w:ascii="Calibri" w:hAnsi="Calibri" w:eastAsia="宋体" w:cs="Times New Roman"/>
                <w:b/>
                <w:color w:val="auto"/>
                <w:sz w:val="21"/>
              </w:rPr>
              <w:t>：</w:t>
            </w:r>
            <w:r>
              <w:rPr>
                <w:rFonts w:hint="eastAsia" w:ascii="Calibri" w:hAnsi="Calibri" w:eastAsia="宋体" w:cs="Times New Roman"/>
                <w:color w:val="auto"/>
                <w:sz w:val="21"/>
              </w:rPr>
              <w:t>监控岗</w:t>
            </w:r>
          </w:p>
        </w:tc>
        <w:tc>
          <w:tcPr>
            <w:tcW w:w="1543" w:type="pct"/>
            <w:gridSpan w:val="3"/>
            <w:tcBorders>
              <w:left w:val="single" w:color="auto" w:sz="4" w:space="0"/>
            </w:tcBorders>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工作描述</w:t>
            </w:r>
            <w:r>
              <w:rPr>
                <w:rFonts w:hint="eastAsia" w:ascii="Calibri" w:hAnsi="Calibri" w:eastAsia="宋体" w:cs="Times New Roman"/>
                <w:b/>
                <w:color w:val="auto"/>
                <w:sz w:val="21"/>
              </w:rPr>
              <w:t>：</w:t>
            </w:r>
            <w:r>
              <w:rPr>
                <w:rFonts w:hint="eastAsia" w:ascii="Calibri" w:hAnsi="Calibri" w:eastAsia="宋体" w:cs="Times New Roman"/>
                <w:color w:val="auto"/>
                <w:sz w:val="21"/>
              </w:rPr>
              <w:t>监控、突发事件处置</w:t>
            </w:r>
          </w:p>
        </w:tc>
        <w:tc>
          <w:tcPr>
            <w:tcW w:w="1561" w:type="pct"/>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设备种类</w:t>
            </w:r>
            <w:r>
              <w:rPr>
                <w:rFonts w:hint="eastAsia" w:ascii="Calibri" w:hAnsi="Calibri" w:eastAsia="宋体" w:cs="Times New Roman"/>
                <w:b/>
                <w:color w:val="auto"/>
                <w:sz w:val="21"/>
              </w:rPr>
              <w:t>：</w:t>
            </w:r>
            <w:r>
              <w:rPr>
                <w:rFonts w:hint="eastAsia" w:ascii="Calibri" w:hAnsi="Calibri" w:eastAsia="宋体" w:cs="Times New Roman"/>
                <w:color w:val="auto"/>
                <w:sz w:val="21"/>
              </w:rPr>
              <w:t>监控设备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6" w:type="pct"/>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hint="eastAsia" w:ascii="Calibri" w:hAnsi="Calibri" w:eastAsia="宋体" w:cs="Times New Roman"/>
                <w:b/>
                <w:color w:val="auto"/>
                <w:sz w:val="21"/>
              </w:rPr>
              <w:t>作业</w:t>
            </w:r>
            <w:r>
              <w:rPr>
                <w:rFonts w:ascii="Calibri" w:hAnsi="Calibri" w:eastAsia="宋体" w:cs="Times New Roman"/>
                <w:b/>
                <w:color w:val="auto"/>
                <w:sz w:val="21"/>
              </w:rPr>
              <w:t>步骤</w:t>
            </w:r>
            <w:r>
              <w:rPr>
                <w:rFonts w:hint="eastAsia" w:ascii="Calibri" w:hAnsi="Calibri" w:eastAsia="宋体" w:cs="Times New Roman"/>
                <w:b/>
                <w:color w:val="auto"/>
                <w:sz w:val="21"/>
              </w:rPr>
              <w:t>/内容</w:t>
            </w:r>
          </w:p>
        </w:tc>
        <w:tc>
          <w:tcPr>
            <w:tcW w:w="613"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b/>
                <w:color w:val="auto"/>
                <w:sz w:val="21"/>
              </w:rPr>
              <w:t>风险事件</w:t>
            </w:r>
          </w:p>
        </w:tc>
        <w:tc>
          <w:tcPr>
            <w:tcW w:w="2087" w:type="pct"/>
            <w:gridSpan w:val="3"/>
            <w:tcBorders>
              <w:left w:val="single" w:color="auto" w:sz="8" w:space="0"/>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hint="eastAsia" w:ascii="Calibri" w:hAnsi="Calibri" w:eastAsia="宋体" w:cs="Times New Roman"/>
                <w:b/>
                <w:color w:val="auto"/>
                <w:sz w:val="21"/>
              </w:rPr>
              <w:t>管控</w:t>
            </w:r>
            <w:r>
              <w:rPr>
                <w:rFonts w:ascii="Calibri" w:hAnsi="Calibri" w:eastAsia="宋体" w:cs="Times New Roman"/>
                <w:b/>
                <w:color w:val="auto"/>
                <w:sz w:val="21"/>
              </w:rPr>
              <w:t>措施</w:t>
            </w:r>
          </w:p>
        </w:tc>
        <w:tc>
          <w:tcPr>
            <w:tcW w:w="1834" w:type="pct"/>
            <w:gridSpan w:val="2"/>
            <w:tcBorders>
              <w:lef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b/>
                <w:color w:val="auto"/>
                <w:sz w:val="21"/>
              </w:rPr>
              <w:t>应急措施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6" w:type="pct"/>
            <w:vMerge w:val="restart"/>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监控作业</w:t>
            </w:r>
          </w:p>
          <w:p>
            <w:pPr>
              <w:widowControl w:val="0"/>
              <w:spacing w:beforeLines="20" w:afterLines="1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道路突发事件应急处置</w:t>
            </w:r>
          </w:p>
        </w:tc>
        <w:tc>
          <w:tcPr>
            <w:tcW w:w="613"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触电</w:t>
            </w:r>
          </w:p>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color w:val="auto"/>
                <w:sz w:val="21"/>
              </w:rPr>
              <w:t>火灾</w:t>
            </w:r>
          </w:p>
        </w:tc>
        <w:tc>
          <w:tcPr>
            <w:tcW w:w="2087" w:type="pct"/>
            <w:gridSpan w:val="3"/>
            <w:tcBorders>
              <w:left w:val="single" w:color="auto" w:sz="8" w:space="0"/>
              <w:righ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按规定使用电器产品，不得私拉乱接、不得使用不合格电气产品、线路及插座；人走电断；不得</w:t>
            </w:r>
            <w:r>
              <w:rPr>
                <w:rFonts w:hint="eastAsia" w:ascii="宋体" w:hAnsi="宋体" w:eastAsia="宋体" w:cs="Times New Roman"/>
                <w:color w:val="auto"/>
                <w:sz w:val="21"/>
                <w:szCs w:val="32"/>
              </w:rPr>
              <w:t>私自存放易燃易爆物品；</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2.非电气作业人员不得检修电气设备；</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3.遵守公司用火、用电安全管理制度。</w:t>
            </w:r>
          </w:p>
        </w:tc>
        <w:tc>
          <w:tcPr>
            <w:tcW w:w="1834" w:type="pct"/>
            <w:gridSpan w:val="2"/>
            <w:tcBorders>
              <w:lef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切断电源，用绝缘物体挑开带电物体；积极抢救伤员：若触电者失去知觉，应使其平卧，以利呼吸；若触电者呼吸、脉搏停止，实施人工呼吸或胸外心脏挤压法抢救；</w:t>
            </w:r>
          </w:p>
          <w:p>
            <w:pPr>
              <w:widowControl w:val="0"/>
              <w:spacing w:beforeLines="20" w:afterLines="10" w:line="28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2.</w:t>
            </w:r>
            <w:r>
              <w:rPr>
                <w:rFonts w:hint="eastAsia" w:ascii="宋体" w:hAnsi="宋体" w:eastAsia="宋体" w:cs="Times New Roman"/>
                <w:color w:val="auto"/>
                <w:sz w:val="21"/>
                <w:szCs w:val="32"/>
              </w:rPr>
              <w:t xml:space="preserve"> 火情较小时使用灭火器灭火，较大时疏散至地面空旷区域</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w:t>
            </w:r>
            <w:r>
              <w:rPr>
                <w:rFonts w:ascii="Calibri" w:hAnsi="Calibri" w:eastAsia="宋体" w:cs="Times New Roman"/>
                <w:color w:val="auto"/>
                <w:sz w:val="21"/>
              </w:rPr>
              <w:t>.</w:t>
            </w:r>
            <w:r>
              <w:rPr>
                <w:rFonts w:hint="eastAsia" w:ascii="Calibri" w:hAnsi="Calibri" w:eastAsia="宋体" w:cs="Times New Roman"/>
                <w:color w:val="auto"/>
                <w:sz w:val="21"/>
              </w:rPr>
              <w:t>及时上报并拨打救援电话。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6" w:hRule="atLeast"/>
        </w:trPr>
        <w:tc>
          <w:tcPr>
            <w:tcW w:w="466" w:type="pct"/>
            <w:vMerge w:val="continue"/>
            <w:vAlign w:val="center"/>
          </w:tcPr>
          <w:p>
            <w:pPr>
              <w:widowControl w:val="0"/>
              <w:spacing w:beforeLines="20" w:afterLines="10" w:line="280" w:lineRule="exact"/>
              <w:ind w:left="0" w:firstLine="0"/>
              <w:jc w:val="center"/>
              <w:rPr>
                <w:rFonts w:ascii="Calibri" w:hAnsi="Calibri" w:eastAsia="宋体" w:cs="Times New Roman"/>
                <w:color w:val="auto"/>
                <w:sz w:val="21"/>
              </w:rPr>
            </w:pPr>
          </w:p>
        </w:tc>
        <w:tc>
          <w:tcPr>
            <w:tcW w:w="613"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财产损失</w:t>
            </w:r>
            <w:r>
              <w:rPr>
                <w:rFonts w:hint="eastAsia" w:ascii="Calibri" w:hAnsi="Calibri" w:eastAsia="宋体" w:cs="Times New Roman"/>
                <w:color w:val="auto"/>
                <w:sz w:val="21"/>
              </w:rPr>
              <w:t>/事故扩大</w:t>
            </w:r>
          </w:p>
        </w:tc>
        <w:tc>
          <w:tcPr>
            <w:tcW w:w="2087" w:type="pct"/>
            <w:gridSpan w:val="3"/>
            <w:tcBorders>
              <w:left w:val="single" w:color="auto" w:sz="8" w:space="0"/>
              <w:righ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1.按规定巡视站区、路段、票证室、岗亭等；</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2.按上级要求及时准确发布道路信息；</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3.突发事件发生后，按规定及时上报，认真准确记录；</w:t>
            </w:r>
          </w:p>
          <w:p>
            <w:pPr>
              <w:widowControl w:val="0"/>
              <w:spacing w:beforeLines="20" w:afterLines="10" w:line="280" w:lineRule="exact"/>
              <w:ind w:left="0" w:firstLine="0"/>
              <w:rPr>
                <w:rFonts w:ascii="宋体" w:hAnsi="宋体" w:eastAsia="宋体" w:cs="Times New Roman"/>
                <w:color w:val="auto"/>
                <w:sz w:val="21"/>
                <w:szCs w:val="32"/>
              </w:rPr>
            </w:pPr>
            <w:r>
              <w:rPr>
                <w:rFonts w:hint="eastAsia" w:ascii="Calibri" w:hAnsi="Calibri" w:eastAsia="宋体" w:cs="Times New Roman"/>
                <w:color w:val="auto"/>
                <w:sz w:val="21"/>
              </w:rPr>
              <w:t>4.加强业务学习。</w:t>
            </w:r>
          </w:p>
        </w:tc>
        <w:tc>
          <w:tcPr>
            <w:tcW w:w="1834" w:type="pct"/>
            <w:gridSpan w:val="2"/>
            <w:tcBorders>
              <w:lef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1.按上级要求及时准确发布道路信息；</w:t>
            </w:r>
          </w:p>
          <w:p>
            <w:pPr>
              <w:widowControl w:val="0"/>
              <w:spacing w:beforeLines="20" w:afterLines="10" w:line="280" w:lineRule="exact"/>
              <w:ind w:left="0" w:firstLine="0"/>
              <w:rPr>
                <w:rFonts w:ascii="宋体" w:hAnsi="宋体" w:eastAsia="宋体" w:cs="Times New Roman"/>
                <w:color w:val="auto"/>
                <w:sz w:val="21"/>
                <w:szCs w:val="32"/>
              </w:rPr>
            </w:pPr>
            <w:r>
              <w:rPr>
                <w:rFonts w:hint="eastAsia" w:ascii="Calibri" w:hAnsi="Calibri" w:eastAsia="宋体" w:cs="Times New Roman"/>
                <w:color w:val="auto"/>
                <w:sz w:val="21"/>
              </w:rPr>
              <w:t>2.突发事件发生后，按规定及时上报，认真准确记录。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077" w:type="pct"/>
            <w:gridSpan w:val="4"/>
            <w:tcBorders>
              <w:top w:val="single" w:color="auto" w:sz="12" w:space="0"/>
              <w:bottom w:val="single" w:color="auto" w:sz="12"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值班电话</w:t>
            </w:r>
            <w:r>
              <w:rPr>
                <w:rFonts w:hint="eastAsia" w:ascii="Calibri" w:hAnsi="Calibri" w:eastAsia="宋体" w:cs="Times New Roman"/>
                <w:b/>
                <w:color w:val="auto"/>
                <w:sz w:val="21"/>
              </w:rPr>
              <w:t>：</w:t>
            </w:r>
          </w:p>
        </w:tc>
        <w:tc>
          <w:tcPr>
            <w:tcW w:w="2923" w:type="pct"/>
            <w:gridSpan w:val="3"/>
            <w:tcBorders>
              <w:top w:val="single" w:color="auto" w:sz="12" w:space="0"/>
              <w:bottom w:val="single" w:color="auto" w:sz="12"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hint="eastAsia" w:ascii="Calibri" w:hAnsi="Calibri" w:eastAsia="宋体" w:cs="Times New Roman"/>
                <w:b/>
                <w:color w:val="auto"/>
                <w:sz w:val="21"/>
              </w:rPr>
              <w:t>救援</w:t>
            </w:r>
            <w:r>
              <w:rPr>
                <w:rFonts w:ascii="Calibri" w:hAnsi="Calibri" w:eastAsia="宋体" w:cs="Times New Roman"/>
                <w:b/>
                <w:color w:val="auto"/>
                <w:sz w:val="21"/>
              </w:rPr>
              <w:t>电话</w:t>
            </w:r>
            <w:r>
              <w:rPr>
                <w:rFonts w:hint="eastAsia" w:ascii="Calibri" w:hAnsi="Calibri" w:eastAsia="宋体" w:cs="Times New Roman"/>
                <w:b/>
                <w:color w:val="auto"/>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00" w:type="pct"/>
            <w:gridSpan w:val="7"/>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作业小组成员签名</w:t>
            </w:r>
            <w:r>
              <w:rPr>
                <w:rFonts w:hint="eastAsia" w:ascii="Calibri" w:hAnsi="Calibri" w:eastAsia="宋体" w:cs="Times New Roman"/>
                <w:b/>
                <w:color w:val="auto"/>
                <w:sz w:val="21"/>
              </w:rPr>
              <w:t>：</w:t>
            </w:r>
          </w:p>
        </w:tc>
      </w:tr>
    </w:tbl>
    <w:p>
      <w:pPr>
        <w:spacing w:after="0" w:line="240" w:lineRule="auto"/>
        <w:ind w:left="0" w:firstLine="0"/>
        <w:rPr>
          <w:rFonts w:ascii="华文中宋" w:hAnsi="华文中宋" w:eastAsia="华文中宋" w:cs="Times New Roman"/>
          <w:color w:val="auto"/>
          <w:sz w:val="28"/>
        </w:rPr>
      </w:pPr>
    </w:p>
    <w:p>
      <w:pPr>
        <w:widowControl w:val="0"/>
        <w:spacing w:after="0" w:line="240" w:lineRule="auto"/>
        <w:ind w:left="0" w:firstLine="0"/>
        <w:jc w:val="center"/>
        <w:rPr>
          <w:rFonts w:ascii="华文中宋" w:hAnsi="华文中宋" w:eastAsia="华文中宋" w:cs="Times New Roman"/>
          <w:color w:val="auto"/>
          <w:sz w:val="28"/>
        </w:rPr>
      </w:pPr>
      <w:r>
        <w:rPr>
          <w:rFonts w:ascii="华文中宋" w:hAnsi="华文中宋" w:eastAsia="华文中宋" w:cs="Times New Roman"/>
          <w:color w:val="auto"/>
          <w:sz w:val="28"/>
        </w:rPr>
        <w:br w:type="page"/>
      </w:r>
      <w:r>
        <w:rPr>
          <w:rFonts w:hint="eastAsia" w:ascii="华文中宋" w:hAnsi="华文中宋" w:eastAsia="华文中宋" w:cs="Times New Roman"/>
          <w:color w:val="auto"/>
          <w:sz w:val="28"/>
        </w:rPr>
        <w:t>指挥调度中心风险告知卡</w:t>
      </w:r>
    </w:p>
    <w:tbl>
      <w:tblPr>
        <w:tblStyle w:val="2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1"/>
        <w:gridCol w:w="1905"/>
        <w:gridCol w:w="425"/>
        <w:gridCol w:w="2836"/>
        <w:gridCol w:w="284"/>
        <w:gridCol w:w="2551"/>
        <w:gridCol w:w="1558"/>
        <w:gridCol w:w="47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69" w:type="pct"/>
            <w:gridSpan w:val="3"/>
            <w:tcBorders>
              <w:top w:val="single" w:color="auto" w:sz="12" w:space="0"/>
              <w:bottom w:val="single" w:color="auto" w:sz="6" w:space="0"/>
            </w:tcBorders>
            <w:shd w:val="clear" w:color="auto" w:fill="F1F1F1" w:themeFill="background1" w:themeFillShade="F2"/>
            <w:vAlign w:val="center"/>
          </w:tcPr>
          <w:p>
            <w:pPr>
              <w:widowControl w:val="0"/>
              <w:spacing w:beforeLines="20" w:afterLines="2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风险分析点</w:t>
            </w:r>
            <w:r>
              <w:rPr>
                <w:rFonts w:hint="eastAsia" w:ascii="Calibri" w:hAnsi="Calibri" w:eastAsia="宋体" w:cs="Times New Roman"/>
                <w:b/>
                <w:color w:val="auto"/>
                <w:sz w:val="21"/>
              </w:rPr>
              <w:t>：</w:t>
            </w:r>
            <w:r>
              <w:rPr>
                <w:rFonts w:hint="eastAsia" w:ascii="Calibri" w:hAnsi="Calibri" w:eastAsia="宋体" w:cs="Times New Roman"/>
                <w:color w:val="auto"/>
                <w:sz w:val="21"/>
              </w:rPr>
              <w:t>监控中心、站区及路段</w:t>
            </w:r>
          </w:p>
        </w:tc>
        <w:tc>
          <w:tcPr>
            <w:tcW w:w="999" w:type="pct"/>
            <w:gridSpan w:val="2"/>
            <w:tcBorders>
              <w:right w:val="single" w:color="auto" w:sz="4" w:space="0"/>
            </w:tcBorders>
            <w:vAlign w:val="center"/>
          </w:tcPr>
          <w:p>
            <w:pPr>
              <w:widowControl w:val="0"/>
              <w:spacing w:beforeLines="20" w:afterLines="2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岗位</w:t>
            </w:r>
            <w:r>
              <w:rPr>
                <w:rFonts w:hint="eastAsia" w:ascii="Calibri" w:hAnsi="Calibri" w:eastAsia="宋体" w:cs="Times New Roman"/>
                <w:b/>
                <w:color w:val="auto"/>
                <w:sz w:val="21"/>
              </w:rPr>
              <w:t>：</w:t>
            </w:r>
            <w:r>
              <w:rPr>
                <w:rFonts w:hint="eastAsia" w:ascii="Calibri" w:hAnsi="Calibri" w:eastAsia="宋体" w:cs="Times New Roman"/>
                <w:color w:val="auto"/>
                <w:sz w:val="21"/>
              </w:rPr>
              <w:t>稽查岗</w:t>
            </w:r>
          </w:p>
        </w:tc>
        <w:tc>
          <w:tcPr>
            <w:tcW w:w="1316" w:type="pct"/>
            <w:gridSpan w:val="2"/>
            <w:tcBorders>
              <w:left w:val="single" w:color="auto" w:sz="4" w:space="0"/>
            </w:tcBorders>
            <w:vAlign w:val="center"/>
          </w:tcPr>
          <w:p>
            <w:pPr>
              <w:widowControl w:val="0"/>
              <w:spacing w:beforeLines="20" w:afterLines="2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工作描述</w:t>
            </w:r>
            <w:r>
              <w:rPr>
                <w:rFonts w:hint="eastAsia" w:ascii="Calibri" w:hAnsi="Calibri" w:eastAsia="宋体" w:cs="Times New Roman"/>
                <w:b/>
                <w:color w:val="auto"/>
                <w:sz w:val="21"/>
              </w:rPr>
              <w:t>：</w:t>
            </w:r>
            <w:r>
              <w:rPr>
                <w:rFonts w:hint="eastAsia" w:ascii="Calibri" w:hAnsi="Calibri" w:eastAsia="宋体" w:cs="Times New Roman"/>
                <w:color w:val="auto"/>
                <w:sz w:val="21"/>
              </w:rPr>
              <w:t>机关办公、道路稽查作业</w:t>
            </w:r>
          </w:p>
        </w:tc>
        <w:tc>
          <w:tcPr>
            <w:tcW w:w="1516" w:type="pct"/>
            <w:vAlign w:val="center"/>
          </w:tcPr>
          <w:p>
            <w:pPr>
              <w:widowControl w:val="0"/>
              <w:spacing w:beforeLines="20" w:afterLines="2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设备种类</w:t>
            </w:r>
            <w:r>
              <w:rPr>
                <w:rFonts w:hint="eastAsia" w:ascii="Calibri" w:hAnsi="Calibri" w:eastAsia="宋体" w:cs="Times New Roman"/>
                <w:b/>
                <w:color w:val="auto"/>
                <w:sz w:val="21"/>
              </w:rPr>
              <w:t>：</w:t>
            </w:r>
            <w:r>
              <w:rPr>
                <w:rFonts w:hint="eastAsia" w:ascii="Calibri" w:hAnsi="Calibri" w:eastAsia="宋体" w:cs="Times New Roman"/>
                <w:color w:val="auto"/>
                <w:sz w:val="21"/>
              </w:rPr>
              <w:t>办公设备、稽查设备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Align w:val="center"/>
          </w:tcPr>
          <w:p>
            <w:pPr>
              <w:widowControl w:val="0"/>
              <w:spacing w:beforeLines="20" w:afterLines="20" w:line="280" w:lineRule="exact"/>
              <w:ind w:left="0" w:firstLine="0"/>
              <w:jc w:val="center"/>
              <w:rPr>
                <w:rFonts w:ascii="Calibri" w:hAnsi="Calibri" w:eastAsia="宋体" w:cs="Times New Roman"/>
                <w:b/>
                <w:color w:val="auto"/>
                <w:sz w:val="21"/>
              </w:rPr>
            </w:pPr>
            <w:r>
              <w:rPr>
                <w:rFonts w:hint="eastAsia" w:ascii="Calibri" w:hAnsi="Calibri" w:eastAsia="宋体" w:cs="Times New Roman"/>
                <w:b/>
                <w:color w:val="auto"/>
                <w:sz w:val="21"/>
              </w:rPr>
              <w:t>作业</w:t>
            </w:r>
            <w:r>
              <w:rPr>
                <w:rFonts w:ascii="Calibri" w:hAnsi="Calibri" w:eastAsia="宋体" w:cs="Times New Roman"/>
                <w:b/>
                <w:color w:val="auto"/>
                <w:sz w:val="21"/>
              </w:rPr>
              <w:t>步骤</w:t>
            </w:r>
            <w:r>
              <w:rPr>
                <w:rFonts w:hint="eastAsia" w:ascii="Calibri" w:hAnsi="Calibri" w:eastAsia="宋体" w:cs="Times New Roman"/>
                <w:b/>
                <w:color w:val="auto"/>
                <w:sz w:val="21"/>
              </w:rPr>
              <w:t>/内容</w:t>
            </w:r>
          </w:p>
        </w:tc>
        <w:tc>
          <w:tcPr>
            <w:tcW w:w="610" w:type="pct"/>
            <w:tcBorders>
              <w:right w:val="single" w:color="auto" w:sz="8" w:space="0"/>
            </w:tcBorders>
            <w:vAlign w:val="center"/>
          </w:tcPr>
          <w:p>
            <w:pPr>
              <w:widowControl w:val="0"/>
              <w:spacing w:beforeLines="20" w:afterLines="20" w:line="280" w:lineRule="exact"/>
              <w:ind w:left="0" w:firstLine="0"/>
              <w:jc w:val="center"/>
              <w:rPr>
                <w:rFonts w:ascii="Calibri" w:hAnsi="Calibri" w:eastAsia="宋体" w:cs="Times New Roman"/>
                <w:b/>
                <w:color w:val="auto"/>
                <w:sz w:val="21"/>
              </w:rPr>
            </w:pPr>
            <w:r>
              <w:rPr>
                <w:rFonts w:ascii="Calibri" w:hAnsi="Calibri" w:eastAsia="宋体" w:cs="Times New Roman"/>
                <w:b/>
                <w:color w:val="auto"/>
                <w:sz w:val="21"/>
              </w:rPr>
              <w:t>风险事件</w:t>
            </w:r>
          </w:p>
        </w:tc>
        <w:tc>
          <w:tcPr>
            <w:tcW w:w="1952" w:type="pct"/>
            <w:gridSpan w:val="4"/>
            <w:tcBorders>
              <w:left w:val="single" w:color="auto" w:sz="8" w:space="0"/>
              <w:right w:val="single" w:color="auto" w:sz="8" w:space="0"/>
            </w:tcBorders>
            <w:vAlign w:val="center"/>
          </w:tcPr>
          <w:p>
            <w:pPr>
              <w:widowControl w:val="0"/>
              <w:spacing w:beforeLines="20" w:afterLines="20" w:line="280" w:lineRule="exact"/>
              <w:ind w:left="0" w:firstLine="0"/>
              <w:jc w:val="center"/>
              <w:rPr>
                <w:rFonts w:ascii="Calibri" w:hAnsi="Calibri" w:eastAsia="宋体" w:cs="Times New Roman"/>
                <w:b/>
                <w:color w:val="auto"/>
                <w:sz w:val="21"/>
              </w:rPr>
            </w:pPr>
            <w:r>
              <w:rPr>
                <w:rFonts w:hint="eastAsia" w:ascii="Calibri" w:hAnsi="Calibri" w:eastAsia="宋体" w:cs="Times New Roman"/>
                <w:b/>
                <w:color w:val="auto"/>
                <w:sz w:val="21"/>
              </w:rPr>
              <w:t>管控</w:t>
            </w:r>
            <w:r>
              <w:rPr>
                <w:rFonts w:ascii="Calibri" w:hAnsi="Calibri" w:eastAsia="宋体" w:cs="Times New Roman"/>
                <w:b/>
                <w:color w:val="auto"/>
                <w:sz w:val="21"/>
              </w:rPr>
              <w:t>措施</w:t>
            </w:r>
          </w:p>
        </w:tc>
        <w:tc>
          <w:tcPr>
            <w:tcW w:w="2015" w:type="pct"/>
            <w:gridSpan w:val="2"/>
            <w:tcBorders>
              <w:left w:val="single" w:color="auto" w:sz="8" w:space="0"/>
            </w:tcBorders>
            <w:vAlign w:val="center"/>
          </w:tcPr>
          <w:p>
            <w:pPr>
              <w:widowControl w:val="0"/>
              <w:spacing w:beforeLines="20" w:afterLines="20" w:line="280" w:lineRule="exact"/>
              <w:ind w:left="0" w:firstLine="0"/>
              <w:jc w:val="center"/>
              <w:rPr>
                <w:rFonts w:ascii="Calibri" w:hAnsi="Calibri" w:eastAsia="宋体" w:cs="Times New Roman"/>
                <w:b/>
                <w:color w:val="auto"/>
                <w:sz w:val="21"/>
              </w:rPr>
            </w:pPr>
            <w:r>
              <w:rPr>
                <w:rFonts w:ascii="Calibri" w:hAnsi="Calibri" w:eastAsia="宋体" w:cs="Times New Roman"/>
                <w:b/>
                <w:color w:val="auto"/>
                <w:sz w:val="21"/>
              </w:rPr>
              <w:t>应急措施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Merge w:val="restart"/>
            <w:vAlign w:val="center"/>
          </w:tcPr>
          <w:p>
            <w:pPr>
              <w:widowControl w:val="0"/>
              <w:spacing w:beforeLines="20" w:afterLines="2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机关办公</w:t>
            </w:r>
          </w:p>
          <w:p>
            <w:pPr>
              <w:widowControl w:val="0"/>
              <w:spacing w:beforeLines="20" w:afterLines="2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道路</w:t>
            </w:r>
            <w:r>
              <w:rPr>
                <w:rFonts w:ascii="Calibri" w:hAnsi="Calibri" w:eastAsia="宋体" w:cs="Times New Roman"/>
                <w:color w:val="auto"/>
                <w:sz w:val="21"/>
              </w:rPr>
              <w:t>稽查</w:t>
            </w:r>
          </w:p>
        </w:tc>
        <w:tc>
          <w:tcPr>
            <w:tcW w:w="610" w:type="pct"/>
            <w:tcBorders>
              <w:right w:val="single" w:color="auto" w:sz="8" w:space="0"/>
            </w:tcBorders>
            <w:vAlign w:val="center"/>
          </w:tcPr>
          <w:p>
            <w:pPr>
              <w:widowControl w:val="0"/>
              <w:spacing w:beforeLines="20" w:afterLines="2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触电</w:t>
            </w:r>
          </w:p>
          <w:p>
            <w:pPr>
              <w:widowControl w:val="0"/>
              <w:spacing w:beforeLines="20" w:afterLines="20" w:line="280" w:lineRule="exact"/>
              <w:ind w:left="0" w:firstLine="0"/>
              <w:jc w:val="center"/>
              <w:rPr>
                <w:rFonts w:ascii="Calibri" w:hAnsi="Calibri" w:eastAsia="宋体" w:cs="Times New Roman"/>
                <w:b/>
                <w:color w:val="auto"/>
                <w:sz w:val="21"/>
              </w:rPr>
            </w:pPr>
            <w:r>
              <w:rPr>
                <w:rFonts w:ascii="Calibri" w:hAnsi="Calibri" w:eastAsia="宋体" w:cs="Times New Roman"/>
                <w:color w:val="auto"/>
                <w:sz w:val="21"/>
              </w:rPr>
              <w:t>火灾</w:t>
            </w:r>
          </w:p>
        </w:tc>
        <w:tc>
          <w:tcPr>
            <w:tcW w:w="1952" w:type="pct"/>
            <w:gridSpan w:val="4"/>
            <w:tcBorders>
              <w:left w:val="single" w:color="auto" w:sz="8" w:space="0"/>
              <w:right w:val="single" w:color="auto" w:sz="8" w:space="0"/>
            </w:tcBorders>
            <w:vAlign w:val="center"/>
          </w:tcPr>
          <w:p>
            <w:pPr>
              <w:widowControl w:val="0"/>
              <w:spacing w:beforeLines="20" w:afterLines="2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按规定使用电器产品，不得私拉乱接、不得使用不合格电气产品、线路及插座；人走电断；不得</w:t>
            </w:r>
            <w:r>
              <w:rPr>
                <w:rFonts w:hint="eastAsia" w:ascii="宋体" w:hAnsi="宋体" w:eastAsia="宋体" w:cs="Times New Roman"/>
                <w:color w:val="auto"/>
                <w:sz w:val="21"/>
                <w:szCs w:val="32"/>
              </w:rPr>
              <w:t>私自存放易燃易爆物品；</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2.非电气作业人员不得检修电气设备；</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3.遵守公司用火、用电安全管理制度。</w:t>
            </w:r>
          </w:p>
        </w:tc>
        <w:tc>
          <w:tcPr>
            <w:tcW w:w="2015" w:type="pct"/>
            <w:gridSpan w:val="2"/>
            <w:tcBorders>
              <w:left w:val="single" w:color="auto" w:sz="8" w:space="0"/>
            </w:tcBorders>
            <w:vAlign w:val="center"/>
          </w:tcPr>
          <w:p>
            <w:pPr>
              <w:widowControl w:val="0"/>
              <w:spacing w:beforeLines="20" w:afterLines="2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切断电源，用绝缘物体挑开带电物体；积极抢救伤员：若触电者失去知觉，应使其平卧，以利呼吸；若触电者呼吸、脉搏停止，实施人工呼吸或胸外心脏挤压法抢救；</w:t>
            </w:r>
          </w:p>
          <w:p>
            <w:pPr>
              <w:widowControl w:val="0"/>
              <w:spacing w:beforeLines="20" w:afterLines="20" w:line="28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2.</w:t>
            </w:r>
            <w:r>
              <w:rPr>
                <w:rFonts w:hint="eastAsia" w:ascii="宋体" w:hAnsi="宋体" w:eastAsia="宋体" w:cs="Times New Roman"/>
                <w:color w:val="auto"/>
                <w:sz w:val="21"/>
                <w:szCs w:val="32"/>
              </w:rPr>
              <w:t xml:space="preserve"> 火情较小时使用灭火器灭火，较大时疏散至地面空旷区域</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w:t>
            </w:r>
            <w:r>
              <w:rPr>
                <w:rFonts w:ascii="Calibri" w:hAnsi="Calibri" w:eastAsia="宋体" w:cs="Times New Roman"/>
                <w:color w:val="auto"/>
                <w:sz w:val="21"/>
              </w:rPr>
              <w:t>.</w:t>
            </w:r>
            <w:r>
              <w:rPr>
                <w:rFonts w:hint="eastAsia" w:ascii="Calibri" w:hAnsi="Calibri" w:eastAsia="宋体" w:cs="Times New Roman"/>
                <w:color w:val="auto"/>
                <w:sz w:val="21"/>
              </w:rPr>
              <w:t>及时上报并拨打救援电话。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Merge w:val="continue"/>
            <w:vAlign w:val="center"/>
          </w:tcPr>
          <w:p>
            <w:pPr>
              <w:widowControl w:val="0"/>
              <w:spacing w:beforeLines="20" w:afterLines="20" w:line="280" w:lineRule="exact"/>
              <w:ind w:left="0" w:firstLine="0"/>
              <w:jc w:val="center"/>
              <w:rPr>
                <w:rFonts w:ascii="Calibri" w:hAnsi="Calibri" w:eastAsia="宋体" w:cs="Times New Roman"/>
                <w:color w:val="auto"/>
                <w:sz w:val="21"/>
              </w:rPr>
            </w:pPr>
          </w:p>
        </w:tc>
        <w:tc>
          <w:tcPr>
            <w:tcW w:w="610" w:type="pct"/>
            <w:tcBorders>
              <w:right w:val="single" w:color="auto" w:sz="8" w:space="0"/>
            </w:tcBorders>
            <w:vAlign w:val="center"/>
          </w:tcPr>
          <w:p>
            <w:pPr>
              <w:widowControl w:val="0"/>
              <w:spacing w:beforeLines="20" w:afterLines="2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车辆伤害</w:t>
            </w:r>
          </w:p>
        </w:tc>
        <w:tc>
          <w:tcPr>
            <w:tcW w:w="1952" w:type="pct"/>
            <w:gridSpan w:val="4"/>
            <w:tcBorders>
              <w:left w:val="single" w:color="auto" w:sz="8" w:space="0"/>
              <w:right w:val="single" w:color="auto" w:sz="8" w:space="0"/>
            </w:tcBorders>
            <w:vAlign w:val="center"/>
          </w:tcPr>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1. 道路稽查时按规定停放车辆，摆放警示牌；</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2.上路时按规定穿戴反光服，严禁酒后上岗；</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3.穿越车道时注意观察来往车辆。</w:t>
            </w:r>
          </w:p>
        </w:tc>
        <w:tc>
          <w:tcPr>
            <w:tcW w:w="2015" w:type="pct"/>
            <w:gridSpan w:val="2"/>
            <w:tcBorders>
              <w:left w:val="single" w:color="auto" w:sz="8" w:space="0"/>
            </w:tcBorders>
            <w:vAlign w:val="center"/>
          </w:tcPr>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1.将受伤人员移至安全区或设置警戒区，打开车辆轮廓灯，摆放警示牌，视情况及时上报并拨打120电话；</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2.快速远离事故车辆和道路现场。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6" w:hRule="atLeast"/>
        </w:trPr>
        <w:tc>
          <w:tcPr>
            <w:tcW w:w="423" w:type="pct"/>
            <w:vMerge w:val="continue"/>
            <w:vAlign w:val="center"/>
          </w:tcPr>
          <w:p>
            <w:pPr>
              <w:widowControl w:val="0"/>
              <w:spacing w:beforeLines="20" w:afterLines="20" w:line="280" w:lineRule="exact"/>
              <w:ind w:left="0" w:firstLine="0"/>
              <w:jc w:val="center"/>
              <w:rPr>
                <w:rFonts w:ascii="Calibri" w:hAnsi="Calibri" w:eastAsia="宋体" w:cs="Times New Roman"/>
                <w:color w:val="auto"/>
                <w:sz w:val="21"/>
              </w:rPr>
            </w:pPr>
          </w:p>
        </w:tc>
        <w:tc>
          <w:tcPr>
            <w:tcW w:w="610" w:type="pct"/>
            <w:tcBorders>
              <w:right w:val="single" w:color="auto" w:sz="8" w:space="0"/>
            </w:tcBorders>
            <w:vAlign w:val="center"/>
          </w:tcPr>
          <w:p>
            <w:pPr>
              <w:widowControl w:val="0"/>
              <w:spacing w:beforeLines="20" w:afterLines="2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财产损失</w:t>
            </w:r>
          </w:p>
          <w:p>
            <w:pPr>
              <w:widowControl w:val="0"/>
              <w:spacing w:beforeLines="20" w:afterLines="2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暴力伤害/纠纷</w:t>
            </w:r>
          </w:p>
        </w:tc>
        <w:tc>
          <w:tcPr>
            <w:tcW w:w="1952" w:type="pct"/>
            <w:gridSpan w:val="4"/>
            <w:tcBorders>
              <w:left w:val="single" w:color="auto" w:sz="8" w:space="0"/>
              <w:right w:val="single" w:color="auto" w:sz="8" w:space="0"/>
            </w:tcBorders>
            <w:vAlign w:val="center"/>
          </w:tcPr>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1.加强业务培训和学习，按规定程序，规范开展稽查作业；</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2.稽查作业应持证上岗、穿戴制服（暗查暗访除外）；</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3.注意工作态度与方式方法，认真学习防暴应急处置方法。</w:t>
            </w:r>
          </w:p>
        </w:tc>
        <w:tc>
          <w:tcPr>
            <w:tcW w:w="2015" w:type="pct"/>
            <w:gridSpan w:val="2"/>
            <w:tcBorders>
              <w:left w:val="single" w:color="auto" w:sz="8" w:space="0"/>
            </w:tcBorders>
            <w:vAlign w:val="center"/>
          </w:tcPr>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1.注意工作态度与方式方法，必要时拨打110电话；</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2.有人员伤亡时，及时拨打120电话；</w:t>
            </w:r>
          </w:p>
          <w:p>
            <w:pPr>
              <w:widowControl w:val="0"/>
              <w:spacing w:beforeLines="20" w:afterLines="2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3.视情况拨打本单位和部门负责人电话，告知事故情况。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077" w:type="pct"/>
            <w:gridSpan w:val="4"/>
            <w:tcBorders>
              <w:top w:val="single" w:color="auto" w:sz="12" w:space="0"/>
              <w:bottom w:val="single" w:color="auto" w:sz="12" w:space="0"/>
            </w:tcBorders>
            <w:shd w:val="clear" w:color="auto" w:fill="F1F1F1" w:themeFill="background1" w:themeFillShade="F2"/>
            <w:vAlign w:val="center"/>
          </w:tcPr>
          <w:p>
            <w:pPr>
              <w:widowControl w:val="0"/>
              <w:spacing w:beforeLines="20" w:afterLines="2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值班电话</w:t>
            </w:r>
            <w:r>
              <w:rPr>
                <w:rFonts w:hint="eastAsia" w:ascii="Calibri" w:hAnsi="Calibri" w:eastAsia="宋体" w:cs="Times New Roman"/>
                <w:b/>
                <w:color w:val="auto"/>
                <w:sz w:val="21"/>
              </w:rPr>
              <w:t>：</w:t>
            </w:r>
          </w:p>
        </w:tc>
        <w:tc>
          <w:tcPr>
            <w:tcW w:w="2923" w:type="pct"/>
            <w:gridSpan w:val="4"/>
            <w:tcBorders>
              <w:top w:val="single" w:color="auto" w:sz="12" w:space="0"/>
              <w:bottom w:val="single" w:color="auto" w:sz="12" w:space="0"/>
            </w:tcBorders>
            <w:shd w:val="clear" w:color="auto" w:fill="F1F1F1" w:themeFill="background1" w:themeFillShade="F2"/>
            <w:vAlign w:val="center"/>
          </w:tcPr>
          <w:p>
            <w:pPr>
              <w:widowControl w:val="0"/>
              <w:spacing w:beforeLines="20" w:afterLines="20" w:line="280" w:lineRule="exact"/>
              <w:ind w:left="0" w:firstLine="0"/>
              <w:jc w:val="both"/>
              <w:rPr>
                <w:rFonts w:ascii="Calibri" w:hAnsi="Calibri" w:eastAsia="宋体" w:cs="Times New Roman"/>
                <w:b/>
                <w:color w:val="auto"/>
                <w:sz w:val="21"/>
              </w:rPr>
            </w:pPr>
            <w:r>
              <w:rPr>
                <w:rFonts w:hint="eastAsia" w:ascii="Calibri" w:hAnsi="Calibri" w:eastAsia="宋体" w:cs="Times New Roman"/>
                <w:b/>
                <w:color w:val="auto"/>
                <w:sz w:val="21"/>
              </w:rPr>
              <w:t>救援</w:t>
            </w:r>
            <w:r>
              <w:rPr>
                <w:rFonts w:ascii="Calibri" w:hAnsi="Calibri" w:eastAsia="宋体" w:cs="Times New Roman"/>
                <w:b/>
                <w:color w:val="auto"/>
                <w:sz w:val="21"/>
              </w:rPr>
              <w:t>电话</w:t>
            </w:r>
            <w:r>
              <w:rPr>
                <w:rFonts w:hint="eastAsia" w:ascii="Calibri" w:hAnsi="Calibri" w:eastAsia="宋体" w:cs="Times New Roman"/>
                <w:b/>
                <w:color w:val="auto"/>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00" w:type="pct"/>
            <w:gridSpan w:val="8"/>
            <w:vAlign w:val="center"/>
          </w:tcPr>
          <w:p>
            <w:pPr>
              <w:widowControl w:val="0"/>
              <w:spacing w:beforeLines="20" w:afterLines="2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作业小组成员签名</w:t>
            </w:r>
            <w:r>
              <w:rPr>
                <w:rFonts w:hint="eastAsia" w:ascii="Calibri" w:hAnsi="Calibri" w:eastAsia="宋体" w:cs="Times New Roman"/>
                <w:b/>
                <w:color w:val="auto"/>
                <w:sz w:val="21"/>
              </w:rPr>
              <w:t>：</w:t>
            </w:r>
          </w:p>
        </w:tc>
      </w:tr>
    </w:tbl>
    <w:p>
      <w:pPr>
        <w:widowControl w:val="0"/>
        <w:spacing w:after="0" w:line="240" w:lineRule="auto"/>
        <w:ind w:left="0" w:firstLine="0"/>
        <w:jc w:val="center"/>
        <w:rPr>
          <w:rFonts w:ascii="华文中宋" w:hAnsi="华文中宋" w:eastAsia="华文中宋" w:cs="Times New Roman"/>
          <w:color w:val="auto"/>
          <w:sz w:val="28"/>
        </w:rPr>
      </w:pPr>
    </w:p>
    <w:p>
      <w:pPr>
        <w:spacing w:after="0" w:line="240" w:lineRule="auto"/>
        <w:ind w:left="0" w:firstLine="0"/>
        <w:rPr>
          <w:rFonts w:ascii="华文中宋" w:hAnsi="华文中宋" w:eastAsia="华文中宋" w:cs="Times New Roman"/>
          <w:color w:val="auto"/>
          <w:sz w:val="28"/>
        </w:rPr>
      </w:pPr>
      <w:r>
        <w:rPr>
          <w:rFonts w:ascii="华文中宋" w:hAnsi="华文中宋" w:eastAsia="华文中宋" w:cs="Times New Roman"/>
          <w:color w:val="auto"/>
          <w:sz w:val="28"/>
        </w:rPr>
        <w:br w:type="page"/>
      </w:r>
    </w:p>
    <w:p>
      <w:pPr>
        <w:widowControl w:val="0"/>
        <w:spacing w:after="0" w:line="240" w:lineRule="auto"/>
        <w:ind w:left="0" w:firstLine="0"/>
        <w:jc w:val="center"/>
        <w:rPr>
          <w:rFonts w:ascii="华文中宋" w:hAnsi="华文中宋" w:eastAsia="华文中宋" w:cs="Times New Roman"/>
          <w:color w:val="auto"/>
          <w:sz w:val="28"/>
        </w:rPr>
      </w:pP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指挥调度中心风险告知卡</w:t>
      </w:r>
    </w:p>
    <w:tbl>
      <w:tblPr>
        <w:tblStyle w:val="2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0"/>
        <w:gridCol w:w="2048"/>
        <w:gridCol w:w="1418"/>
        <w:gridCol w:w="1699"/>
        <w:gridCol w:w="993"/>
        <w:gridCol w:w="2127"/>
        <w:gridCol w:w="2127"/>
        <w:gridCol w:w="38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33" w:type="pct"/>
            <w:gridSpan w:val="3"/>
            <w:tcBorders>
              <w:top w:val="single" w:color="auto" w:sz="12" w:space="0"/>
              <w:bottom w:val="single" w:color="auto" w:sz="6"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风险分析点</w:t>
            </w:r>
            <w:r>
              <w:rPr>
                <w:rFonts w:hint="eastAsia" w:ascii="Calibri" w:hAnsi="Calibri" w:eastAsia="宋体" w:cs="Times New Roman"/>
                <w:b/>
                <w:color w:val="auto"/>
                <w:sz w:val="21"/>
              </w:rPr>
              <w:t>：</w:t>
            </w:r>
            <w:r>
              <w:rPr>
                <w:rFonts w:hint="eastAsia" w:ascii="Calibri" w:hAnsi="Calibri" w:eastAsia="宋体" w:cs="Times New Roman"/>
                <w:color w:val="auto"/>
                <w:sz w:val="21"/>
              </w:rPr>
              <w:t>监控中心、站区及路段</w:t>
            </w:r>
          </w:p>
        </w:tc>
        <w:tc>
          <w:tcPr>
            <w:tcW w:w="862" w:type="pct"/>
            <w:gridSpan w:val="2"/>
            <w:tcBorders>
              <w:right w:val="single" w:color="auto" w:sz="4" w:space="0"/>
            </w:tcBorders>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岗位</w:t>
            </w:r>
            <w:r>
              <w:rPr>
                <w:rFonts w:hint="eastAsia" w:ascii="Calibri" w:hAnsi="Calibri" w:eastAsia="宋体" w:cs="Times New Roman"/>
                <w:b/>
                <w:color w:val="auto"/>
                <w:sz w:val="21"/>
              </w:rPr>
              <w:t>：</w:t>
            </w:r>
            <w:r>
              <w:rPr>
                <w:rFonts w:hint="eastAsia" w:ascii="Calibri" w:hAnsi="Calibri" w:eastAsia="宋体" w:cs="Times New Roman"/>
                <w:color w:val="auto"/>
                <w:sz w:val="21"/>
              </w:rPr>
              <w:t>机电员</w:t>
            </w:r>
          </w:p>
        </w:tc>
        <w:tc>
          <w:tcPr>
            <w:tcW w:w="1362" w:type="pct"/>
            <w:gridSpan w:val="2"/>
            <w:tcBorders>
              <w:left w:val="single" w:color="auto" w:sz="4" w:space="0"/>
            </w:tcBorders>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工作描述</w:t>
            </w:r>
            <w:r>
              <w:rPr>
                <w:rFonts w:hint="eastAsia" w:ascii="Calibri" w:hAnsi="Calibri" w:eastAsia="宋体" w:cs="Times New Roman"/>
                <w:b/>
                <w:color w:val="auto"/>
                <w:sz w:val="21"/>
              </w:rPr>
              <w:t>：</w:t>
            </w:r>
            <w:r>
              <w:rPr>
                <w:rFonts w:hint="eastAsia" w:ascii="Calibri" w:hAnsi="Calibri" w:eastAsia="宋体" w:cs="Times New Roman"/>
                <w:color w:val="auto"/>
                <w:sz w:val="21"/>
              </w:rPr>
              <w:t>机电维护管理作业</w:t>
            </w:r>
          </w:p>
        </w:tc>
        <w:tc>
          <w:tcPr>
            <w:tcW w:w="1243" w:type="pct"/>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设备种类</w:t>
            </w:r>
            <w:r>
              <w:rPr>
                <w:rFonts w:hint="eastAsia" w:ascii="Calibri" w:hAnsi="Calibri" w:eastAsia="宋体" w:cs="Times New Roman"/>
                <w:b/>
                <w:color w:val="auto"/>
                <w:sz w:val="21"/>
              </w:rPr>
              <w:t>：</w:t>
            </w:r>
            <w:r>
              <w:rPr>
                <w:rFonts w:hint="eastAsia" w:ascii="Calibri" w:hAnsi="Calibri" w:eastAsia="宋体" w:cs="Times New Roman"/>
                <w:color w:val="auto"/>
                <w:sz w:val="21"/>
              </w:rPr>
              <w:t>机电设备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hint="eastAsia" w:ascii="Calibri" w:hAnsi="Calibri" w:eastAsia="宋体" w:cs="Times New Roman"/>
                <w:b/>
                <w:color w:val="auto"/>
                <w:sz w:val="21"/>
              </w:rPr>
              <w:t>作业</w:t>
            </w:r>
            <w:r>
              <w:rPr>
                <w:rFonts w:ascii="Calibri" w:hAnsi="Calibri" w:eastAsia="宋体" w:cs="Times New Roman"/>
                <w:b/>
                <w:color w:val="auto"/>
                <w:sz w:val="21"/>
              </w:rPr>
              <w:t>步骤</w:t>
            </w:r>
            <w:r>
              <w:rPr>
                <w:rFonts w:hint="eastAsia" w:ascii="Calibri" w:hAnsi="Calibri" w:eastAsia="宋体" w:cs="Times New Roman"/>
                <w:b/>
                <w:color w:val="auto"/>
                <w:sz w:val="21"/>
              </w:rPr>
              <w:t>/内容</w:t>
            </w:r>
          </w:p>
        </w:tc>
        <w:tc>
          <w:tcPr>
            <w:tcW w:w="656"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b/>
                <w:color w:val="auto"/>
                <w:sz w:val="21"/>
              </w:rPr>
              <w:t>风险事件</w:t>
            </w:r>
          </w:p>
        </w:tc>
        <w:tc>
          <w:tcPr>
            <w:tcW w:w="1997" w:type="pct"/>
            <w:gridSpan w:val="4"/>
            <w:tcBorders>
              <w:left w:val="single" w:color="auto" w:sz="8" w:space="0"/>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hint="eastAsia" w:ascii="Calibri" w:hAnsi="Calibri" w:eastAsia="宋体" w:cs="Times New Roman"/>
                <w:b/>
                <w:color w:val="auto"/>
                <w:sz w:val="21"/>
              </w:rPr>
              <w:t>管控</w:t>
            </w:r>
            <w:r>
              <w:rPr>
                <w:rFonts w:ascii="Calibri" w:hAnsi="Calibri" w:eastAsia="宋体" w:cs="Times New Roman"/>
                <w:b/>
                <w:color w:val="auto"/>
                <w:sz w:val="21"/>
              </w:rPr>
              <w:t>措施</w:t>
            </w:r>
          </w:p>
        </w:tc>
        <w:tc>
          <w:tcPr>
            <w:tcW w:w="1924" w:type="pct"/>
            <w:gridSpan w:val="2"/>
            <w:tcBorders>
              <w:left w:val="single" w:color="auto" w:sz="8" w:space="0"/>
            </w:tcBorders>
            <w:vAlign w:val="center"/>
          </w:tcPr>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b/>
                <w:color w:val="auto"/>
                <w:sz w:val="21"/>
              </w:rPr>
              <w:t>应急措施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Merge w:val="restart"/>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机关办公</w:t>
            </w:r>
          </w:p>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作业区布置</w:t>
            </w:r>
            <w:r>
              <w:rPr>
                <w:rFonts w:hint="eastAsia" w:ascii="宋体" w:hAnsi="宋体" w:eastAsia="宋体" w:cs="Times New Roman"/>
                <w:color w:val="auto"/>
                <w:sz w:val="21"/>
              </w:rPr>
              <w:t>→</w:t>
            </w:r>
            <w:r>
              <w:rPr>
                <w:rFonts w:hint="eastAsia" w:ascii="Calibri" w:hAnsi="Calibri" w:eastAsia="宋体" w:cs="Times New Roman"/>
                <w:color w:val="auto"/>
                <w:sz w:val="21"/>
              </w:rPr>
              <w:t>机电维修养护作业</w:t>
            </w:r>
            <w:r>
              <w:rPr>
                <w:rFonts w:hint="eastAsia" w:ascii="宋体" w:hAnsi="宋体" w:eastAsia="宋体" w:cs="Times New Roman"/>
                <w:color w:val="auto"/>
                <w:sz w:val="21"/>
              </w:rPr>
              <w:t>→撤场</w:t>
            </w:r>
          </w:p>
        </w:tc>
        <w:tc>
          <w:tcPr>
            <w:tcW w:w="656"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触电</w:t>
            </w:r>
          </w:p>
          <w:p>
            <w:pPr>
              <w:widowControl w:val="0"/>
              <w:spacing w:beforeLines="20" w:afterLines="10" w:line="280" w:lineRule="exact"/>
              <w:ind w:left="0" w:firstLine="0"/>
              <w:jc w:val="center"/>
              <w:rPr>
                <w:rFonts w:ascii="Calibri" w:hAnsi="Calibri" w:eastAsia="宋体" w:cs="Times New Roman"/>
                <w:b/>
                <w:color w:val="auto"/>
                <w:sz w:val="21"/>
              </w:rPr>
            </w:pPr>
            <w:r>
              <w:rPr>
                <w:rFonts w:ascii="Calibri" w:hAnsi="Calibri" w:eastAsia="宋体" w:cs="Times New Roman"/>
                <w:color w:val="auto"/>
                <w:sz w:val="21"/>
              </w:rPr>
              <w:t>火灾</w:t>
            </w:r>
          </w:p>
        </w:tc>
        <w:tc>
          <w:tcPr>
            <w:tcW w:w="1997" w:type="pct"/>
            <w:gridSpan w:val="4"/>
            <w:tcBorders>
              <w:left w:val="single" w:color="auto" w:sz="8" w:space="0"/>
              <w:righ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按规定使用电器产品，不得私拉乱接、不得使用不合格电气产品、线路及插座；人走电断；不得</w:t>
            </w:r>
            <w:r>
              <w:rPr>
                <w:rFonts w:hint="eastAsia" w:ascii="宋体" w:hAnsi="宋体" w:eastAsia="宋体" w:cs="Times New Roman"/>
                <w:color w:val="auto"/>
                <w:sz w:val="21"/>
                <w:szCs w:val="32"/>
              </w:rPr>
              <w:t>私自存放易燃易爆物品；</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2.非电气作业人员不得检修电气设备；</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3.遵守公司用火、用电安全管理制度。</w:t>
            </w:r>
          </w:p>
        </w:tc>
        <w:tc>
          <w:tcPr>
            <w:tcW w:w="1924" w:type="pct"/>
            <w:gridSpan w:val="2"/>
            <w:tcBorders>
              <w:left w:val="single" w:color="auto" w:sz="8" w:space="0"/>
            </w:tcBorders>
            <w:vAlign w:val="center"/>
          </w:tcPr>
          <w:p>
            <w:pPr>
              <w:widowControl w:val="0"/>
              <w:spacing w:beforeLines="20" w:afterLines="10" w:line="280" w:lineRule="exact"/>
              <w:ind w:left="0" w:firstLine="0"/>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切断电源，用绝缘物体挑开带电物体；积极抢救伤员：若触电者失去知觉，应使其平卧，以利呼吸；若触电者呼吸、脉搏停止，实施人工呼吸或胸外心脏挤压法抢救；</w:t>
            </w:r>
          </w:p>
          <w:p>
            <w:pPr>
              <w:widowControl w:val="0"/>
              <w:spacing w:beforeLines="20" w:afterLines="10" w:line="28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2.</w:t>
            </w:r>
            <w:r>
              <w:rPr>
                <w:rFonts w:hint="eastAsia" w:ascii="宋体" w:hAnsi="宋体" w:eastAsia="宋体" w:cs="Times New Roman"/>
                <w:color w:val="auto"/>
                <w:sz w:val="21"/>
                <w:szCs w:val="32"/>
              </w:rPr>
              <w:t xml:space="preserve"> 火情较小时使用灭火器灭火，较大时疏散至地面空旷区域</w:t>
            </w:r>
          </w:p>
          <w:p>
            <w:pPr>
              <w:widowControl w:val="0"/>
              <w:spacing w:beforeLines="20" w:afterLines="10" w:line="280" w:lineRule="exact"/>
              <w:ind w:left="0" w:firstLine="0"/>
              <w:rPr>
                <w:rFonts w:ascii="Calibri" w:hAnsi="Calibri" w:eastAsia="宋体" w:cs="Times New Roman"/>
                <w:color w:val="auto"/>
                <w:sz w:val="21"/>
              </w:rPr>
            </w:pPr>
            <w:r>
              <w:rPr>
                <w:rFonts w:hint="eastAsia" w:ascii="Calibri" w:hAnsi="Calibri" w:eastAsia="宋体" w:cs="Times New Roman"/>
                <w:color w:val="auto"/>
                <w:sz w:val="21"/>
              </w:rPr>
              <w:t>3</w:t>
            </w:r>
            <w:r>
              <w:rPr>
                <w:rFonts w:ascii="Calibri" w:hAnsi="Calibri" w:eastAsia="宋体" w:cs="Times New Roman"/>
                <w:color w:val="auto"/>
                <w:sz w:val="21"/>
              </w:rPr>
              <w:t>.</w:t>
            </w:r>
            <w:r>
              <w:rPr>
                <w:rFonts w:hint="eastAsia" w:ascii="Calibri" w:hAnsi="Calibri" w:eastAsia="宋体" w:cs="Times New Roman"/>
                <w:color w:val="auto"/>
                <w:sz w:val="21"/>
              </w:rPr>
              <w:t>及时上报并拨打救援电话。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Merge w:val="continue"/>
            <w:vAlign w:val="center"/>
          </w:tcPr>
          <w:p>
            <w:pPr>
              <w:widowControl w:val="0"/>
              <w:spacing w:beforeLines="20" w:afterLines="10" w:line="280" w:lineRule="exact"/>
              <w:ind w:left="0" w:firstLine="0"/>
              <w:jc w:val="center"/>
              <w:rPr>
                <w:rFonts w:ascii="Calibri" w:hAnsi="Calibri" w:eastAsia="宋体" w:cs="Times New Roman"/>
                <w:color w:val="auto"/>
                <w:sz w:val="21"/>
              </w:rPr>
            </w:pPr>
          </w:p>
        </w:tc>
        <w:tc>
          <w:tcPr>
            <w:tcW w:w="656"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车辆伤害</w:t>
            </w:r>
          </w:p>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高处坠落</w:t>
            </w:r>
          </w:p>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物体打击</w:t>
            </w:r>
          </w:p>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其他</w:t>
            </w:r>
          </w:p>
        </w:tc>
        <w:tc>
          <w:tcPr>
            <w:tcW w:w="1997" w:type="pct"/>
            <w:gridSpan w:val="4"/>
            <w:tcBorders>
              <w:left w:val="single" w:color="auto" w:sz="8" w:space="0"/>
              <w:right w:val="single" w:color="auto" w:sz="8" w:space="0"/>
            </w:tcBorders>
            <w:vAlign w:val="center"/>
          </w:tcPr>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1.上路巡查时应按规定穿戴反光警示标志服，严禁酒后上岗，注意观察来往车辆；</w:t>
            </w:r>
          </w:p>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2.不得随意停车、横穿车道，遵守道路安全管理规定；</w:t>
            </w:r>
          </w:p>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3.带队作业时应按规定设置作业控制区。</w:t>
            </w:r>
          </w:p>
        </w:tc>
        <w:tc>
          <w:tcPr>
            <w:tcW w:w="1924" w:type="pct"/>
            <w:gridSpan w:val="2"/>
            <w:tcBorders>
              <w:left w:val="single" w:color="auto" w:sz="8" w:space="0"/>
            </w:tcBorders>
            <w:vAlign w:val="center"/>
          </w:tcPr>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1.将受伤人员移至安全区或设置警戒区；</w:t>
            </w:r>
          </w:p>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2.如受伤人员出现骨折、休克或昏迷状况，应采取临时包扎措施；若受伤者呼吸、脉搏停止，应实施人工呼吸或胸外心脏挤压法抢救；</w:t>
            </w:r>
          </w:p>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hint="eastAsia" w:ascii="Calibri" w:hAnsi="Calibri" w:eastAsia="宋体" w:cs="Times New Roman"/>
                <w:color w:val="auto"/>
                <w:sz w:val="21"/>
              </w:rPr>
              <w:t>及时上报并拨打救援电话。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23" w:type="pct"/>
            <w:vMerge w:val="continue"/>
            <w:vAlign w:val="center"/>
          </w:tcPr>
          <w:p>
            <w:pPr>
              <w:widowControl w:val="0"/>
              <w:spacing w:beforeLines="20" w:afterLines="10" w:line="280" w:lineRule="exact"/>
              <w:ind w:left="0" w:firstLine="0"/>
              <w:jc w:val="center"/>
              <w:rPr>
                <w:rFonts w:ascii="Calibri" w:hAnsi="Calibri" w:eastAsia="宋体" w:cs="Times New Roman"/>
                <w:color w:val="auto"/>
                <w:sz w:val="21"/>
              </w:rPr>
            </w:pPr>
          </w:p>
        </w:tc>
        <w:tc>
          <w:tcPr>
            <w:tcW w:w="656" w:type="pct"/>
            <w:tcBorders>
              <w:right w:val="single" w:color="auto" w:sz="8" w:space="0"/>
            </w:tcBorders>
            <w:vAlign w:val="center"/>
          </w:tcPr>
          <w:p>
            <w:pPr>
              <w:widowControl w:val="0"/>
              <w:spacing w:beforeLines="20" w:afterLines="10" w:line="28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财产损失/事故扩大</w:t>
            </w:r>
          </w:p>
        </w:tc>
        <w:tc>
          <w:tcPr>
            <w:tcW w:w="1997" w:type="pct"/>
            <w:gridSpan w:val="4"/>
            <w:tcBorders>
              <w:left w:val="single" w:color="auto" w:sz="8" w:space="0"/>
              <w:right w:val="single" w:color="auto" w:sz="8" w:space="0"/>
            </w:tcBorders>
            <w:vAlign w:val="center"/>
          </w:tcPr>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1.按规定对所管的机电设备开展巡视检查和维修、升级改造；</w:t>
            </w:r>
          </w:p>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2.加强</w:t>
            </w:r>
            <w:r>
              <w:rPr>
                <w:rFonts w:ascii="宋体" w:hAnsi="宋体" w:eastAsia="宋体" w:cs="Times New Roman"/>
                <w:color w:val="auto"/>
                <w:sz w:val="21"/>
                <w:szCs w:val="32"/>
              </w:rPr>
              <w:t>业务学习和安全教育培训。</w:t>
            </w:r>
          </w:p>
        </w:tc>
        <w:tc>
          <w:tcPr>
            <w:tcW w:w="1924" w:type="pct"/>
            <w:gridSpan w:val="2"/>
            <w:tcBorders>
              <w:left w:val="single" w:color="auto" w:sz="8" w:space="0"/>
            </w:tcBorders>
            <w:vAlign w:val="center"/>
          </w:tcPr>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1.发现机电设备故障及时组织维修，按规定上报。</w:t>
            </w:r>
          </w:p>
          <w:p>
            <w:pPr>
              <w:widowControl w:val="0"/>
              <w:spacing w:beforeLines="20" w:afterLines="10" w:line="28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2.突发事件发生后，及时启动应急设备。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077" w:type="pct"/>
            <w:gridSpan w:val="4"/>
            <w:tcBorders>
              <w:top w:val="single" w:color="auto" w:sz="12" w:space="0"/>
              <w:bottom w:val="single" w:color="auto" w:sz="12"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值班电话</w:t>
            </w:r>
            <w:r>
              <w:rPr>
                <w:rFonts w:hint="eastAsia" w:ascii="Calibri" w:hAnsi="Calibri" w:eastAsia="宋体" w:cs="Times New Roman"/>
                <w:b/>
                <w:color w:val="auto"/>
                <w:sz w:val="21"/>
              </w:rPr>
              <w:t>：</w:t>
            </w:r>
          </w:p>
        </w:tc>
        <w:tc>
          <w:tcPr>
            <w:tcW w:w="2923" w:type="pct"/>
            <w:gridSpan w:val="4"/>
            <w:tcBorders>
              <w:top w:val="single" w:color="auto" w:sz="12" w:space="0"/>
              <w:bottom w:val="single" w:color="auto" w:sz="12" w:space="0"/>
            </w:tcBorders>
            <w:shd w:val="clear" w:color="auto" w:fill="F1F1F1" w:themeFill="background1" w:themeFillShade="F2"/>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hint="eastAsia" w:ascii="Calibri" w:hAnsi="Calibri" w:eastAsia="宋体" w:cs="Times New Roman"/>
                <w:b/>
                <w:color w:val="auto"/>
                <w:sz w:val="21"/>
              </w:rPr>
              <w:t>救援</w:t>
            </w:r>
            <w:r>
              <w:rPr>
                <w:rFonts w:ascii="Calibri" w:hAnsi="Calibri" w:eastAsia="宋体" w:cs="Times New Roman"/>
                <w:b/>
                <w:color w:val="auto"/>
                <w:sz w:val="21"/>
              </w:rPr>
              <w:t>电话</w:t>
            </w:r>
            <w:r>
              <w:rPr>
                <w:rFonts w:hint="eastAsia" w:ascii="Calibri" w:hAnsi="Calibri" w:eastAsia="宋体" w:cs="Times New Roman"/>
                <w:b/>
                <w:color w:val="auto"/>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00" w:type="pct"/>
            <w:gridSpan w:val="8"/>
            <w:vAlign w:val="center"/>
          </w:tcPr>
          <w:p>
            <w:pPr>
              <w:widowControl w:val="0"/>
              <w:spacing w:beforeLines="20" w:afterLines="10" w:line="280" w:lineRule="exact"/>
              <w:ind w:left="0" w:firstLine="0"/>
              <w:jc w:val="both"/>
              <w:rPr>
                <w:rFonts w:ascii="Calibri" w:hAnsi="Calibri" w:eastAsia="宋体" w:cs="Times New Roman"/>
                <w:b/>
                <w:color w:val="auto"/>
                <w:sz w:val="21"/>
              </w:rPr>
            </w:pPr>
            <w:r>
              <w:rPr>
                <w:rFonts w:ascii="Calibri" w:hAnsi="Calibri" w:eastAsia="宋体" w:cs="Times New Roman"/>
                <w:b/>
                <w:color w:val="auto"/>
                <w:sz w:val="21"/>
              </w:rPr>
              <w:t>作业小组成员签名</w:t>
            </w:r>
            <w:r>
              <w:rPr>
                <w:rFonts w:hint="eastAsia" w:ascii="Calibri" w:hAnsi="Calibri" w:eastAsia="宋体" w:cs="Times New Roman"/>
                <w:b/>
                <w:color w:val="auto"/>
                <w:sz w:val="21"/>
              </w:rPr>
              <w:t>：</w:t>
            </w:r>
          </w:p>
        </w:tc>
      </w:tr>
    </w:tbl>
    <w:p>
      <w:pPr>
        <w:widowControl w:val="0"/>
        <w:spacing w:beforeLines="50" w:afterLines="50" w:line="560" w:lineRule="exact"/>
        <w:ind w:left="0" w:firstLine="0"/>
        <w:outlineLvl w:val="1"/>
        <w:rPr>
          <w:rFonts w:cs="Calibri" w:asciiTheme="minorEastAsia" w:hAnsiTheme="minorEastAsia" w:eastAsiaTheme="minorEastAsia"/>
          <w:b/>
          <w:color w:val="auto"/>
          <w:sz w:val="28"/>
          <w:szCs w:val="24"/>
        </w:rPr>
        <w:sectPr>
          <w:headerReference r:id="rId10" w:type="default"/>
          <w:footerReference r:id="rId11" w:type="default"/>
          <w:pgSz w:w="16838" w:h="11906" w:orient="landscape"/>
          <w:pgMar w:top="720" w:right="720" w:bottom="720" w:left="720" w:header="0" w:footer="567" w:gutter="0"/>
          <w:cols w:space="720" w:num="1"/>
          <w:docGrid w:type="linesAndChars" w:linePitch="584" w:charSpace="-849"/>
        </w:sectPr>
      </w:pPr>
    </w:p>
    <w:p>
      <w:pPr>
        <w:widowControl w:val="0"/>
        <w:spacing w:after="0" w:line="360" w:lineRule="auto"/>
        <w:ind w:left="0" w:firstLine="0"/>
        <w:jc w:val="center"/>
        <w:outlineLvl w:val="0"/>
        <w:rPr>
          <w:rFonts w:cs="Calibri" w:asciiTheme="minorEastAsia" w:hAnsiTheme="minorEastAsia" w:eastAsiaTheme="minorEastAsia"/>
          <w:b/>
          <w:color w:val="auto"/>
          <w:sz w:val="36"/>
          <w:szCs w:val="24"/>
        </w:rPr>
      </w:pPr>
      <w:bookmarkStart w:id="33" w:name="_Toc42940680"/>
      <w:bookmarkStart w:id="34" w:name="_Toc89069753"/>
      <w:r>
        <w:rPr>
          <w:rFonts w:hint="eastAsia" w:cs="Calibri" w:asciiTheme="minorEastAsia" w:hAnsiTheme="minorEastAsia" w:eastAsiaTheme="minorEastAsia"/>
          <w:b/>
          <w:color w:val="auto"/>
          <w:sz w:val="32"/>
          <w:szCs w:val="24"/>
        </w:rPr>
        <w:t>第三章 隐患排查治理</w:t>
      </w:r>
      <w:bookmarkEnd w:id="33"/>
      <w:bookmarkEnd w:id="34"/>
    </w:p>
    <w:bookmarkEnd w:id="20"/>
    <w:bookmarkEnd w:id="21"/>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35" w:name="_Toc42940681"/>
      <w:bookmarkStart w:id="36" w:name="_Toc47529690"/>
      <w:bookmarkStart w:id="37" w:name="_Toc89069754"/>
      <w:r>
        <w:rPr>
          <w:rFonts w:hint="eastAsia" w:cs="Calibri" w:asciiTheme="minorEastAsia" w:hAnsiTheme="minorEastAsia" w:eastAsiaTheme="minorEastAsia"/>
          <w:b/>
          <w:color w:val="auto"/>
          <w:sz w:val="28"/>
          <w:szCs w:val="24"/>
        </w:rPr>
        <w:t>3.1</w:t>
      </w:r>
      <w:bookmarkEnd w:id="35"/>
      <w:r>
        <w:rPr>
          <w:rFonts w:hint="eastAsia" w:cs="Calibri" w:asciiTheme="minorEastAsia" w:hAnsiTheme="minorEastAsia" w:eastAsiaTheme="minorEastAsia"/>
          <w:b/>
          <w:color w:val="auto"/>
          <w:sz w:val="28"/>
          <w:szCs w:val="24"/>
        </w:rPr>
        <w:t>隐患排查清单</w:t>
      </w:r>
      <w:bookmarkEnd w:id="36"/>
      <w:bookmarkEnd w:id="37"/>
    </w:p>
    <w:p>
      <w:pPr>
        <w:widowControl w:val="0"/>
        <w:spacing w:after="0" w:line="560" w:lineRule="exact"/>
        <w:ind w:left="0" w:firstLine="472" w:firstLineChars="200"/>
        <w:rPr>
          <w:rFonts w:cs="Calibri" w:asciiTheme="minorEastAsia" w:hAnsiTheme="minorEastAsia" w:eastAsiaTheme="minorEastAsia"/>
          <w:color w:val="auto"/>
          <w:szCs w:val="24"/>
        </w:rPr>
        <w:sectPr>
          <w:headerReference r:id="rId12" w:type="default"/>
          <w:footerReference r:id="rId13" w:type="default"/>
          <w:pgSz w:w="11906" w:h="16838"/>
          <w:pgMar w:top="1985" w:right="1531" w:bottom="1985" w:left="1531" w:header="851" w:footer="1531" w:gutter="0"/>
          <w:cols w:space="720" w:num="1"/>
          <w:docGrid w:type="linesAndChars" w:linePitch="584" w:charSpace="-849"/>
        </w:sectPr>
      </w:pPr>
      <w:r>
        <w:rPr>
          <w:rFonts w:hint="eastAsia" w:cs="Calibri" w:asciiTheme="minorEastAsia" w:hAnsiTheme="minorEastAsia" w:eastAsiaTheme="minorEastAsia"/>
          <w:color w:val="auto"/>
          <w:szCs w:val="24"/>
        </w:rPr>
        <w:t>按照中电建冀交高速公路投资发展有限公司风险分级管控与隐患排查安全生产管理制度，以及风险分级管控与隐患排查治理实施手册等规定，制定指挥调度分中心的隐患排查清单。隐患排查清单中规定的日常排查由指挥调度中心负责，公司级（主要负责人、分管负责人）及安全管理部等部室，参照表3-1隐患排查清单中定期排查和专项排查内容，按照公司安全管理制度中规定频次开展安全检查（隐患排查）工作。</w:t>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表3-1指挥调度隐患排查清单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73"/>
        <w:gridCol w:w="845"/>
        <w:gridCol w:w="3119"/>
        <w:gridCol w:w="1136"/>
        <w:gridCol w:w="2831"/>
        <w:gridCol w:w="568"/>
        <w:gridCol w:w="568"/>
        <w:gridCol w:w="565"/>
        <w:gridCol w:w="427"/>
        <w:gridCol w:w="709"/>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372" w:type="pct"/>
            <w:gridSpan w:val="5"/>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风险分级管控</w:t>
            </w:r>
          </w:p>
        </w:tc>
        <w:tc>
          <w:tcPr>
            <w:tcW w:w="2166" w:type="pct"/>
            <w:gridSpan w:val="6"/>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隐患排查治理</w:t>
            </w:r>
          </w:p>
        </w:tc>
        <w:tc>
          <w:tcPr>
            <w:tcW w:w="462" w:type="pct"/>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gridSpan w:val="2"/>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风险点（风险部位）</w:t>
            </w:r>
          </w:p>
        </w:tc>
        <w:tc>
          <w:tcPr>
            <w:tcW w:w="323" w:type="pct"/>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风险失控表现（风险事件）</w:t>
            </w:r>
          </w:p>
        </w:tc>
        <w:tc>
          <w:tcPr>
            <w:tcW w:w="1192" w:type="pct"/>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风险管控措施</w:t>
            </w:r>
          </w:p>
        </w:tc>
        <w:tc>
          <w:tcPr>
            <w:tcW w:w="434" w:type="pct"/>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风险管控（失职）部门/人员</w:t>
            </w:r>
          </w:p>
        </w:tc>
        <w:tc>
          <w:tcPr>
            <w:tcW w:w="1082" w:type="pct"/>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隐患排查内容与标准</w:t>
            </w:r>
          </w:p>
        </w:tc>
        <w:tc>
          <w:tcPr>
            <w:tcW w:w="434" w:type="pct"/>
            <w:gridSpan w:val="2"/>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日常排查</w:t>
            </w:r>
          </w:p>
        </w:tc>
        <w:tc>
          <w:tcPr>
            <w:tcW w:w="216" w:type="pct"/>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定期排查</w:t>
            </w:r>
          </w:p>
        </w:tc>
        <w:tc>
          <w:tcPr>
            <w:tcW w:w="163" w:type="pct"/>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专项排查</w:t>
            </w:r>
          </w:p>
        </w:tc>
        <w:tc>
          <w:tcPr>
            <w:tcW w:w="271" w:type="pct"/>
            <w:vMerge w:val="restar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排查责任部门/责任人</w:t>
            </w: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gridSpan w:val="2"/>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3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日查</w:t>
            </w:r>
          </w:p>
        </w:tc>
        <w:tc>
          <w:tcPr>
            <w:tcW w:w="217" w:type="pct"/>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周查</w:t>
            </w: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收费（站）设备</w:t>
            </w: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机电设备用房</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设备故障/财物损失</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机电设备及其元器件、备品备件应配置齐全。</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1.室内环境良好、温湿度正常，设置空调、温湿度计。</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2.门窗关闭严密，无关人员不得进入。</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3.有防虫鼠措施。</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4.按规定设置防雷、防静电接地。</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5.元器件等备品备件应配置齐全。</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6.定期升级杀毒软件、防火墙和防毒墙策略升级、边界防毒、防入侵系统。</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7.机柜内线路整齐，设置标签。</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严禁接入无关设备。</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8.使用合格产品，备足关键设备、部件。</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9.每日巡查、定期测试。</w:t>
            </w:r>
          </w:p>
          <w:p>
            <w:pPr>
              <w:spacing w:after="24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10.加强作业人员业务培训，作业人员严格按照操作规程操作。</w:t>
            </w:r>
          </w:p>
          <w:p>
            <w:pPr>
              <w:spacing w:after="24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11.按规定开展巡查、维修保养工作。</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定期排查和专项排查由公司级、安全生产部组织相关部室、单位在日常安全检查工作中开展。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定期升级杀毒软件、防火墙和防毒墙策略升级、边界防毒、防入侵系统。</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室内通风空调系统良好，设置空调、温湿度计。</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室内环境整洁、设备表面清洁，有防虫鼠措施。</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使用合格蓄电池，定期进行充放电测试。</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定期对机柜内线路进行整理，设置标签。</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发现故障、数据丢失时重启或及时上报省中心。</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按规定设置防雷、防静电接地，定期进行防雷检测。</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非专业人员不得进入，严禁严禁接入无关设备、插入U盘谁问你个。</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加强作业人员业务培训，作业人员严格按照操作规程操作。</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按规定开展巡查、维修保养工作，发现故障及时上报，无法及时修复的，启动现场处置方案或应急预案。</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火灾</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机房内严禁接入无关电气设备。</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1.门窗关闭严密，无关人员不得进入。</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2.严禁接入无关电气设备。</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3.设备及线路应连接牢固。</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4.室内严禁吸烟、堆放杂物。</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5.防雷、防静电接地完好。</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设备及线路应连接牢固。</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室内严禁吸烟、堆放杂物；加强机房日常安全管理，无关人员、设备不得进入。</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室内消防器材齐全，按规定维修保养、及时更换。</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触电</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确保设备及外壳接地到位，发现隐患时及时维修。</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1.确保设备及外壳接地到位。</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2.作业时注意个人防护，使用合格劳动保护用品和作业工具，按规程操作。</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3.加强作业人员安全教育培训。</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清洁作业应按规程操作，作业时注意个人防护。</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加强作业人员安全教育培训，需要电气作业时，应与电工配合作业；使用合格劳动保护用品，按规程操作。</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车道机电设备</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设备故障/财物损失</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加强收费员安全和业务培训，误操作后及时上报。</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1.防雷接地设施完好有效。</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2.按规定备足关键部件。</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3.定期升级杀毒软件、防火墙和防毒墙策略升级、边界防毒、防入侵系统。</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4.非专业人员不得进入，严禁U盘插入。</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5.加强收费员安全和业务培训。</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6.及时更新、升级软件。</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7.车道机电设备位置合理，有保护措施，表面清洁。</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8.防雨、防水措施齐全</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9.按规定开展巡查、维修保养工作，维修保养人员按规程作业。</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备品备件应配置齐全，按规定巡查、维修保养。</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定期升级杀毒软件、防火墙和防毒墙策略升级、边界防毒、防入侵系统。</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车道上机电设备应位置合理，设备防雨、防水等措施齐全，加强雨雪天气设备巡查维护。</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防雷接地设施齐全有效，定期进行防雷检测。</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定期对设备进行除尘、维修保养工作。</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发现故障及时修复、上报，无法及时处理时，启动临时处置方案或应急预案。</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车道设备检维修</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车辆伤害</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车道作业时应关闭相应车道，设置警戒区，配置警戒人员。</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1.ET一般车道处标志标线齐全，照明条件良好。</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2.车道作业时应关闭相应车道，设置警戒区，配置警戒人员。</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3.加强作业人员安全教育培训，穿戴防护用品，按规程作业。</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4.作业及警戒人员应选择安全（明显）区域。</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5.雨雪、雾霾等天气作业时加强监护。</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加强作业人员安全教育培训，穿戴规定的保护用品，严格按规程作业。</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作业及警戒人员应选择安全（明显）区域，注意观察周边环境。</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雨雪、雾霾等天气作业时，应加强监护措施，</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物体打击</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作业时设专人监护，作业时注意观察周边环境。</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1.收费大棚上方灯具、监控等设备设施牢固。</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2.高处作业时工具、材料应放置稳妥，人员应穿戴安全带、防滑鞋等劳动保护用品。</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3.拆装较重物品时应多人作业，多人作业时设专人指挥。</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加强对车道高处设备设施巡视，作业时注意观察周边环境。</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拆装较重物品时应多人作业，多人作业时设专人指挥。</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高处作业时，工具、材料应放置稳妥，设置专用工具箱（袋）。</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烧烤、切割等作业时佩戴护目镜等防护用品。</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高处坠落</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制定高处作业安全管理规定，恶劣天气不得高处作业，高处作业人员应穿戴安全带、防滑鞋等劳动保护用品。</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制定高处作业安全管理规定，恶劣天气不得高处作业，高处作业人员应穿戴安全带、防滑鞋等劳动保护用品。</w:t>
            </w:r>
          </w:p>
        </w:tc>
        <w:tc>
          <w:tcPr>
            <w:tcW w:w="217"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触电</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作业前确保设备及外壳接地到位。</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1.门窗防雨性能良好，空调排水口不得直对设备。</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2.设备及外壳接地到位。</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3.持证上岗，使用合格劳动保护用品，按规程操作。</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定期检查，发现隐患时及时维修。</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作业时使用合格劳动保护用品，按规程操作，持证上岗。</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灼烫</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作业时佩戴防护手套等防护用品，注意与高温设备保持安全间距。</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作业时佩戴防护手套等防护用品，注意与高温设备保持安全间距。</w:t>
            </w:r>
          </w:p>
        </w:tc>
        <w:tc>
          <w:tcPr>
            <w:tcW w:w="217"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冻伤、中暑、粉尘等</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冬季户外作业时注意保暖。</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1.冬季户外作业时注意保暖。</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2.夏季户外作业时注意防晒，合理安排作业时间。</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3.户外作业时注意观察，配置或携带消毒药品。</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4.清尘作业时，佩戴防护口罩等。</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夏季户外作业时注意防晒，合理安排作业时间。</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户外作业时注意观察，配置或携带消毒药品。</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清尘作业时，佩戴防护口罩等。</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监控（中心）设备</w:t>
            </w: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监控（中心）设备</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设备故障/财物损失</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按规定开展巡查、测试工作，确保功能正常。</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指挥调度中心/机电维护员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1.室内环境良好、温湿度正常，设置空调、温湿度计。</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2.门窗关闭严密，无关人员不得进入。</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3.有防虫鼠措施。</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4.按规定设置防雷、防静电接地。</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5.元器件等备品备件应配置齐全。</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3.定期升级杀毒软件、防火墙和防毒墙策略升级、边界防毒、防入侵系统。</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7.机柜内线路整齐，设置标签。</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严禁接入无关设备。</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8.使用合格产品，备足关键设备、部件。</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9.每日巡查、定期测试。</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10.加强作业人员业务培训，作业人员严格按照操作规程操作。</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11.按规定开展巡查、维修保养工作。</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元器件等备品备件应配置齐全。</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指挥调度中心/机电维护员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定期升级杀毒软件、防火墙和防毒墙策略升级、边界防毒、防入侵系统。</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室内通风空调系统良好，设置空调、温湿度计。</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室内环境整洁、设备表面清洁，有防虫鼠措施。</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定期对机柜内线路进行整理，设置标签。</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按规定设置防雷、防静电接地，定期进行防雷检测。</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非专业人员不得进入，严禁严禁接入无关设备、插入U盘谁问你个。</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加强作业人员业务培训，作业人员严格按照操作规程操作。</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按规定开展巡查、维修保养工作，发现故障及时上报，无法及时修复的，启动现场处置方案或应急预案。</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触电</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作业前确保设备及外壳接地到位。</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1.门窗防雨性能良好，空调排水口不得直对设备。</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2.设备及外壳接地到位。</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3.持证上岗，使用合格劳动保护用品，按规程操作。</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加强作业人员安全教育培训，使用合格劳动保护用品，按规程操作。</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门窗防雨性能良好，空调排水口不得直对设备。</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收费、监控（路段）设备</w:t>
            </w: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路段设备</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设备故障/财物损失</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按规定巡查、维修保养设备，确保外场设备齐全稳固、功能正常。</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1.防雷接地设施齐全有效。</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2.按规定巡查、维修保养，确保设备功能正常。</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3.定期升级杀毒软件、防火墙。</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4.作业时要按规定设置作业区，按照操作规程作业。</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定期升级杀毒软件、防火墙，非专业人员不得操作。</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作业人员严格按照操作规程作业，发现设备损坏时及时更换。</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确保防雷接地设施齐全有效。</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无法及时修复时，要与设备、软件供应商及时协调解决。</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检维修作业</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车辆伤害</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加强作业人员业务和安全教育培训，按规定设置作业区，摆放交通标志。设置养护作业区时，现场设置安全员和指挥员，注意周边环境观察。</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1.照明及视线条件良好。</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2.加强作业人员业务和安全教育培训，进行作业前安全技术交底。</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3.按规定设置作业区，摆放交通标志。</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4.作业人员和机械设备、车辆、物资不得超出作业区。</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公主任、副主任/机电维护员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加强作业现场安全管理，按规定摆放作业区，作业人员和机械设备、车辆、物资不得超出作业区。</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按规定开展作业前安全技术交底，作业人员按规定穿戴反光服和规定程序作业，加强作业中安全检查。</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按照管理制度要求开展路上作业，夜间作业时，应保证照明充足。</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高处坠落</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制定高处作业安全管理规定，恶劣天气不得高处作业。</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制定高处作业安全管理规定，恶劣天气不得高处作业，高处作业人员应穿戴安全带、防滑鞋等劳动保护用品。</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公主任、副主任/机电维护员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临边作业时注意个人防护，穿戴防滑鞋。</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物体打击</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对户外高处监控设备定期巡视检查，发现固定不牢等隐患时及时维修。</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1.户外高处监控设备固定牢固。</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2.作业时设专人监护，作业时注意观察周边环境。</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3.高处作业时，工具、材料应放置稳妥。</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作业时设专人监护，作业时注意观察周边环境。</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高处作业时，工具、材料应放置稳妥，设置专用工具箱（袋）。</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触电</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作业前确保设备及外壳接地到位。</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1.设备及外壳接地到位。</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2.定期检查，发现隐患时及时维修。</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3.加强作业人员安全教育培训，严格按规程作业。</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加强作业人员安全教育培训，严格按规程作业。</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淹溺、摔伤、中暑等</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确认线缆井内作业环境进行安全确认，并配置救援绳等个体防护设备。</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1.井下作业时应先进行安全确认，并配置救援绳等防护设备。</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2.室外作业时，注意室外防火，烟头不得随意丢弃。</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3.雷雨天气严禁高处维修作业。</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4.冬季户外作业时注意保暖。</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5.夏季户外作业时注意防晒，合理安排作业时间。</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6.户外作业时注意观察，配置或携带消毒药品。</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室外作业时，注意室外防火，烟头不得随意丢弃。</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冬季户外作业时注意保暖。</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夏季户外作业时注意防晒，合理安排作业时间。</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监控中心</w:t>
            </w: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监控中心</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火灾</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加强监控中心内日常巡查检查，防止违规用电现象。</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1.门窗完好、孔洞封堵。防鼠措施齐全有效。</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2.无违章用电现象。</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3.严禁堆放无关杂物。</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4.严禁吸烟，严格限制各类动火作业。</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5.定期进行防雷检测。</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6.室内按规定配置消防器材。</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监控中心内严禁堆放无关杂物。</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监控中心内严禁吸烟，严格限制各类动火作业。</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确保防雷接地设施有效。</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室内按规定配置消防器材，定期进行消防巡查。</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定期检查维修门窗、孔洞，放置粘鼠板、鼠药。</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触电</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确保配电箱、机电气设备及外壳接地到位。</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1.定期巡视检查，发现绝缘破损、裸露的设备及线缆时及时上报维修，不得随意接线。</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2.电气设备、插座应远离水壶、潮湿场所。</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3.使用合格的电气产品，3一般认证的合格插座。</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4.发现电气隐患时应及时上报，无证人员不得违章作业。</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5.电气作业时应穿戴合格防护用品，按规程操作。</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发现绝缘破损的设备及线缆时及时上报维修。</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发现积水时及时上报维修。</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使用3一般认证的合格插座。</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监控作业</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财产损失</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定期排查监控室内结构、门窗情况，出入应关闭门窗，无关人员不得进入。</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监控班长</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1.监控室内结构、门窗完好。</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2.闭门作业，无关人员不得进入。</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3.监控室监控完好。</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4.禁止工作人员携带U盘进入监控室。</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5.禁止工作人员安装与工作无关软件或浏览非法网页。</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加强教育培训和日常巡查，监控室设置监控。</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禁止工作人员携带U盘进入监控室；禁止工作人员安装与工作无关软件或浏览非法网页；加强业务和安全教育培训，发现问题后及时上报。</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定期巡视路段、收费站、监控室等场所。</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监控班长</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1.监控等设备功能正常。</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2.按规定巡查。</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3.信息发布、上报流程齐全，按规定程序作业。</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定期维护、保养，确保监控、通信等设备功能正常。</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加强教育培训和日常巡查，监控室设置监控。</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监控中心设置信息发布、上报流程，加强监控人员业务培训。</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通信机房</w:t>
            </w: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机房及设备</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财产损失</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每日巡查，发现故障、老化的设备要及时维修更换。</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1.设备无故障、老化等现象。</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2.定期升级杀毒软件、防火墙。</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3.非专业人员不得进入。</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4.防雷接地设施完好有效。</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5.设备机房清洁，机房内设置空调、温湿度计。</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定期升级杀毒软件、防火墙，非专业人员不得进入和操作。</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作业人员严格按照操作规程作业。</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防雷设备设施有效。</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定期对设备机房进行清尘，机房内设置空调、温湿度计，保证室内温湿度满足使用要求。</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火灾</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对蓄电池等设备要定期维修保养、及时更换。</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1.蓄电池功能正常。</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2.非专业人员不得进入。</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3.防雷接地设施完好有效。</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4.室内消防器材齐全有效。</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加强机房日常安全管理，无关人员、设备不得进入。</w:t>
            </w:r>
          </w:p>
        </w:tc>
        <w:tc>
          <w:tcPr>
            <w:tcW w:w="434" w:type="pct"/>
            <w:shd w:val="clear" w:color="auto" w:fill="auto"/>
            <w:vAlign w:val="center"/>
          </w:tcPr>
          <w:p>
            <w:pPr>
              <w:spacing w:after="0" w:line="300" w:lineRule="exact"/>
              <w:ind w:left="0" w:firstLine="0"/>
              <w:jc w:val="center"/>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监控班长</w:t>
            </w:r>
          </w:p>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确保机电设备防雷接地有效。</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消防器材要定期排查、维保。</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主任、副主任/监控班长</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触电</w:t>
            </w: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作业前确保设备及外壳接地到位。</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机电维护员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1.保设备及外壳接地到位。</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2.电气线路及设备完好。</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3.雷雨天气严禁高处维修作业。</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4.加强作业人员安全教育培训，严格按规程作业。</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加强作业人员安全教育培训，严格按规程作业。</w:t>
            </w:r>
          </w:p>
        </w:tc>
        <w:tc>
          <w:tcPr>
            <w:tcW w:w="434"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主任、副主任/机电维护员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稽查</w:t>
            </w:r>
          </w:p>
        </w:tc>
        <w:tc>
          <w:tcPr>
            <w:tcW w:w="219"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稽查作业</w:t>
            </w: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车辆伤害</w:t>
            </w:r>
          </w:p>
        </w:tc>
        <w:tc>
          <w:tcPr>
            <w:tcW w:w="1192" w:type="pct"/>
            <w:shd w:val="clear" w:color="000000" w:fill="FFFFFF"/>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稽查作业时注意观察周边环境和来往车辆，穿越车道时遵守规则，必要时摆放安全标志牌，设专人监护。</w:t>
            </w:r>
          </w:p>
        </w:tc>
        <w:tc>
          <w:tcPr>
            <w:tcW w:w="434" w:type="pct"/>
            <w:shd w:val="clear" w:color="000000" w:fill="FFFFFF"/>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稽查员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1.稽查作业时穿戴防护用品，按规定穿越车道。</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2.加强作业人员安全教育培训和班前检查。</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3.关注气象信息，减少雨雪、雾霾等恶劣天气室外作业。</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4.作业时遵守车辆驾驶安全规定。</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000000" w:fill="FFFFFF"/>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加强作业人员安全教育培训和班前检查，严格按规程作业。</w:t>
            </w:r>
          </w:p>
        </w:tc>
        <w:tc>
          <w:tcPr>
            <w:tcW w:w="434" w:type="pct"/>
            <w:shd w:val="clear" w:color="000000" w:fill="FFFFFF"/>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000000" w:fill="FFFFFF"/>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关注气象信息，合理安排作业时间，减少雨雪、雾霾等恶劣天气室外作业。</w:t>
            </w:r>
          </w:p>
        </w:tc>
        <w:tc>
          <w:tcPr>
            <w:tcW w:w="434" w:type="pct"/>
            <w:shd w:val="clear" w:color="000000" w:fill="FFFFFF"/>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000000" w:fill="FFFFFF"/>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制定相关作业流程，追缴作业时遵守车辆驾驶安全规定，并加强个人防护。</w:t>
            </w:r>
          </w:p>
        </w:tc>
        <w:tc>
          <w:tcPr>
            <w:tcW w:w="434" w:type="pct"/>
            <w:shd w:val="clear" w:color="000000" w:fill="FFFFFF"/>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财产损失</w:t>
            </w:r>
          </w:p>
        </w:tc>
        <w:tc>
          <w:tcPr>
            <w:tcW w:w="1192" w:type="pct"/>
            <w:shd w:val="clear" w:color="000000" w:fill="FFFFFF"/>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加强稽查人员业务培训，提高廉政意识，定期检查责任落实情况。</w:t>
            </w:r>
          </w:p>
        </w:tc>
        <w:tc>
          <w:tcPr>
            <w:tcW w:w="434" w:type="pct"/>
            <w:shd w:val="clear" w:color="000000" w:fill="FFFFFF"/>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108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加强稽查人员业务培训，定期检查责任落实情况，提高廉政意识。</w:t>
            </w:r>
          </w:p>
        </w:tc>
        <w:tc>
          <w:tcPr>
            <w:tcW w:w="217"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163"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462"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其他伤害</w:t>
            </w:r>
          </w:p>
        </w:tc>
        <w:tc>
          <w:tcPr>
            <w:tcW w:w="1192" w:type="pct"/>
            <w:shd w:val="clear" w:color="000000" w:fill="FFFFFF"/>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作业时人员注意观察周边环境，注意来往车辆、凸起物体及坑槽，发生伤害事故时及时就医处理。</w:t>
            </w:r>
          </w:p>
        </w:tc>
        <w:tc>
          <w:tcPr>
            <w:tcW w:w="434" w:type="pct"/>
            <w:shd w:val="clear" w:color="000000" w:fill="FFFFFF"/>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稽查员</w:t>
            </w:r>
          </w:p>
        </w:tc>
        <w:tc>
          <w:tcPr>
            <w:tcW w:w="1082" w:type="pct"/>
            <w:vMerge w:val="restart"/>
            <w:shd w:val="clear" w:color="auto" w:fill="auto"/>
            <w:vAlign w:val="center"/>
          </w:tcPr>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1.稽查人员按规定携带证件、穿戴制服，加强业务技能培训。</w:t>
            </w:r>
          </w:p>
          <w:p>
            <w:pPr>
              <w:spacing w:after="0" w:line="300" w:lineRule="exact"/>
              <w:ind w:left="0" w:firstLine="0"/>
              <w:rPr>
                <w:rFonts w:hint="eastAsia" w:cs="宋体" w:asciiTheme="minorEastAsia" w:hAnsiTheme="minorEastAsia" w:eastAsiaTheme="minorEastAsia"/>
                <w:color w:val="auto"/>
                <w:kern w:val="0"/>
                <w:sz w:val="18"/>
                <w:szCs w:val="18"/>
                <w:lang w:eastAsia="zh-CN"/>
              </w:rPr>
            </w:pPr>
            <w:r>
              <w:rPr>
                <w:rFonts w:hint="eastAsia" w:cs="宋体" w:asciiTheme="minorEastAsia" w:hAnsiTheme="minorEastAsia" w:eastAsiaTheme="minorEastAsia"/>
                <w:color w:val="auto"/>
                <w:kern w:val="0"/>
                <w:sz w:val="18"/>
                <w:szCs w:val="18"/>
              </w:rPr>
              <w:t>2.关注气象信息，合理安排作业时间，避免雷雨天气进行稽查作业。</w:t>
            </w:r>
          </w:p>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3.作业时人员注意观察周边环，按规定程序作业。</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7"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2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　</w:t>
            </w:r>
          </w:p>
        </w:tc>
        <w:tc>
          <w:tcPr>
            <w:tcW w:w="163"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w:t>
            </w:r>
          </w:p>
        </w:tc>
        <w:tc>
          <w:tcPr>
            <w:tcW w:w="271"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46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有作业时排查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000000" w:fill="FFFFFF"/>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关注气象信息，合理安排作业时间，避免雷雨天气进行稽查作业，为室外作业人员配备防暑降温用品。</w:t>
            </w:r>
          </w:p>
        </w:tc>
        <w:tc>
          <w:tcPr>
            <w:tcW w:w="434" w:type="pct"/>
            <w:shd w:val="clear" w:color="000000" w:fill="FFFFFF"/>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4"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9"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32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192" w:type="pct"/>
            <w:shd w:val="clear" w:color="000000" w:fill="FFFFFF"/>
            <w:vAlign w:val="center"/>
          </w:tcPr>
          <w:p>
            <w:pPr>
              <w:spacing w:after="0" w:line="300" w:lineRule="exact"/>
              <w:ind w:left="0" w:firstLine="0"/>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稽查人员按规定携带证件、穿戴制服，加强业务技能和安全教育培训，按规定程序作业。</w:t>
            </w:r>
          </w:p>
        </w:tc>
        <w:tc>
          <w:tcPr>
            <w:tcW w:w="434" w:type="pct"/>
            <w:shd w:val="clear" w:color="000000" w:fill="FFFFFF"/>
            <w:vAlign w:val="center"/>
          </w:tcPr>
          <w:p>
            <w:pPr>
              <w:spacing w:after="0" w:line="300" w:lineRule="exact"/>
              <w:ind w:left="0" w:firstLine="0"/>
              <w:jc w:val="center"/>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主任、副主任/稽查员</w:t>
            </w:r>
          </w:p>
        </w:tc>
        <w:tc>
          <w:tcPr>
            <w:tcW w:w="108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7"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16"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163"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271"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c>
          <w:tcPr>
            <w:tcW w:w="462" w:type="pct"/>
            <w:vMerge w:val="continue"/>
            <w:vAlign w:val="center"/>
          </w:tcPr>
          <w:p>
            <w:pPr>
              <w:spacing w:after="0" w:line="300" w:lineRule="exact"/>
              <w:ind w:left="0" w:firstLine="0"/>
              <w:rPr>
                <w:rFonts w:cs="宋体" w:asciiTheme="minorEastAsia" w:hAnsiTheme="minorEastAsia" w:eastAsiaTheme="minorEastAsia"/>
                <w:color w:val="auto"/>
                <w:kern w:val="0"/>
                <w:sz w:val="18"/>
                <w:szCs w:val="18"/>
              </w:rPr>
            </w:pPr>
          </w:p>
        </w:tc>
      </w:tr>
    </w:tbl>
    <w:p>
      <w:pPr>
        <w:widowControl w:val="0"/>
        <w:spacing w:after="0" w:line="560" w:lineRule="exact"/>
        <w:ind w:left="0" w:firstLine="472" w:firstLineChars="200"/>
        <w:rPr>
          <w:rFonts w:cs="Calibri" w:asciiTheme="minorEastAsia" w:hAnsiTheme="minorEastAsia" w:eastAsiaTheme="minorEastAsia"/>
          <w:color w:val="auto"/>
          <w:szCs w:val="24"/>
        </w:rPr>
        <w:sectPr>
          <w:headerReference r:id="rId14" w:type="default"/>
          <w:pgSz w:w="16838" w:h="11906" w:orient="landscape"/>
          <w:pgMar w:top="1531" w:right="1985" w:bottom="1531" w:left="1985" w:header="851" w:footer="1531" w:gutter="0"/>
          <w:cols w:space="720" w:num="1"/>
          <w:docGrid w:type="linesAndChars" w:linePitch="584" w:charSpace="-849"/>
        </w:sect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38" w:name="_Toc47529691"/>
      <w:bookmarkStart w:id="39" w:name="_Toc89069755"/>
      <w:r>
        <w:rPr>
          <w:rFonts w:hint="eastAsia" w:cs="Calibri" w:asciiTheme="minorEastAsia" w:hAnsiTheme="minorEastAsia" w:eastAsiaTheme="minorEastAsia"/>
          <w:b/>
          <w:color w:val="auto"/>
          <w:sz w:val="28"/>
          <w:szCs w:val="24"/>
        </w:rPr>
        <w:t>3.2日查隐患排查记录</w:t>
      </w:r>
      <w:bookmarkEnd w:id="38"/>
      <w:bookmarkEnd w:id="39"/>
    </w:p>
    <w:p>
      <w:pPr>
        <w:widowControl w:val="0"/>
        <w:spacing w:after="0" w:line="560" w:lineRule="exact"/>
        <w:ind w:left="0" w:firstLine="472" w:firstLineChars="200"/>
        <w:rPr>
          <w:rFonts w:cs="Calibri" w:asciiTheme="minorEastAsia" w:hAnsiTheme="minorEastAsia" w:eastAsiaTheme="minorEastAsia"/>
          <w:color w:val="auto"/>
          <w:szCs w:val="24"/>
        </w:rPr>
      </w:pPr>
      <w:bookmarkStart w:id="40" w:name="_Toc47529692"/>
      <w:r>
        <w:rPr>
          <w:rFonts w:hint="eastAsia" w:cs="Calibri" w:asciiTheme="minorEastAsia" w:hAnsiTheme="minorEastAsia" w:eastAsiaTheme="minorEastAsia"/>
          <w:color w:val="auto"/>
          <w:szCs w:val="24"/>
        </w:rPr>
        <w:t>按照中电建冀交高速公路投资发展有限公司隐患排查治理制度及指挥调度分中心设备设施、人员配置，制定隐患排查记录。各指挥调度分中心至少每周进行一次安全隐患排查，具体排查要求如下：</w:t>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2</w:t>
      </w:r>
      <w:r>
        <w:rPr>
          <w:rFonts w:hint="eastAsia" w:cs="Calibri" w:asciiTheme="minorEastAsia" w:hAnsiTheme="minorEastAsia" w:eastAsiaTheme="minorEastAsia"/>
          <w:b/>
          <w:color w:val="auto"/>
          <w:sz w:val="21"/>
          <w:szCs w:val="24"/>
        </w:rPr>
        <w:t xml:space="preserve"> 指挥调度分中心隐患排查治理要求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3827"/>
        <w:gridCol w:w="4536"/>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场所部位</w:t>
            </w:r>
            <w:r>
              <w:rPr>
                <w:rFonts w:hint="eastAsia" w:cs="Calibri" w:asciiTheme="minorEastAsia" w:hAnsiTheme="minorEastAsia" w:eastAsiaTheme="minorEastAsia"/>
                <w:color w:val="auto"/>
                <w:sz w:val="21"/>
                <w:szCs w:val="24"/>
              </w:rPr>
              <w:t>/设备设施</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排查频次</w:t>
            </w:r>
          </w:p>
        </w:tc>
        <w:tc>
          <w:tcPr>
            <w:tcW w:w="4536"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排查人</w:t>
            </w:r>
          </w:p>
        </w:tc>
        <w:tc>
          <w:tcPr>
            <w:tcW w:w="2061"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发电机房</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4536" w:type="dxa"/>
            <w:vMerge w:val="restart"/>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根据本</w:t>
            </w:r>
            <w:r>
              <w:rPr>
                <w:rFonts w:hint="eastAsia" w:cs="Calibri" w:asciiTheme="minorEastAsia" w:hAnsiTheme="minorEastAsia" w:eastAsiaTheme="minorEastAsia"/>
                <w:color w:val="auto"/>
                <w:sz w:val="21"/>
                <w:szCs w:val="24"/>
              </w:rPr>
              <w:t>中心</w:t>
            </w:r>
            <w:r>
              <w:rPr>
                <w:rFonts w:cs="Calibri" w:asciiTheme="minorEastAsia" w:hAnsiTheme="minorEastAsia" w:eastAsiaTheme="minorEastAsia"/>
                <w:color w:val="auto"/>
                <w:sz w:val="21"/>
                <w:szCs w:val="24"/>
              </w:rPr>
              <w:t>人员配置情况确定</w:t>
            </w:r>
            <w:r>
              <w:rPr>
                <w:rFonts w:hint="eastAsia" w:cs="Calibri" w:asciiTheme="minorEastAsia" w:hAnsiTheme="minorEastAsia" w:eastAsiaTheme="minorEastAsia"/>
                <w:color w:val="auto"/>
                <w:sz w:val="21"/>
                <w:szCs w:val="24"/>
              </w:rPr>
              <w:t>。</w:t>
            </w:r>
          </w:p>
        </w:tc>
        <w:tc>
          <w:tcPr>
            <w:tcW w:w="2061" w:type="dxa"/>
            <w:vMerge w:val="restart"/>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隐患排查记录表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消防泵房</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4536"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c>
          <w:tcPr>
            <w:tcW w:w="2061"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配电室</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4536"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c>
          <w:tcPr>
            <w:tcW w:w="2061"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食堂</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4536"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c>
          <w:tcPr>
            <w:tcW w:w="2061"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hint="eastAsia" w:cs="Calibri" w:asciiTheme="minorEastAsia" w:hAnsiTheme="minorEastAsia" w:eastAsiaTheme="minorEastAsia"/>
                <w:color w:val="auto"/>
                <w:sz w:val="21"/>
                <w:szCs w:val="24"/>
              </w:rPr>
              <w:t>通信机房</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4536"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c>
          <w:tcPr>
            <w:tcW w:w="2061"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hint="eastAsia" w:cs="Calibri" w:asciiTheme="minorEastAsia" w:hAnsiTheme="minorEastAsia" w:eastAsiaTheme="minorEastAsia"/>
                <w:color w:val="auto"/>
                <w:sz w:val="21"/>
                <w:szCs w:val="24"/>
              </w:rPr>
              <w:t>监控中心</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4536"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c>
          <w:tcPr>
            <w:tcW w:w="2061"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hint="eastAsia" w:cs="Calibri" w:asciiTheme="minorEastAsia" w:hAnsiTheme="minorEastAsia" w:eastAsiaTheme="minorEastAsia"/>
                <w:color w:val="auto"/>
                <w:sz w:val="21"/>
                <w:szCs w:val="24"/>
              </w:rPr>
              <w:t>收费广场机电设备</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4536"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c>
          <w:tcPr>
            <w:tcW w:w="2061"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hint="eastAsia" w:cs="Calibri" w:asciiTheme="minorEastAsia" w:hAnsiTheme="minorEastAsia" w:eastAsiaTheme="minorEastAsia"/>
                <w:color w:val="auto"/>
                <w:sz w:val="21"/>
                <w:szCs w:val="24"/>
              </w:rPr>
              <w:t>指挥调度分中心所有部位及作业</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每周一次</w:t>
            </w:r>
          </w:p>
        </w:tc>
        <w:tc>
          <w:tcPr>
            <w:tcW w:w="4536"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hint="eastAsia" w:cs="Calibri" w:asciiTheme="minorEastAsia" w:hAnsiTheme="minorEastAsia" w:eastAsiaTheme="minorEastAsia"/>
                <w:color w:val="auto"/>
                <w:sz w:val="21"/>
                <w:szCs w:val="24"/>
              </w:rPr>
              <w:t>指挥调度中心</w:t>
            </w:r>
            <w:r>
              <w:rPr>
                <w:rFonts w:cs="Calibri" w:asciiTheme="minorEastAsia" w:hAnsiTheme="minorEastAsia" w:eastAsiaTheme="minorEastAsia"/>
                <w:color w:val="auto"/>
                <w:sz w:val="21"/>
                <w:szCs w:val="24"/>
              </w:rPr>
              <w:t>主任</w:t>
            </w:r>
            <w:r>
              <w:rPr>
                <w:rFonts w:hint="eastAsia" w:cs="Calibri" w:asciiTheme="minorEastAsia" w:hAnsiTheme="minorEastAsia" w:eastAsiaTheme="minorEastAsia"/>
                <w:color w:val="auto"/>
                <w:sz w:val="21"/>
                <w:szCs w:val="24"/>
              </w:rPr>
              <w:t>、</w:t>
            </w:r>
            <w:r>
              <w:rPr>
                <w:rFonts w:cs="Calibri" w:asciiTheme="minorEastAsia" w:hAnsiTheme="minorEastAsia" w:eastAsiaTheme="minorEastAsia"/>
                <w:color w:val="auto"/>
                <w:sz w:val="21"/>
                <w:szCs w:val="24"/>
              </w:rPr>
              <w:t>副主任</w:t>
            </w:r>
            <w:r>
              <w:rPr>
                <w:rFonts w:hint="eastAsia" w:cs="Calibri" w:asciiTheme="minorEastAsia" w:hAnsiTheme="minorEastAsia" w:eastAsiaTheme="minorEastAsia"/>
                <w:color w:val="auto"/>
                <w:sz w:val="21"/>
                <w:szCs w:val="24"/>
              </w:rPr>
              <w:t>组织，其中主任每两周至少组织一次。</w:t>
            </w:r>
          </w:p>
        </w:tc>
        <w:tc>
          <w:tcPr>
            <w:tcW w:w="2061"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3" w:type="dxa"/>
            <w:gridSpan w:val="3"/>
            <w:vAlign w:val="center"/>
          </w:tcPr>
          <w:p>
            <w:pPr>
              <w:widowControl w:val="0"/>
              <w:spacing w:after="0" w:line="520" w:lineRule="exact"/>
              <w:ind w:left="0" w:firstLine="0"/>
              <w:jc w:val="left"/>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t>注</w:t>
            </w:r>
            <w:r>
              <w:rPr>
                <w:rFonts w:hint="eastAsia" w:cs="Calibri" w:asciiTheme="minorEastAsia" w:hAnsiTheme="minorEastAsia" w:eastAsiaTheme="minorEastAsia"/>
                <w:b/>
                <w:color w:val="auto"/>
                <w:sz w:val="21"/>
                <w:szCs w:val="24"/>
              </w:rPr>
              <w:t>：指挥调度分中心每月</w:t>
            </w:r>
            <w:r>
              <w:rPr>
                <w:rFonts w:cs="Calibri" w:asciiTheme="minorEastAsia" w:hAnsiTheme="minorEastAsia" w:eastAsiaTheme="minorEastAsia"/>
                <w:b/>
                <w:color w:val="auto"/>
                <w:sz w:val="21"/>
                <w:szCs w:val="24"/>
              </w:rPr>
              <w:t>上报隐患排查治理台账</w:t>
            </w:r>
          </w:p>
        </w:tc>
        <w:tc>
          <w:tcPr>
            <w:tcW w:w="2061"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隐患排查治理台账</w:t>
            </w:r>
          </w:p>
        </w:tc>
      </w:tr>
    </w:tbl>
    <w:p>
      <w:pPr>
        <w:widowControl w:val="0"/>
        <w:spacing w:after="0" w:line="360" w:lineRule="auto"/>
        <w:ind w:left="0" w:firstLine="0"/>
        <w:jc w:val="both"/>
        <w:outlineLvl w:val="2"/>
        <w:rPr>
          <w:rFonts w:cs="Calibri" w:asciiTheme="minorEastAsia" w:hAnsiTheme="minorEastAsia" w:eastAsiaTheme="minorEastAsia"/>
          <w:b/>
          <w:color w:val="auto"/>
          <w:szCs w:val="24"/>
        </w:rPr>
        <w:sectPr>
          <w:headerReference r:id="rId15" w:type="default"/>
          <w:footerReference r:id="rId16" w:type="default"/>
          <w:pgSz w:w="16838" w:h="11906" w:orient="landscape"/>
          <w:pgMar w:top="1531" w:right="1985" w:bottom="1531" w:left="1985" w:header="851" w:footer="850" w:gutter="0"/>
          <w:cols w:space="720" w:num="1"/>
          <w:docGrid w:type="linesAndChars" w:linePitch="584" w:charSpace="-849"/>
        </w:sectPr>
      </w:pP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3</w:t>
      </w:r>
      <w:r>
        <w:rPr>
          <w:rFonts w:hint="eastAsia" w:cs="Calibri" w:asciiTheme="minorEastAsia" w:hAnsiTheme="minorEastAsia" w:eastAsiaTheme="minorEastAsia"/>
          <w:b/>
          <w:color w:val="auto"/>
          <w:sz w:val="21"/>
          <w:szCs w:val="24"/>
        </w:rPr>
        <w:t>发电机房隐患排查记录表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33"/>
        <w:gridCol w:w="1756"/>
        <w:gridCol w:w="1756"/>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5" w:hRule="atLeast"/>
        </w:trPr>
        <w:tc>
          <w:tcPr>
            <w:tcW w:w="1337"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663"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97"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97"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56"/>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门窗及孔洞关闭严密，室内无杂物、油污、虫鼠踪迹、私拉乱接等。</w:t>
            </w:r>
          </w:p>
          <w:p>
            <w:pPr>
              <w:pStyle w:val="56"/>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室内</w:t>
            </w:r>
            <w:r>
              <w:rPr>
                <w:rFonts w:hint="eastAsia" w:cs="宋体" w:asciiTheme="minorEastAsia" w:hAnsiTheme="minorEastAsia" w:eastAsiaTheme="minorEastAsia"/>
                <w:color w:val="auto"/>
                <w:kern w:val="0"/>
                <w:sz w:val="21"/>
                <w:szCs w:val="21"/>
              </w:rPr>
              <w:t>环境良好，温湿度正常。</w:t>
            </w:r>
          </w:p>
          <w:p>
            <w:pPr>
              <w:pStyle w:val="56"/>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启动电池电压正常</w:t>
            </w:r>
            <w:r>
              <w:rPr>
                <w:rFonts w:hint="eastAsia" w:ascii="宋体" w:hAnsi="宋体" w:eastAsia="宋体" w:cs="宋体"/>
                <w:color w:val="auto"/>
                <w:kern w:val="0"/>
                <w:sz w:val="21"/>
                <w:szCs w:val="21"/>
              </w:rPr>
              <w:t>、档位正常、</w:t>
            </w:r>
            <w:r>
              <w:rPr>
                <w:rFonts w:ascii="宋体" w:hAnsi="宋体" w:eastAsia="宋体" w:cs="宋体"/>
                <w:color w:val="auto"/>
                <w:kern w:val="0"/>
                <w:sz w:val="21"/>
                <w:szCs w:val="21"/>
              </w:rPr>
              <w:t>无故障告警</w:t>
            </w:r>
            <w:r>
              <w:rPr>
                <w:rFonts w:hint="eastAsia" w:ascii="宋体" w:hAnsi="宋体" w:eastAsia="宋体" w:cs="宋体"/>
                <w:color w:val="auto"/>
                <w:kern w:val="0"/>
                <w:sz w:val="21"/>
                <w:szCs w:val="21"/>
              </w:rPr>
              <w:t>。</w:t>
            </w:r>
          </w:p>
          <w:p>
            <w:pPr>
              <w:pStyle w:val="56"/>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油箱油量</w:t>
            </w:r>
            <w:r>
              <w:rPr>
                <w:rFonts w:ascii="宋体" w:hAnsi="宋体" w:eastAsia="宋体" w:cs="宋体"/>
                <w:color w:val="auto"/>
                <w:kern w:val="0"/>
                <w:sz w:val="21"/>
                <w:szCs w:val="21"/>
              </w:rPr>
              <w:t>储备足够</w:t>
            </w:r>
            <w:r>
              <w:rPr>
                <w:rFonts w:hint="eastAsia" w:ascii="宋体" w:hAnsi="宋体" w:eastAsia="宋体" w:cs="宋体"/>
                <w:color w:val="auto"/>
                <w:kern w:val="0"/>
                <w:sz w:val="21"/>
                <w:szCs w:val="21"/>
              </w:rPr>
              <w:t>，管道、油箱</w:t>
            </w:r>
            <w:r>
              <w:rPr>
                <w:rFonts w:ascii="宋体" w:hAnsi="宋体" w:eastAsia="宋体" w:cs="宋体"/>
                <w:color w:val="auto"/>
                <w:kern w:val="0"/>
                <w:sz w:val="21"/>
                <w:szCs w:val="21"/>
              </w:rPr>
              <w:t>无变形</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泄露</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破损等</w:t>
            </w:r>
            <w:r>
              <w:rPr>
                <w:rFonts w:hint="eastAsia" w:ascii="宋体" w:hAnsi="宋体" w:eastAsia="宋体" w:cs="宋体"/>
                <w:color w:val="auto"/>
                <w:kern w:val="0"/>
                <w:sz w:val="21"/>
                <w:szCs w:val="21"/>
              </w:rPr>
              <w:t>。</w:t>
            </w:r>
          </w:p>
          <w:p>
            <w:pPr>
              <w:pStyle w:val="56"/>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线缆连接</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接地连接正常</w:t>
            </w:r>
            <w:r>
              <w:rPr>
                <w:rFonts w:hint="eastAsia" w:cs="宋体" w:asciiTheme="minorEastAsia" w:hAnsiTheme="minorEastAsia" w:eastAsiaTheme="minorEastAsia"/>
                <w:color w:val="auto"/>
                <w:kern w:val="0"/>
                <w:sz w:val="21"/>
                <w:szCs w:val="21"/>
              </w:rPr>
              <w:t>。</w:t>
            </w:r>
          </w:p>
          <w:p>
            <w:pPr>
              <w:pStyle w:val="56"/>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作业工具配置齐全有效</w:t>
            </w:r>
            <w:r>
              <w:rPr>
                <w:rFonts w:hint="eastAsia" w:cs="宋体" w:asciiTheme="minorEastAsia" w:hAnsiTheme="minorEastAsia" w:eastAsiaTheme="minorEastAsia"/>
                <w:color w:val="auto"/>
                <w:kern w:val="0"/>
                <w:sz w:val="21"/>
                <w:szCs w:val="21"/>
              </w:rPr>
              <w:t>。</w:t>
            </w:r>
          </w:p>
          <w:p>
            <w:pPr>
              <w:pStyle w:val="56"/>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消防器材</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应急照明配置齐全有效</w:t>
            </w:r>
            <w:r>
              <w:rPr>
                <w:rFonts w:hint="eastAsia" w:cs="宋体" w:asciiTheme="minorEastAsia" w:hAnsiTheme="minorEastAsia" w:eastAsiaTheme="minorEastAsia"/>
                <w:color w:val="auto"/>
                <w:kern w:val="0"/>
                <w:sz w:val="21"/>
                <w:szCs w:val="21"/>
              </w:rPr>
              <w:t>。</w:t>
            </w:r>
          </w:p>
          <w:p>
            <w:pPr>
              <w:pStyle w:val="56"/>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97"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97"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4</w:t>
      </w:r>
      <w:r>
        <w:rPr>
          <w:rFonts w:hint="eastAsia" w:cs="Calibri" w:asciiTheme="minorEastAsia" w:hAnsiTheme="minorEastAsia" w:eastAsiaTheme="minorEastAsia"/>
          <w:b/>
          <w:color w:val="auto"/>
          <w:sz w:val="21"/>
          <w:szCs w:val="24"/>
        </w:rPr>
        <w:t>消防泵房隐患排查记录表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33"/>
        <w:gridCol w:w="1756"/>
        <w:gridCol w:w="1756"/>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663"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97"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97"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门窗及孔洞关闭严密，室内无杂物、泄露、虫鼠踪迹、私拉乱接等。</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室内</w:t>
            </w:r>
            <w:r>
              <w:rPr>
                <w:rFonts w:hint="eastAsia" w:cs="宋体" w:asciiTheme="minorEastAsia" w:hAnsiTheme="minorEastAsia" w:eastAsiaTheme="minorEastAsia"/>
                <w:color w:val="auto"/>
                <w:kern w:val="0"/>
                <w:sz w:val="21"/>
                <w:szCs w:val="21"/>
              </w:rPr>
              <w:t>环境良好，温湿度正常。</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控制柜处于正确档位，无故障告警。</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水泵压力</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阀门处于正常状态</w:t>
            </w:r>
            <w:r>
              <w:rPr>
                <w:rFonts w:hint="eastAsia" w:ascii="宋体" w:hAnsi="宋体" w:eastAsia="宋体" w:cs="宋体"/>
                <w:color w:val="auto"/>
                <w:kern w:val="0"/>
                <w:sz w:val="21"/>
                <w:szCs w:val="21"/>
              </w:rPr>
              <w:t>。</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设备运转正常</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无异响</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震颤</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异味等</w:t>
            </w:r>
            <w:r>
              <w:rPr>
                <w:rFonts w:hint="eastAsia" w:ascii="宋体" w:hAnsi="宋体" w:eastAsia="宋体" w:cs="宋体"/>
                <w:color w:val="auto"/>
                <w:kern w:val="0"/>
                <w:sz w:val="21"/>
                <w:szCs w:val="21"/>
              </w:rPr>
              <w:t>。</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消防</w:t>
            </w:r>
            <w:r>
              <w:rPr>
                <w:rFonts w:ascii="宋体" w:hAnsi="宋体" w:eastAsia="宋体" w:cs="宋体"/>
                <w:color w:val="auto"/>
                <w:kern w:val="0"/>
                <w:sz w:val="21"/>
                <w:szCs w:val="21"/>
              </w:rPr>
              <w:t>水池水位正常</w:t>
            </w:r>
            <w:r>
              <w:rPr>
                <w:rFonts w:hint="eastAsia" w:ascii="宋体" w:hAnsi="宋体" w:eastAsia="宋体" w:cs="宋体"/>
                <w:color w:val="auto"/>
                <w:kern w:val="0"/>
                <w:sz w:val="21"/>
                <w:szCs w:val="21"/>
              </w:rPr>
              <w:t>，管道、水箱</w:t>
            </w:r>
            <w:r>
              <w:rPr>
                <w:rFonts w:ascii="宋体" w:hAnsi="宋体" w:eastAsia="宋体" w:cs="宋体"/>
                <w:color w:val="auto"/>
                <w:kern w:val="0"/>
                <w:sz w:val="21"/>
                <w:szCs w:val="21"/>
              </w:rPr>
              <w:t>无变形</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泄露</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破损等</w:t>
            </w:r>
            <w:r>
              <w:rPr>
                <w:rFonts w:hint="eastAsia" w:ascii="宋体" w:hAnsi="宋体" w:eastAsia="宋体" w:cs="宋体"/>
                <w:color w:val="auto"/>
                <w:kern w:val="0"/>
                <w:sz w:val="21"/>
                <w:szCs w:val="21"/>
              </w:rPr>
              <w:t>。</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控制柜配电箱线缆</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接地连接正常</w:t>
            </w:r>
            <w:r>
              <w:rPr>
                <w:rFonts w:hint="eastAsia" w:cs="宋体" w:asciiTheme="minorEastAsia" w:hAnsiTheme="minorEastAsia" w:eastAsiaTheme="minorEastAsia"/>
                <w:color w:val="auto"/>
                <w:kern w:val="0"/>
                <w:sz w:val="21"/>
                <w:szCs w:val="21"/>
              </w:rPr>
              <w:t>。</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作业工具配置齐全有效</w:t>
            </w:r>
            <w:r>
              <w:rPr>
                <w:rFonts w:hint="eastAsia" w:cs="宋体" w:asciiTheme="minorEastAsia" w:hAnsiTheme="minorEastAsia" w:eastAsiaTheme="minorEastAsia"/>
                <w:color w:val="auto"/>
                <w:kern w:val="0"/>
                <w:sz w:val="21"/>
                <w:szCs w:val="21"/>
              </w:rPr>
              <w:t>。</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消防器材</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应急照明配置齐全有效</w:t>
            </w:r>
            <w:r>
              <w:rPr>
                <w:rFonts w:hint="eastAsia" w:cs="宋体" w:asciiTheme="minorEastAsia" w:hAnsiTheme="minorEastAsia" w:eastAsiaTheme="minorEastAsia"/>
                <w:color w:val="auto"/>
                <w:kern w:val="0"/>
                <w:sz w:val="21"/>
                <w:szCs w:val="21"/>
              </w:rPr>
              <w:t>。</w:t>
            </w:r>
          </w:p>
          <w:p>
            <w:pPr>
              <w:pStyle w:val="56"/>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97"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97"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5</w:t>
      </w:r>
      <w:r>
        <w:rPr>
          <w:rFonts w:hint="eastAsia" w:cs="Calibri" w:asciiTheme="minorEastAsia" w:hAnsiTheme="minorEastAsia" w:eastAsiaTheme="minorEastAsia"/>
          <w:b/>
          <w:color w:val="auto"/>
          <w:sz w:val="21"/>
          <w:szCs w:val="24"/>
        </w:rPr>
        <w:t>配电室隐患排查记录表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33"/>
        <w:gridCol w:w="1756"/>
        <w:gridCol w:w="1756"/>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663"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97"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97"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门窗及孔洞关闭严密，室内无杂物、虫鼠踪迹、私拉乱接等。</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室内</w:t>
            </w:r>
            <w:r>
              <w:rPr>
                <w:rFonts w:hint="eastAsia" w:cs="宋体" w:asciiTheme="minorEastAsia" w:hAnsiTheme="minorEastAsia" w:eastAsiaTheme="minorEastAsia"/>
                <w:color w:val="auto"/>
                <w:kern w:val="0"/>
                <w:sz w:val="21"/>
                <w:szCs w:val="21"/>
              </w:rPr>
              <w:t>环境良好，温湿度正常。</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设备及断路器无异响、异味、过热。</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设备运转正常，无异常报警。</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电压</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电流及</w:t>
            </w:r>
            <w:r>
              <w:rPr>
                <w:rFonts w:hint="eastAsia" w:ascii="宋体" w:hAnsi="宋体" w:eastAsia="宋体" w:cs="宋体"/>
                <w:color w:val="auto"/>
                <w:kern w:val="0"/>
                <w:sz w:val="21"/>
                <w:szCs w:val="21"/>
              </w:rPr>
              <w:t>指示灯显示正确。</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挡鼠板、粘鼠板、鼠药、纱窗齐全。</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设备运转正常</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无异响</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震颤</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异味等</w:t>
            </w:r>
            <w:r>
              <w:rPr>
                <w:rFonts w:hint="eastAsia" w:ascii="宋体" w:hAnsi="宋体" w:eastAsia="宋体" w:cs="宋体"/>
                <w:color w:val="auto"/>
                <w:kern w:val="0"/>
                <w:sz w:val="21"/>
                <w:szCs w:val="21"/>
              </w:rPr>
              <w:t>。</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配电箱线缆</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接地连接正常</w:t>
            </w:r>
            <w:r>
              <w:rPr>
                <w:rFonts w:hint="eastAsia" w:cs="宋体" w:asciiTheme="minorEastAsia" w:hAnsiTheme="minorEastAsia" w:eastAsiaTheme="minorEastAsia"/>
                <w:color w:val="auto"/>
                <w:kern w:val="0"/>
                <w:sz w:val="21"/>
                <w:szCs w:val="21"/>
              </w:rPr>
              <w:t>。</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作业工具配置齐全有效</w:t>
            </w:r>
            <w:r>
              <w:rPr>
                <w:rFonts w:hint="eastAsia" w:cs="宋体" w:asciiTheme="minorEastAsia" w:hAnsiTheme="minorEastAsia" w:eastAsiaTheme="minorEastAsia"/>
                <w:color w:val="auto"/>
                <w:kern w:val="0"/>
                <w:sz w:val="21"/>
                <w:szCs w:val="21"/>
              </w:rPr>
              <w:t>。</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消防器材</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应急照明配置齐全有效</w:t>
            </w:r>
            <w:r>
              <w:rPr>
                <w:rFonts w:hint="eastAsia" w:cs="宋体" w:asciiTheme="minorEastAsia" w:hAnsiTheme="minorEastAsia" w:eastAsiaTheme="minorEastAsia"/>
                <w:color w:val="auto"/>
                <w:kern w:val="0"/>
                <w:sz w:val="21"/>
                <w:szCs w:val="21"/>
              </w:rPr>
              <w:t>。</w:t>
            </w:r>
          </w:p>
          <w:p>
            <w:pPr>
              <w:pStyle w:val="56"/>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97"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97"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6</w:t>
      </w:r>
      <w:r>
        <w:rPr>
          <w:rFonts w:hint="eastAsia" w:cs="Calibri" w:asciiTheme="minorEastAsia" w:hAnsiTheme="minorEastAsia" w:eastAsiaTheme="minorEastAsia"/>
          <w:b/>
          <w:color w:val="auto"/>
          <w:sz w:val="21"/>
          <w:szCs w:val="24"/>
        </w:rPr>
        <w:t>通信机房隐患排查记录表</w:t>
      </w:r>
    </w:p>
    <w:tbl>
      <w:tblPr>
        <w:tblStyle w:val="30"/>
        <w:tblW w:w="5000" w:type="pct"/>
        <w:tblInd w:w="0" w:type="dxa"/>
        <w:tblLayout w:type="autofit"/>
        <w:tblCellMar>
          <w:top w:w="0" w:type="dxa"/>
          <w:left w:w="108" w:type="dxa"/>
          <w:bottom w:w="0" w:type="dxa"/>
          <w:right w:w="108" w:type="dxa"/>
        </w:tblCellMar>
      </w:tblPr>
      <w:tblGrid>
        <w:gridCol w:w="3890"/>
        <w:gridCol w:w="1757"/>
        <w:gridCol w:w="1757"/>
        <w:gridCol w:w="1620"/>
        <w:gridCol w:w="1489"/>
        <w:gridCol w:w="1487"/>
        <w:gridCol w:w="1490"/>
        <w:gridCol w:w="1404"/>
      </w:tblGrid>
      <w:tr>
        <w:tblPrEx>
          <w:tblCellMar>
            <w:top w:w="0" w:type="dxa"/>
            <w:left w:w="108" w:type="dxa"/>
            <w:bottom w:w="0" w:type="dxa"/>
            <w:right w:w="108" w:type="dxa"/>
          </w:tblCellMar>
        </w:tblPrEx>
        <w:trPr>
          <w:trHeight w:val="417" w:hRule="atLeast"/>
        </w:trPr>
        <w:tc>
          <w:tcPr>
            <w:tcW w:w="1306" w:type="pct"/>
            <w:vMerge w:val="restart"/>
            <w:tcBorders>
              <w:top w:val="single" w:color="auto" w:sz="4" w:space="0"/>
              <w:left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隐患排查内容</w:t>
            </w:r>
          </w:p>
        </w:tc>
        <w:tc>
          <w:tcPr>
            <w:tcW w:w="3694" w:type="pct"/>
            <w:gridSpan w:val="7"/>
            <w:tcBorders>
              <w:top w:val="single" w:color="auto" w:sz="4" w:space="0"/>
              <w:left w:val="nil"/>
              <w:bottom w:val="single" w:color="auto" w:sz="4" w:space="0"/>
              <w:right w:val="single" w:color="000000"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隐患排查结果</w:t>
            </w:r>
          </w:p>
        </w:tc>
      </w:tr>
      <w:tr>
        <w:tblPrEx>
          <w:tblCellMar>
            <w:top w:w="0" w:type="dxa"/>
            <w:left w:w="108" w:type="dxa"/>
            <w:bottom w:w="0" w:type="dxa"/>
            <w:right w:w="108" w:type="dxa"/>
          </w:tblCellMar>
        </w:tblPrEx>
        <w:trPr>
          <w:trHeight w:val="423" w:hRule="atLeast"/>
        </w:trPr>
        <w:tc>
          <w:tcPr>
            <w:tcW w:w="1306" w:type="pct"/>
            <w:vMerge w:val="continue"/>
            <w:tcBorders>
              <w:left w:val="single" w:color="auto" w:sz="4" w:space="0"/>
              <w:bottom w:val="single" w:color="auto" w:sz="4" w:space="0"/>
              <w:right w:val="single" w:color="auto" w:sz="4" w:space="0"/>
            </w:tcBorders>
            <w:shd w:val="clear" w:color="auto" w:fill="auto"/>
            <w:noWrap/>
            <w:vAlign w:val="center"/>
          </w:tcPr>
          <w:p>
            <w:pPr>
              <w:spacing w:after="0" w:line="320" w:lineRule="exact"/>
              <w:ind w:left="11" w:hanging="11"/>
              <w:rPr>
                <w:rFonts w:ascii="宋体" w:hAnsi="宋体" w:eastAsia="宋体" w:cs="宋体"/>
                <w:b/>
                <w:color w:val="auto"/>
                <w:kern w:val="0"/>
                <w:sz w:val="21"/>
                <w:szCs w:val="21"/>
              </w:rPr>
            </w:pPr>
          </w:p>
        </w:tc>
        <w:tc>
          <w:tcPr>
            <w:tcW w:w="590"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周一</w:t>
            </w:r>
          </w:p>
        </w:tc>
        <w:tc>
          <w:tcPr>
            <w:tcW w:w="590"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周二</w:t>
            </w:r>
          </w:p>
        </w:tc>
        <w:tc>
          <w:tcPr>
            <w:tcW w:w="544"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周三</w:t>
            </w:r>
          </w:p>
        </w:tc>
        <w:tc>
          <w:tcPr>
            <w:tcW w:w="500"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周四</w:t>
            </w:r>
          </w:p>
        </w:tc>
        <w:tc>
          <w:tcPr>
            <w:tcW w:w="499"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周五</w:t>
            </w:r>
          </w:p>
        </w:tc>
        <w:tc>
          <w:tcPr>
            <w:tcW w:w="500"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周六</w:t>
            </w:r>
          </w:p>
        </w:tc>
        <w:tc>
          <w:tcPr>
            <w:tcW w:w="471"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周日</w:t>
            </w:r>
          </w:p>
        </w:tc>
      </w:tr>
      <w:tr>
        <w:tblPrEx>
          <w:tblCellMar>
            <w:top w:w="0" w:type="dxa"/>
            <w:left w:w="108" w:type="dxa"/>
            <w:bottom w:w="0" w:type="dxa"/>
            <w:right w:w="108" w:type="dxa"/>
          </w:tblCellMar>
        </w:tblPrEx>
        <w:trPr>
          <w:trHeight w:val="600" w:hRule="atLeast"/>
        </w:trPr>
        <w:tc>
          <w:tcPr>
            <w:tcW w:w="1306" w:type="pct"/>
            <w:tcBorders>
              <w:top w:val="nil"/>
              <w:left w:val="single" w:color="auto" w:sz="4" w:space="0"/>
              <w:bottom w:val="single" w:color="auto" w:sz="4" w:space="0"/>
              <w:right w:val="single" w:color="auto" w:sz="4" w:space="0"/>
            </w:tcBorders>
            <w:shd w:val="clear" w:color="auto" w:fill="auto"/>
            <w:vAlign w:val="center"/>
          </w:tcPr>
          <w:p>
            <w:pPr>
              <w:pStyle w:val="56"/>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通信机房门禁、门锁装正常，闭门作业。</w:t>
            </w:r>
          </w:p>
          <w:p>
            <w:pPr>
              <w:pStyle w:val="56"/>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室内无杂物、无异味，环境良好、温湿度正常。</w:t>
            </w:r>
          </w:p>
          <w:p>
            <w:pPr>
              <w:pStyle w:val="56"/>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机壳、柜门完好，无破损、老化设备及线路。</w:t>
            </w:r>
          </w:p>
          <w:p>
            <w:pPr>
              <w:pStyle w:val="56"/>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机柜设备表面干净，设备运行正常，无异响、故障等。</w:t>
            </w:r>
          </w:p>
          <w:p>
            <w:pPr>
              <w:pStyle w:val="56"/>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ascii="宋体" w:hAnsi="宋体" w:eastAsia="宋体" w:cs="宋体"/>
                <w:color w:val="auto"/>
                <w:kern w:val="0"/>
                <w:sz w:val="21"/>
                <w:szCs w:val="21"/>
              </w:rPr>
              <w:t>作业工具配置齐全有效</w:t>
            </w:r>
            <w:r>
              <w:rPr>
                <w:rFonts w:hint="eastAsia" w:ascii="宋体" w:hAnsi="宋体" w:eastAsia="宋体" w:cs="宋体"/>
                <w:color w:val="auto"/>
                <w:kern w:val="0"/>
                <w:sz w:val="21"/>
                <w:szCs w:val="21"/>
              </w:rPr>
              <w:t>。</w:t>
            </w:r>
          </w:p>
          <w:p>
            <w:pPr>
              <w:pStyle w:val="56"/>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ascii="宋体" w:hAnsi="宋体" w:eastAsia="宋体" w:cs="宋体"/>
                <w:color w:val="auto"/>
                <w:kern w:val="0"/>
                <w:sz w:val="21"/>
                <w:szCs w:val="21"/>
              </w:rPr>
              <w:t>消防器材</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应急照明配置齐全有效</w:t>
            </w:r>
            <w:r>
              <w:rPr>
                <w:rFonts w:hint="eastAsia" w:ascii="宋体" w:hAnsi="宋体" w:eastAsia="宋体" w:cs="宋体"/>
                <w:color w:val="auto"/>
                <w:kern w:val="0"/>
                <w:sz w:val="21"/>
                <w:szCs w:val="21"/>
              </w:rPr>
              <w:t>。</w:t>
            </w:r>
          </w:p>
          <w:p>
            <w:pPr>
              <w:pStyle w:val="56"/>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ascii="宋体" w:hAnsi="宋体" w:eastAsia="宋体" w:cs="宋体"/>
                <w:color w:val="auto"/>
                <w:kern w:val="0"/>
                <w:sz w:val="21"/>
                <w:szCs w:val="21"/>
              </w:rPr>
              <w:t>其他</w:t>
            </w:r>
            <w:r>
              <w:rPr>
                <w:rFonts w:hint="eastAsia" w:ascii="宋体" w:hAnsi="宋体" w:eastAsia="宋体" w:cs="宋体"/>
                <w:color w:val="auto"/>
                <w:kern w:val="0"/>
                <w:sz w:val="21"/>
                <w:szCs w:val="21"/>
              </w:rPr>
              <w:t>。</w:t>
            </w:r>
          </w:p>
        </w:tc>
        <w:tc>
          <w:tcPr>
            <w:tcW w:w="590"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ascii="宋体" w:hAnsi="宋体" w:eastAsia="宋体" w:cs="宋体"/>
                <w:color w:val="auto"/>
                <w:kern w:val="0"/>
                <w:sz w:val="21"/>
                <w:szCs w:val="21"/>
              </w:rPr>
            </w:pPr>
            <w:r>
              <w:rPr>
                <w:rFonts w:hint="eastAsia" w:ascii="宋体" w:hAnsi="宋体" w:eastAsia="宋体" w:cs="宋体"/>
                <w:color w:val="auto"/>
                <w:kern w:val="0"/>
                <w:sz w:val="21"/>
                <w:szCs w:val="21"/>
              </w:rPr>
              <w:t>日期：</w:t>
            </w:r>
          </w:p>
        </w:tc>
        <w:tc>
          <w:tcPr>
            <w:tcW w:w="590"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tc>
        <w:tc>
          <w:tcPr>
            <w:tcW w:w="544"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tc>
        <w:tc>
          <w:tcPr>
            <w:tcW w:w="500"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tc>
        <w:tc>
          <w:tcPr>
            <w:tcW w:w="499"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tc>
        <w:tc>
          <w:tcPr>
            <w:tcW w:w="500"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tc>
        <w:tc>
          <w:tcPr>
            <w:tcW w:w="471"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tc>
      </w:tr>
    </w:tbl>
    <w:p>
      <w:pPr>
        <w:spacing w:after="0" w:line="240" w:lineRule="auto"/>
        <w:ind w:left="0" w:firstLine="0"/>
        <w:rPr>
          <w:rFonts w:cs="Calibri" w:asciiTheme="minorEastAsia" w:hAnsiTheme="minorEastAsia" w:eastAsiaTheme="minorEastAsia"/>
          <w:b/>
          <w:color w:val="auto"/>
          <w:sz w:val="21"/>
          <w:szCs w:val="24"/>
        </w:rPr>
      </w:pPr>
    </w:p>
    <w:p>
      <w:pPr>
        <w:spacing w:after="0" w:line="240" w:lineRule="auto"/>
        <w:ind w:left="0" w:firstLine="0"/>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7</w:t>
      </w:r>
      <w:r>
        <w:rPr>
          <w:rFonts w:hint="eastAsia" w:cs="Calibri" w:asciiTheme="minorEastAsia" w:hAnsiTheme="minorEastAsia" w:eastAsiaTheme="minorEastAsia"/>
          <w:b/>
          <w:color w:val="auto"/>
          <w:sz w:val="21"/>
          <w:szCs w:val="24"/>
        </w:rPr>
        <w:t>食堂隐患排查记录表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059"/>
        <w:gridCol w:w="1777"/>
        <w:gridCol w:w="1609"/>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620"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604"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47"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shd w:val="clear" w:color="auto" w:fill="auto"/>
            <w:tcMar>
              <w:top w:w="15" w:type="dxa"/>
              <w:left w:w="15" w:type="dxa"/>
              <w:right w:w="15" w:type="dxa"/>
            </w:tcMar>
            <w:vAlign w:val="center"/>
          </w:tcPr>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后厨、操作台及餐厅环境整洁，干净整洁、无油垢。</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餐具应按时清洁，定期消毒，防鼠防疫措施有效。</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冷藏柜、消毒柜、食品留样柜完好。</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设备及食品原材料分类储存，放置稳固。</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食用油、酒精单独存放，远离火源。</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食品原材料正规渠道定点采购，无过期食品。</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厨房电气设备及线路无老化、裸露，故障、过热、泡浸、压砸等现象。</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刀具、高温设备位置正确、放置稳固。</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灭火器、灭火毯配置齐全有效。</w:t>
            </w:r>
          </w:p>
          <w:p>
            <w:pPr>
              <w:pStyle w:val="56"/>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604"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47"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widowControl w:val="0"/>
        <w:spacing w:after="0" w:line="360" w:lineRule="auto"/>
        <w:ind w:left="0" w:firstLine="0"/>
        <w:jc w:val="both"/>
        <w:rPr>
          <w:rFonts w:cs="Calibri" w:asciiTheme="minorEastAsia" w:hAnsiTheme="minorEastAsia" w:eastAsiaTheme="minorEastAsia"/>
          <w:b/>
          <w:color w:val="auto"/>
          <w:szCs w:val="24"/>
        </w:rPr>
      </w:pPr>
    </w:p>
    <w:p>
      <w:pPr>
        <w:widowControl w:val="0"/>
        <w:spacing w:after="0" w:line="560" w:lineRule="exact"/>
        <w:ind w:left="0" w:firstLine="472" w:firstLineChars="200"/>
        <w:jc w:val="center"/>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Cs w:val="24"/>
        </w:rPr>
        <w:br w:type="page"/>
      </w: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8</w:t>
      </w:r>
      <w:r>
        <w:rPr>
          <w:rFonts w:hint="eastAsia" w:cs="Calibri" w:asciiTheme="minorEastAsia" w:hAnsiTheme="minorEastAsia" w:eastAsiaTheme="minorEastAsia"/>
          <w:b/>
          <w:color w:val="auto"/>
          <w:sz w:val="21"/>
          <w:szCs w:val="24"/>
        </w:rPr>
        <w:t>监控中心隐患排查记录表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09"/>
        <w:gridCol w:w="1559"/>
        <w:gridCol w:w="1559"/>
        <w:gridCol w:w="1406"/>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501"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30"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3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478"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shd w:val="clear" w:color="auto" w:fill="auto"/>
            <w:tcMar>
              <w:top w:w="15" w:type="dxa"/>
              <w:left w:w="15" w:type="dxa"/>
              <w:right w:w="15" w:type="dxa"/>
            </w:tcMar>
            <w:vAlign w:val="center"/>
          </w:tcPr>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灯具、地板、玻璃、门窗等设施完好，无渗漏，地面整洁干燥，温湿度正常。</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门窗、孔洞严密，闭门作业。</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室内无异味、异响、过热、吸烟、堆放杂物、虫鼠踪迹等现象。</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无私拉乱接、违规使用电气设备及插座，无绝缘破损、裸露设备及线缆。</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通信、安防、电缆防盗、照明、交通监控及信息板、录音电话、交调等设备系统</w:t>
            </w:r>
            <w:r>
              <w:rPr>
                <w:rFonts w:cs="宋体" w:asciiTheme="minorEastAsia" w:hAnsiTheme="minorEastAsia" w:eastAsiaTheme="minorEastAsia"/>
                <w:color w:val="auto"/>
                <w:kern w:val="0"/>
                <w:sz w:val="21"/>
                <w:szCs w:val="21"/>
              </w:rPr>
              <w:t>状况和使用功能正常。</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监控员规范着装、规范作业、规范填写记录，按规定巡屏。</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操作台干净整洁，无杂物、水杯。</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无私自插入</w:t>
            </w:r>
            <w:r>
              <w:rPr>
                <w:rFonts w:cs="宋体" w:asciiTheme="minorEastAsia" w:hAnsiTheme="minorEastAsia" w:eastAsiaTheme="minorEastAsia"/>
                <w:color w:val="auto"/>
                <w:kern w:val="0"/>
                <w:sz w:val="21"/>
                <w:szCs w:val="21"/>
              </w:rPr>
              <w:t>U盘、拷贝资料，安装使用与工作无关的软件、网页等现象。</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恶劣天气、交通事故及其他特殊事件，按规定记录、上报、发布信息。</w:t>
            </w:r>
          </w:p>
          <w:p>
            <w:pPr>
              <w:pStyle w:val="56"/>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30"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3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78"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spacing w:after="0" w:line="240" w:lineRule="auto"/>
        <w:ind w:left="0" w:firstLine="0"/>
        <w:rPr>
          <w:rFonts w:cs="Calibri" w:asciiTheme="minorEastAsia" w:hAnsiTheme="minorEastAsia" w:eastAsiaTheme="minorEastAsia"/>
          <w:b/>
          <w:color w:val="auto"/>
          <w:szCs w:val="24"/>
        </w:rPr>
        <w:sectPr>
          <w:pgSz w:w="16838" w:h="11906" w:orient="landscape"/>
          <w:pgMar w:top="1440" w:right="1080" w:bottom="1440" w:left="1080" w:header="851" w:footer="794" w:gutter="0"/>
          <w:cols w:space="720" w:num="1"/>
          <w:docGrid w:type="linesAndChars" w:linePitch="584" w:charSpace="-849"/>
        </w:sectPr>
      </w:pPr>
    </w:p>
    <w:bookmarkEnd w:id="40"/>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9</w:t>
      </w:r>
      <w:r>
        <w:rPr>
          <w:rFonts w:hint="eastAsia" w:cs="Calibri" w:asciiTheme="minorEastAsia" w:hAnsiTheme="minorEastAsia" w:eastAsiaTheme="minorEastAsia"/>
          <w:b/>
          <w:color w:val="auto"/>
          <w:sz w:val="21"/>
          <w:szCs w:val="24"/>
        </w:rPr>
        <w:t>收费广场机电设备隐患排查记录表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09"/>
        <w:gridCol w:w="1559"/>
        <w:gridCol w:w="1559"/>
        <w:gridCol w:w="1406"/>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501"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30"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3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478"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shd w:val="clear" w:color="auto" w:fill="auto"/>
            <w:tcMar>
              <w:top w:w="15" w:type="dxa"/>
              <w:left w:w="15" w:type="dxa"/>
              <w:right w:w="15" w:type="dxa"/>
            </w:tcMar>
            <w:vAlign w:val="center"/>
          </w:tcPr>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工控机、交换机等干净无尘土、风扇无噪声，指示灯正常。</w:t>
            </w:r>
          </w:p>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摄像机图像清晰、亭内无死角。</w:t>
            </w:r>
          </w:p>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票据打印机、报警开关、费额显示器、收费键盘、有线对讲、收发卡机、雨棚信号灯、通行信号灯、计重设备等功能正常。</w:t>
            </w:r>
          </w:p>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ET一般设备、</w:t>
            </w:r>
            <w:r>
              <w:rPr>
                <w:rFonts w:hint="eastAsia" w:cs="宋体" w:asciiTheme="minorEastAsia" w:hAnsiTheme="minorEastAsia" w:eastAsiaTheme="minorEastAsia"/>
                <w:color w:val="auto"/>
                <w:kern w:val="0"/>
                <w:sz w:val="21"/>
                <w:szCs w:val="21"/>
              </w:rPr>
              <w:t>自动栏杆机杆臂、螺丝无松动、感应灵敏。</w:t>
            </w:r>
          </w:p>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收费亭、站区线缆及井盖无缺损，人井内无积水。</w:t>
            </w:r>
          </w:p>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机电设备基础、立柱牢固，无倾斜、破损，周边无积水、无可燃物。</w:t>
            </w:r>
          </w:p>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机电设备无破损、锈蚀、积水、鸟巢等现象，配电箱及电缆无破损、踩压等现象。</w:t>
            </w:r>
          </w:p>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作业人员按规定着反光服</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设置作业区</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使用合格作业工具</w:t>
            </w:r>
            <w:r>
              <w:rPr>
                <w:rFonts w:hint="eastAsia" w:cs="宋体" w:asciiTheme="minorEastAsia" w:hAnsiTheme="minorEastAsia" w:eastAsiaTheme="minorEastAsia"/>
                <w:color w:val="auto"/>
                <w:kern w:val="0"/>
                <w:sz w:val="21"/>
                <w:szCs w:val="21"/>
              </w:rPr>
              <w:t>和劳保用品。</w:t>
            </w:r>
          </w:p>
          <w:p>
            <w:pPr>
              <w:pStyle w:val="56"/>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30"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3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78"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tabs>
          <w:tab w:val="left" w:pos="1652"/>
        </w:tabs>
        <w:rPr>
          <w:rFonts w:cs="Calibri" w:asciiTheme="minorEastAsia" w:hAnsiTheme="minorEastAsia" w:eastAsiaTheme="minorEastAsia"/>
          <w:color w:val="auto"/>
          <w:szCs w:val="24"/>
        </w:rPr>
        <w:sectPr>
          <w:headerReference r:id="rId17" w:type="default"/>
          <w:pgSz w:w="16838" w:h="11906" w:orient="landscape"/>
          <w:pgMar w:top="1440" w:right="1080" w:bottom="1440" w:left="1080" w:header="851" w:footer="794" w:gutter="0"/>
          <w:cols w:space="720" w:num="1"/>
          <w:docGrid w:type="linesAndChars" w:linePitch="584" w:charSpace="-849"/>
        </w:sectPr>
      </w:pPr>
      <w:r>
        <w:rPr>
          <w:rFonts w:cs="Calibri" w:asciiTheme="minorEastAsia" w:hAnsiTheme="minorEastAsia" w:eastAsiaTheme="minorEastAsia"/>
          <w:color w:val="auto"/>
          <w:szCs w:val="24"/>
        </w:rPr>
        <w:tab/>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指挥调度中心主任、副主任每周开展一次日常安全隐患排查，排查记录如下：</w:t>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10</w:t>
      </w:r>
      <w:r>
        <w:rPr>
          <w:rFonts w:hint="eastAsia" w:cs="Calibri" w:asciiTheme="minorEastAsia" w:hAnsiTheme="minorEastAsia" w:eastAsiaTheme="minorEastAsia"/>
          <w:b/>
          <w:color w:val="auto"/>
          <w:sz w:val="21"/>
          <w:szCs w:val="24"/>
        </w:rPr>
        <w:t>主任、副主任隐患排查记录表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6547"/>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3" w:type="pct"/>
            <w:shd w:val="clear" w:color="000000" w:fill="F2F2F2"/>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部位</w:t>
            </w:r>
          </w:p>
        </w:tc>
        <w:tc>
          <w:tcPr>
            <w:tcW w:w="3542" w:type="pct"/>
            <w:shd w:val="clear" w:color="000000" w:fill="F2F2F2"/>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排查内容</w:t>
            </w:r>
          </w:p>
        </w:tc>
        <w:tc>
          <w:tcPr>
            <w:tcW w:w="835" w:type="pct"/>
            <w:shd w:val="clear" w:color="000000" w:fill="F2F2F2"/>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restart"/>
            <w:shd w:val="clear" w:color="auto" w:fill="auto"/>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监控中心</w:t>
            </w: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收费、全程监控、车辆查询、交调、情报板发布、路况发布、计算机网络等设备系统功能正常。</w:t>
            </w:r>
          </w:p>
        </w:tc>
        <w:tc>
          <w:tcPr>
            <w:tcW w:w="835" w:type="pct"/>
            <w:vMerge w:val="restart"/>
            <w:shd w:val="clear" w:color="auto" w:fill="auto"/>
            <w:vAlign w:val="bottom"/>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信息审核、发布程序发布、复核确认、删除信息等流程正确。</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预警、信息通报、上报、发布、记录、录像等工作流程合规。</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交接班、突发事件、情报板发布等信息记录准确完整。</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无私拉乱接、违规使用电气设备及插座等现象，无绝缘破损、裸露的设备及线缆，无焦糊异味。</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室内未堆放引燃易爆物品、违章动火作业。</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灭火器外观、压力正常，疏散通道畅通，应急照明无缺损。</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restart"/>
            <w:shd w:val="clear" w:color="auto" w:fill="auto"/>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收费岛设备</w:t>
            </w: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工控机、交换机</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ab/>
            </w:r>
            <w:r>
              <w:rPr>
                <w:rFonts w:cs="宋体" w:asciiTheme="minorEastAsia" w:hAnsiTheme="minorEastAsia" w:eastAsiaTheme="minorEastAsia"/>
                <w:color w:val="auto"/>
                <w:kern w:val="0"/>
                <w:sz w:val="21"/>
                <w:szCs w:val="21"/>
              </w:rPr>
              <w:t>摄像机</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票据打印机、报警开关、费额显示器、收费键盘、有线对讲、收发卡机、雨棚信号灯、通行信号灯、计重设备</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ET一般设备、自动栏杆</w:t>
            </w:r>
            <w:r>
              <w:rPr>
                <w:rFonts w:hint="eastAsia" w:cs="宋体" w:asciiTheme="minorEastAsia" w:hAnsiTheme="minorEastAsia" w:eastAsiaTheme="minorEastAsia"/>
                <w:color w:val="auto"/>
                <w:kern w:val="0"/>
                <w:sz w:val="21"/>
                <w:szCs w:val="21"/>
              </w:rPr>
              <w:t>等</w:t>
            </w:r>
            <w:r>
              <w:rPr>
                <w:rFonts w:cs="宋体" w:asciiTheme="minorEastAsia" w:hAnsiTheme="minorEastAsia" w:eastAsiaTheme="minorEastAsia"/>
                <w:color w:val="auto"/>
                <w:kern w:val="0"/>
                <w:sz w:val="21"/>
                <w:szCs w:val="21"/>
              </w:rPr>
              <w:t>设备功能正常</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按规定清洁</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维护保养</w:t>
            </w:r>
            <w:r>
              <w:rPr>
                <w:rFonts w:hint="eastAsia" w:cs="宋体" w:asciiTheme="minorEastAsia" w:hAnsiTheme="minorEastAsia" w:eastAsiaTheme="minorEastAsia"/>
                <w:color w:val="auto"/>
                <w:kern w:val="0"/>
                <w:sz w:val="21"/>
                <w:szCs w:val="21"/>
              </w:rPr>
              <w:t>。</w:t>
            </w:r>
          </w:p>
        </w:tc>
        <w:tc>
          <w:tcPr>
            <w:tcW w:w="835" w:type="pct"/>
            <w:vMerge w:val="restart"/>
            <w:shd w:val="clear" w:color="auto" w:fill="auto"/>
            <w:vAlign w:val="bottom"/>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自动栏杆机，杆臂、螺丝无松动、面板干净无尘土、线序整齐，添加润滑油、栏杆与栏杆机平行。</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收费亭、站区线缆及井盖无缺损，人井内无积水。</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机电设备基础、立柱牢固，无倾斜、破损，周边无积水、无可燃物。</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机电设备无破损、锈蚀、积水、鸟巢等现象，配电箱及电缆无破损、踩压等现象。</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restart"/>
            <w:shd w:val="clear" w:color="auto" w:fill="auto"/>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通信机房</w:t>
            </w: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门窗关闭严密，无虫鼠踪迹、漏雨、渗水等现象。</w:t>
            </w:r>
          </w:p>
        </w:tc>
        <w:tc>
          <w:tcPr>
            <w:tcW w:w="835" w:type="pct"/>
            <w:vMerge w:val="restart"/>
            <w:shd w:val="clear" w:color="auto" w:fill="auto"/>
            <w:vAlign w:val="bottom"/>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机房门环境整洁，温湿度正常。</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网络柜，设备运行指示灯正常、室内温度（温度</w:t>
            </w:r>
            <w:r>
              <w:rPr>
                <w:rFonts w:cs="Times New Roman" w:asciiTheme="minorEastAsia" w:hAnsiTheme="minorEastAsia" w:eastAsiaTheme="minorEastAsia"/>
                <w:color w:val="auto"/>
                <w:kern w:val="0"/>
                <w:sz w:val="21"/>
                <w:szCs w:val="21"/>
              </w:rPr>
              <w:t>18-28</w:t>
            </w:r>
            <w:r>
              <w:rPr>
                <w:rFonts w:hint="eastAsia" w:cs="宋体" w:asciiTheme="minorEastAsia" w:hAnsiTheme="minorEastAsia" w:eastAsiaTheme="minorEastAsia"/>
                <w:color w:val="auto"/>
                <w:kern w:val="0"/>
                <w:sz w:val="21"/>
                <w:szCs w:val="21"/>
              </w:rPr>
              <w:t>摄氏度）湿度（</w:t>
            </w:r>
            <w:r>
              <w:rPr>
                <w:rFonts w:cs="Times New Roman" w:asciiTheme="minorEastAsia" w:hAnsiTheme="minorEastAsia" w:eastAsiaTheme="minorEastAsia"/>
                <w:color w:val="auto"/>
                <w:kern w:val="0"/>
                <w:sz w:val="21"/>
                <w:szCs w:val="21"/>
              </w:rPr>
              <w:t>40%-70%RH</w:t>
            </w:r>
            <w:r>
              <w:rPr>
                <w:rFonts w:hint="eastAsia" w:cs="宋体" w:asciiTheme="minorEastAsia" w:hAnsiTheme="minorEastAsia" w:eastAsiaTheme="minorEastAsia"/>
                <w:color w:val="auto"/>
                <w:kern w:val="0"/>
                <w:sz w:val="21"/>
                <w:szCs w:val="21"/>
              </w:rPr>
              <w:t>）。</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通信柜，设备运行指示灯正常、室内温度（温度</w:t>
            </w:r>
            <w:r>
              <w:rPr>
                <w:rFonts w:cs="Times New Roman" w:asciiTheme="minorEastAsia" w:hAnsiTheme="minorEastAsia" w:eastAsiaTheme="minorEastAsia"/>
                <w:color w:val="auto"/>
                <w:kern w:val="0"/>
                <w:sz w:val="21"/>
                <w:szCs w:val="21"/>
              </w:rPr>
              <w:t>18-28</w:t>
            </w:r>
            <w:r>
              <w:rPr>
                <w:rFonts w:hint="eastAsia" w:cs="宋体" w:asciiTheme="minorEastAsia" w:hAnsiTheme="minorEastAsia" w:eastAsiaTheme="minorEastAsia"/>
                <w:color w:val="auto"/>
                <w:kern w:val="0"/>
                <w:sz w:val="21"/>
                <w:szCs w:val="21"/>
              </w:rPr>
              <w:t>摄氏度）湿度（</w:t>
            </w:r>
            <w:r>
              <w:rPr>
                <w:rFonts w:cs="Times New Roman" w:asciiTheme="minorEastAsia" w:hAnsiTheme="minorEastAsia" w:eastAsiaTheme="minorEastAsia"/>
                <w:color w:val="auto"/>
                <w:kern w:val="0"/>
                <w:sz w:val="21"/>
                <w:szCs w:val="21"/>
              </w:rPr>
              <w:t>40%-70%RH</w:t>
            </w:r>
            <w:r>
              <w:rPr>
                <w:rFonts w:hint="eastAsia" w:cs="宋体" w:asciiTheme="minorEastAsia" w:hAnsiTheme="minorEastAsia" w:eastAsiaTheme="minorEastAsia"/>
                <w:color w:val="auto"/>
                <w:kern w:val="0"/>
                <w:sz w:val="21"/>
                <w:szCs w:val="21"/>
              </w:rPr>
              <w:t>）。</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站级服务器，风扇噪声小、指示灯正常、无尘土、软件运行正常。</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硬盘录像机，图像清楚、监听清晰、录像保存合格。</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云台控制器，可能调节广场摄像机位置、角度、缩放。</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Times New Roman" w:asciiTheme="minorEastAsia" w:hAnsiTheme="minorEastAsia" w:eastAsiaTheme="minorEastAsia"/>
                <w:color w:val="auto"/>
                <w:kern w:val="0"/>
                <w:sz w:val="21"/>
                <w:szCs w:val="21"/>
              </w:rPr>
            </w:pPr>
            <w:r>
              <w:rPr>
                <w:rFonts w:hint="eastAsia" w:cs="Times New Roman" w:asciiTheme="minorEastAsia" w:hAnsiTheme="minorEastAsia" w:eastAsiaTheme="minorEastAsia"/>
                <w:color w:val="auto"/>
                <w:kern w:val="0"/>
                <w:sz w:val="21"/>
                <w:szCs w:val="21"/>
              </w:rPr>
              <w:t>供电系统正常。</w:t>
            </w:r>
            <w:r>
              <w:rPr>
                <w:rFonts w:cs="Times New Roman" w:asciiTheme="minorEastAsia" w:hAnsiTheme="minorEastAsia" w:eastAsiaTheme="minorEastAsia"/>
                <w:color w:val="auto"/>
                <w:kern w:val="0"/>
                <w:sz w:val="21"/>
                <w:szCs w:val="21"/>
              </w:rPr>
              <w:t>UPS</w:t>
            </w:r>
            <w:r>
              <w:rPr>
                <w:rFonts w:hint="eastAsia" w:cs="Times New Roman" w:asciiTheme="minorEastAsia" w:hAnsiTheme="minorEastAsia" w:eastAsiaTheme="minorEastAsia"/>
                <w:color w:val="auto"/>
                <w:kern w:val="0"/>
                <w:sz w:val="21"/>
                <w:szCs w:val="21"/>
              </w:rPr>
              <w:t>电源，检查主机指示灯、负载是否正常，风扇噪声、无尘土室内温度（温度</w:t>
            </w:r>
            <w:r>
              <w:rPr>
                <w:rFonts w:cs="Times New Roman" w:asciiTheme="minorEastAsia" w:hAnsiTheme="minorEastAsia" w:eastAsiaTheme="minorEastAsia"/>
                <w:color w:val="auto"/>
                <w:kern w:val="0"/>
                <w:sz w:val="21"/>
                <w:szCs w:val="21"/>
              </w:rPr>
              <w:t>18-28</w:t>
            </w:r>
            <w:r>
              <w:rPr>
                <w:rFonts w:hint="eastAsia" w:cs="Times New Roman" w:asciiTheme="minorEastAsia" w:hAnsiTheme="minorEastAsia" w:eastAsiaTheme="minorEastAsia"/>
                <w:color w:val="auto"/>
                <w:kern w:val="0"/>
                <w:sz w:val="21"/>
                <w:szCs w:val="21"/>
              </w:rPr>
              <w:t>度）湿度（</w:t>
            </w:r>
            <w:r>
              <w:rPr>
                <w:rFonts w:cs="Times New Roman" w:asciiTheme="minorEastAsia" w:hAnsiTheme="minorEastAsia" w:eastAsiaTheme="minorEastAsia"/>
                <w:color w:val="auto"/>
                <w:kern w:val="0"/>
                <w:sz w:val="21"/>
                <w:szCs w:val="21"/>
              </w:rPr>
              <w:t>40%-70%RH</w:t>
            </w:r>
            <w:r>
              <w:rPr>
                <w:rFonts w:hint="eastAsia" w:cs="Times New Roman" w:asciiTheme="minorEastAsia" w:hAnsiTheme="minorEastAsia" w:eastAsiaTheme="minorEastAsia"/>
                <w:color w:val="auto"/>
                <w:kern w:val="0"/>
                <w:sz w:val="21"/>
                <w:szCs w:val="21"/>
              </w:rPr>
              <w:t>）。</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设备无异常异味、声响、报警。</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机电设备及线缆无裸露破损情况。</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消防设备齐全、有效。</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restart"/>
            <w:shd w:val="clear" w:color="auto" w:fill="auto"/>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外场设备</w:t>
            </w: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门架、立杆支撑基础牢固，周边无可燃物、积水等现象。</w:t>
            </w:r>
          </w:p>
        </w:tc>
        <w:tc>
          <w:tcPr>
            <w:tcW w:w="835" w:type="pct"/>
            <w:vMerge w:val="restart"/>
            <w:shd w:val="clear" w:color="auto" w:fill="auto"/>
            <w:vAlign w:val="bottom"/>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立杆支撑等结构无倾斜、破损、锈蚀、积水、鸟巢等现象。</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可变情报板、摄像机、车检器等外场设备无缺损。</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线缆及井盖无缺损、丢失、偷盗现象。</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restart"/>
            <w:shd w:val="clear" w:color="auto" w:fill="auto"/>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作业行为</w:t>
            </w: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作业人员无违章作业行为。</w:t>
            </w:r>
          </w:p>
        </w:tc>
        <w:tc>
          <w:tcPr>
            <w:tcW w:w="835" w:type="pct"/>
            <w:vMerge w:val="restart"/>
            <w:shd w:val="clear" w:color="auto" w:fill="auto"/>
            <w:vAlign w:val="bottom"/>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shd w:val="clear" w:color="auto" w:fill="auto"/>
            <w:vAlign w:val="center"/>
          </w:tcPr>
          <w:p>
            <w:pPr>
              <w:spacing w:after="0" w:line="320" w:lineRule="exact"/>
              <w:ind w:left="0" w:firstLine="0"/>
              <w:jc w:val="center"/>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2"/>
              </w:rPr>
              <w:t>按规定稽查，无徇私舞弊、擅自脱岗等行为。</w:t>
            </w:r>
          </w:p>
        </w:tc>
        <w:tc>
          <w:tcPr>
            <w:tcW w:w="835" w:type="pct"/>
            <w:vMerge w:val="continue"/>
            <w:shd w:val="clear" w:color="auto" w:fill="auto"/>
            <w:vAlign w:val="bottom"/>
          </w:tcPr>
          <w:p>
            <w:pPr>
              <w:spacing w:after="0" w:line="320" w:lineRule="exact"/>
              <w:ind w:left="0" w:firstLine="0"/>
              <w:jc w:val="center"/>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作业人员按规定开展巡查、保洁、保养、故障修复工作。</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相关场所、部位和岗位按规定开展隐患排查治理工作，如实填写、上报记录。</w:t>
            </w:r>
          </w:p>
        </w:tc>
        <w:tc>
          <w:tcPr>
            <w:tcW w:w="835" w:type="pct"/>
            <w:vMerge w:val="continue"/>
            <w:vAlign w:val="center"/>
          </w:tcPr>
          <w:p>
            <w:pPr>
              <w:spacing w:after="0" w:line="32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pct"/>
            <w:shd w:val="clear" w:color="auto" w:fill="auto"/>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3542" w:type="pct"/>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835" w:type="pct"/>
            <w:shd w:val="clear" w:color="auto" w:fill="auto"/>
            <w:vAlign w:val="center"/>
          </w:tcPr>
          <w:p>
            <w:pPr>
              <w:spacing w:after="0" w:line="32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shd w:val="clear" w:color="auto" w:fill="auto"/>
            <w:vAlign w:val="center"/>
          </w:tcPr>
          <w:p>
            <w:pPr>
              <w:spacing w:after="0" w:line="32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组织人：               参加人员：                               日期：</w:t>
            </w:r>
          </w:p>
        </w:tc>
      </w:tr>
    </w:tbl>
    <w:p>
      <w:pPr>
        <w:widowControl w:val="0"/>
        <w:spacing w:after="0" w:line="360" w:lineRule="auto"/>
        <w:ind w:left="0" w:firstLine="0"/>
        <w:jc w:val="both"/>
        <w:rPr>
          <w:rFonts w:cs="Calibri" w:asciiTheme="minorEastAsia" w:hAnsiTheme="minorEastAsia" w:eastAsiaTheme="minorEastAsia"/>
          <w:b/>
          <w:color w:val="auto"/>
          <w:szCs w:val="24"/>
        </w:rPr>
      </w:pPr>
    </w:p>
    <w:p>
      <w:pPr>
        <w:widowControl w:val="0"/>
        <w:spacing w:after="0" w:line="360" w:lineRule="auto"/>
        <w:ind w:left="0" w:firstLine="0"/>
        <w:jc w:val="both"/>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41" w:name="_Toc42940682"/>
      <w:bookmarkStart w:id="42" w:name="_Toc47529696"/>
      <w:bookmarkStart w:id="43" w:name="_Toc89069756"/>
      <w:r>
        <w:rPr>
          <w:rFonts w:hint="eastAsia" w:cs="Calibri" w:asciiTheme="minorEastAsia" w:hAnsiTheme="minorEastAsia" w:eastAsiaTheme="minorEastAsia"/>
          <w:b/>
          <w:color w:val="auto"/>
          <w:sz w:val="28"/>
          <w:szCs w:val="24"/>
        </w:rPr>
        <w:t>3.3定期隐患排查</w:t>
      </w:r>
      <w:bookmarkEnd w:id="41"/>
      <w:r>
        <w:rPr>
          <w:rFonts w:hint="eastAsia" w:cs="Calibri" w:asciiTheme="minorEastAsia" w:hAnsiTheme="minorEastAsia" w:eastAsiaTheme="minorEastAsia"/>
          <w:b/>
          <w:color w:val="auto"/>
          <w:sz w:val="28"/>
          <w:szCs w:val="24"/>
        </w:rPr>
        <w:t>记录</w:t>
      </w:r>
      <w:bookmarkEnd w:id="42"/>
      <w:bookmarkEnd w:id="43"/>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定期排查是指由公司主要负责人、分管负责人及相关部室，组织专业技术人员、安全管理人员或相关专家开展的涵盖全部生产经营环节、方面的隐患排查活动。定期排查可与领导包保检查、专家检查等安全检查活动合并开展。</w:t>
      </w:r>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w:t>
      </w:r>
      <w:r>
        <w:rPr>
          <w:rFonts w:cs="Calibri" w:asciiTheme="minorEastAsia" w:hAnsiTheme="minorEastAsia" w:eastAsiaTheme="minorEastAsia"/>
          <w:b/>
          <w:color w:val="auto"/>
          <w:sz w:val="22"/>
          <w:szCs w:val="24"/>
        </w:rPr>
        <w:t>11</w:t>
      </w:r>
      <w:r>
        <w:rPr>
          <w:rFonts w:hint="eastAsia" w:cs="Calibri" w:asciiTheme="minorEastAsia" w:hAnsiTheme="minorEastAsia" w:eastAsiaTheme="minorEastAsia"/>
          <w:b/>
          <w:color w:val="auto"/>
          <w:sz w:val="22"/>
          <w:szCs w:val="24"/>
        </w:rPr>
        <w:t xml:space="preserve"> 公司级隐患排查记录表</w:t>
      </w:r>
    </w:p>
    <w:p>
      <w:pPr>
        <w:widowControl w:val="0"/>
        <w:autoSpaceDE w:val="0"/>
        <w:autoSpaceDN w:val="0"/>
        <w:spacing w:before="39" w:after="0" w:line="240" w:lineRule="auto"/>
        <w:ind w:left="2004" w:right="2005" w:firstLine="0"/>
        <w:jc w:val="center"/>
        <w:rPr>
          <w:rFonts w:cs="Calibri" w:asciiTheme="minorEastAsia" w:hAnsiTheme="minorEastAsia" w:eastAsiaTheme="minorEastAsia"/>
          <w:b/>
          <w:color w:val="auto"/>
          <w:sz w:val="28"/>
          <w:szCs w:val="24"/>
        </w:rPr>
      </w:pPr>
      <w:r>
        <w:rPr>
          <w:rFonts w:cs="Calibri" w:asciiTheme="minorEastAsia" w:hAnsiTheme="minorEastAsia" w:eastAsiaTheme="minorEastAsia"/>
          <w:b/>
          <w:color w:val="auto"/>
          <w:sz w:val="28"/>
          <w:szCs w:val="24"/>
        </w:rPr>
        <w:t>安全检查记录表</w:t>
      </w:r>
      <w:r>
        <w:rPr>
          <w:rFonts w:hint="eastAsia" w:cs="Calibri" w:asciiTheme="minorEastAsia" w:hAnsiTheme="minorEastAsia" w:eastAsiaTheme="minorEastAsia"/>
          <w:b/>
          <w:color w:val="auto"/>
          <w:sz w:val="28"/>
          <w:szCs w:val="24"/>
        </w:rPr>
        <w:t>（定期隐患排查记录）</w:t>
      </w:r>
    </w:p>
    <w:p>
      <w:pPr>
        <w:widowControl w:val="0"/>
        <w:spacing w:after="0" w:line="560" w:lineRule="exact"/>
        <w:ind w:left="0" w:firstLine="432" w:firstLineChars="200"/>
        <w:rPr>
          <w:rFonts w:cs="Calibri" w:asciiTheme="minorEastAsia" w:hAnsiTheme="minorEastAsia" w:eastAsiaTheme="minorEastAsia"/>
          <w:b/>
          <w:color w:val="auto"/>
          <w:sz w:val="22"/>
          <w:szCs w:val="24"/>
        </w:rPr>
      </w:pPr>
      <w:r>
        <w:rPr>
          <w:rFonts w:cs="Calibri" w:asciiTheme="minorEastAsia" w:hAnsiTheme="minorEastAsia" w:eastAsiaTheme="minorEastAsia"/>
          <w:b/>
          <w:color w:val="auto"/>
          <w:sz w:val="22"/>
          <w:szCs w:val="24"/>
        </w:rPr>
        <w:t>检查日期:</w:t>
      </w:r>
      <w:r>
        <w:rPr>
          <w:rFonts w:cs="Calibri" w:asciiTheme="minorEastAsia" w:hAnsiTheme="minorEastAsia" w:eastAsiaTheme="minorEastAsia"/>
          <w:b/>
          <w:color w:val="auto"/>
          <w:sz w:val="22"/>
          <w:szCs w:val="24"/>
        </w:rPr>
        <w:tab/>
      </w:r>
      <w:r>
        <w:rPr>
          <w:rFonts w:hint="eastAsia" w:cs="Calibri" w:asciiTheme="minorEastAsia" w:hAnsiTheme="minorEastAsia" w:eastAsiaTheme="minorEastAsia"/>
          <w:b/>
          <w:color w:val="auto"/>
          <w:sz w:val="22"/>
          <w:szCs w:val="24"/>
        </w:rPr>
        <w:t xml:space="preserve">         </w:t>
      </w:r>
    </w:p>
    <w:tbl>
      <w:tblPr>
        <w:tblStyle w:val="2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被检单位</w:t>
            </w:r>
          </w:p>
        </w:tc>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p>
        </w:tc>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带队领导</w:t>
            </w:r>
          </w:p>
        </w:tc>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检查类型</w:t>
            </w:r>
          </w:p>
        </w:tc>
        <w:tc>
          <w:tcPr>
            <w:tcW w:w="6795" w:type="dxa"/>
            <w:gridSpan w:val="3"/>
            <w:vAlign w:val="center"/>
          </w:tcPr>
          <w:p>
            <w:pPr>
              <w:widowControl w:val="0"/>
              <w:spacing w:after="0" w:line="240" w:lineRule="auto"/>
              <w:ind w:left="0" w:firstLine="0"/>
              <w:jc w:val="left"/>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□定期检查          □突击检查、暗访检查</w:t>
            </w:r>
          </w:p>
          <w:p>
            <w:pPr>
              <w:widowControl w:val="0"/>
              <w:spacing w:after="0" w:line="240" w:lineRule="auto"/>
              <w:ind w:left="9" w:hanging="8" w:hangingChars="4"/>
              <w:jc w:val="left"/>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□包联检查          □其他检查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被检单位负责人</w:t>
            </w:r>
          </w:p>
        </w:tc>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p>
        </w:tc>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检查组成员</w:t>
            </w:r>
          </w:p>
        </w:tc>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9" w:hRule="atLeast"/>
        </w:trPr>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检查记录</w:t>
            </w:r>
          </w:p>
        </w:tc>
        <w:tc>
          <w:tcPr>
            <w:tcW w:w="6795" w:type="dxa"/>
            <w:gridSpan w:val="3"/>
          </w:tcPr>
          <w:p>
            <w:pPr>
              <w:widowControl w:val="0"/>
              <w:spacing w:after="0" w:line="240" w:lineRule="auto"/>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检查过程与内容：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现场问题</w:t>
            </w:r>
          </w:p>
        </w:tc>
        <w:tc>
          <w:tcPr>
            <w:tcW w:w="6795" w:type="dxa"/>
            <w:gridSpan w:val="3"/>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2265" w:type="dxa"/>
            <w:vAlign w:val="center"/>
          </w:tcPr>
          <w:p>
            <w:pPr>
              <w:widowControl w:val="0"/>
              <w:spacing w:after="0" w:line="240" w:lineRule="auto"/>
              <w:ind w:left="0" w:firstLine="0"/>
              <w:jc w:val="center"/>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主要排查内容</w:t>
            </w:r>
          </w:p>
        </w:tc>
        <w:tc>
          <w:tcPr>
            <w:tcW w:w="6795" w:type="dxa"/>
            <w:gridSpan w:val="3"/>
            <w:vAlign w:val="center"/>
          </w:tcPr>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cs="Calibri" w:asciiTheme="minorEastAsia" w:hAnsiTheme="minorEastAsia" w:eastAsiaTheme="minorEastAsia"/>
                <w:color w:val="auto"/>
                <w:sz w:val="22"/>
                <w:szCs w:val="24"/>
              </w:rPr>
              <w:t>安全生产专项治理</w:t>
            </w:r>
            <w:r>
              <w:rPr>
                <w:rFonts w:hint="eastAsia" w:cs="Calibri" w:asciiTheme="minorEastAsia" w:hAnsiTheme="minorEastAsia" w:eastAsiaTheme="minorEastAsia"/>
                <w:color w:val="auto"/>
                <w:sz w:val="22"/>
                <w:szCs w:val="24"/>
              </w:rPr>
              <w:t>、</w:t>
            </w:r>
            <w:r>
              <w:rPr>
                <w:rFonts w:cs="Calibri" w:asciiTheme="minorEastAsia" w:hAnsiTheme="minorEastAsia" w:eastAsiaTheme="minorEastAsia"/>
                <w:color w:val="auto"/>
                <w:sz w:val="22"/>
                <w:szCs w:val="24"/>
              </w:rPr>
              <w:t>安全会议</w:t>
            </w:r>
            <w:r>
              <w:rPr>
                <w:rFonts w:hint="eastAsia" w:cs="Calibri" w:asciiTheme="minorEastAsia" w:hAnsiTheme="minorEastAsia" w:eastAsiaTheme="minorEastAsia"/>
                <w:color w:val="auto"/>
                <w:sz w:val="22"/>
                <w:szCs w:val="24"/>
              </w:rPr>
              <w:t>、</w:t>
            </w:r>
            <w:r>
              <w:rPr>
                <w:rFonts w:cs="Calibri" w:asciiTheme="minorEastAsia" w:hAnsiTheme="minorEastAsia" w:eastAsiaTheme="minorEastAsia"/>
                <w:color w:val="auto"/>
                <w:sz w:val="22"/>
                <w:szCs w:val="24"/>
              </w:rPr>
              <w:t>应急演练</w:t>
            </w:r>
            <w:r>
              <w:rPr>
                <w:rFonts w:hint="eastAsia" w:cs="Calibri" w:asciiTheme="minorEastAsia" w:hAnsiTheme="minorEastAsia" w:eastAsiaTheme="minorEastAsia"/>
                <w:color w:val="auto"/>
                <w:sz w:val="22"/>
                <w:szCs w:val="24"/>
              </w:rPr>
              <w:t>、</w:t>
            </w:r>
            <w:r>
              <w:rPr>
                <w:rFonts w:cs="Calibri" w:asciiTheme="minorEastAsia" w:hAnsiTheme="minorEastAsia" w:eastAsiaTheme="minorEastAsia"/>
                <w:color w:val="auto"/>
                <w:sz w:val="22"/>
                <w:szCs w:val="24"/>
              </w:rPr>
              <w:t>安全教育培训等工作按计划开展</w:t>
            </w:r>
            <w:r>
              <w:rPr>
                <w:rFonts w:hint="eastAsia" w:cs="Calibri" w:asciiTheme="minorEastAsia" w:hAnsiTheme="minorEastAsia" w:eastAsiaTheme="minorEastAsia"/>
                <w:color w:val="auto"/>
                <w:sz w:val="22"/>
                <w:szCs w:val="24"/>
              </w:rPr>
              <w:t>，落实公司安全生产各项工作部署。</w:t>
            </w:r>
          </w:p>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收费、全程监控、车辆查询、交调、情报板发布、路况发布、计算机网络等设备系统功能正常。</w:t>
            </w:r>
          </w:p>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信息审核、发布程序发布、复核确认、删除信息等流程正确；预警、信息通报、上报、发布、记录、录像等工作流程合规；交接班、突发事件、情报板发布等信息记录准确完整。</w:t>
            </w:r>
          </w:p>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cs="Calibri" w:asciiTheme="minorEastAsia" w:hAnsiTheme="minorEastAsia" w:eastAsiaTheme="minorEastAsia"/>
                <w:color w:val="auto"/>
                <w:sz w:val="22"/>
                <w:szCs w:val="24"/>
              </w:rPr>
              <w:t>收费广场</w:t>
            </w:r>
            <w:r>
              <w:rPr>
                <w:rFonts w:hint="eastAsia" w:cs="Calibri" w:asciiTheme="minorEastAsia" w:hAnsiTheme="minorEastAsia" w:eastAsiaTheme="minorEastAsia"/>
                <w:color w:val="auto"/>
                <w:sz w:val="22"/>
                <w:szCs w:val="24"/>
              </w:rPr>
              <w:t>、</w:t>
            </w:r>
            <w:r>
              <w:rPr>
                <w:rFonts w:cs="Calibri" w:asciiTheme="minorEastAsia" w:hAnsiTheme="minorEastAsia" w:eastAsiaTheme="minorEastAsia"/>
                <w:color w:val="auto"/>
                <w:sz w:val="22"/>
                <w:szCs w:val="24"/>
              </w:rPr>
              <w:t>监控大厅</w:t>
            </w:r>
            <w:r>
              <w:rPr>
                <w:rFonts w:hint="eastAsia" w:cs="Calibri" w:asciiTheme="minorEastAsia" w:hAnsiTheme="minorEastAsia" w:eastAsiaTheme="minorEastAsia"/>
                <w:color w:val="auto"/>
                <w:sz w:val="22"/>
                <w:szCs w:val="24"/>
              </w:rPr>
              <w:t>、</w:t>
            </w:r>
            <w:r>
              <w:rPr>
                <w:rFonts w:cs="Calibri" w:asciiTheme="minorEastAsia" w:hAnsiTheme="minorEastAsia" w:eastAsiaTheme="minorEastAsia"/>
                <w:color w:val="auto"/>
                <w:sz w:val="22"/>
                <w:szCs w:val="24"/>
              </w:rPr>
              <w:t>通信机房等场所</w:t>
            </w:r>
            <w:r>
              <w:rPr>
                <w:rFonts w:hint="eastAsia" w:cs="Calibri" w:asciiTheme="minorEastAsia" w:hAnsiTheme="minorEastAsia" w:eastAsiaTheme="minorEastAsia"/>
                <w:color w:val="auto"/>
                <w:sz w:val="22"/>
                <w:szCs w:val="24"/>
              </w:rPr>
              <w:t>无私拉乱接、违规使用电气设备及插座等现象，无绝缘破损、裸露的设备及线缆，无焦糊异味。室内未堆放引燃易爆物品、违章动火作业。</w:t>
            </w:r>
          </w:p>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灭火器外观、压力正常，疏散通道畅通，应急照明无缺损。</w:t>
            </w:r>
          </w:p>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机电作业按照维修养护工作规则和计划开展工作，按规定填写、上报记录。</w:t>
            </w:r>
          </w:p>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监控、机电按规定开展安全教育培训、安全技术交底等工作，工作记录填写真实、规范。</w:t>
            </w:r>
          </w:p>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抽查作业现场，作业控制区设置、人员配置、设备设施及材料摆放等符合《公路养护安全作业规程》等规定。</w:t>
            </w:r>
          </w:p>
          <w:p>
            <w:pPr>
              <w:pStyle w:val="56"/>
              <w:widowControl w:val="0"/>
              <w:numPr>
                <w:ilvl w:val="0"/>
                <w:numId w:val="8"/>
              </w:numPr>
              <w:spacing w:afterLines="50" w:line="320" w:lineRule="exact"/>
              <w:ind w:left="0" w:firstLine="0" w:firstLineChars="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其他。</w:t>
            </w:r>
          </w:p>
        </w:tc>
      </w:tr>
    </w:tbl>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44" w:name="_Toc42940683"/>
      <w:bookmarkStart w:id="45" w:name="_Toc47529699"/>
      <w:bookmarkStart w:id="46" w:name="_Toc89069757"/>
      <w:r>
        <w:rPr>
          <w:rFonts w:cs="Calibri" w:asciiTheme="minorEastAsia" w:hAnsiTheme="minorEastAsia" w:eastAsiaTheme="minorEastAsia"/>
          <w:b/>
          <w:color w:val="auto"/>
          <w:sz w:val="28"/>
          <w:szCs w:val="24"/>
        </w:rPr>
        <w:t>3.</w:t>
      </w:r>
      <w:r>
        <w:rPr>
          <w:rFonts w:hint="eastAsia" w:cs="Calibri" w:asciiTheme="minorEastAsia" w:hAnsiTheme="minorEastAsia" w:eastAsiaTheme="minorEastAsia"/>
          <w:b/>
          <w:color w:val="auto"/>
          <w:sz w:val="28"/>
          <w:szCs w:val="24"/>
        </w:rPr>
        <w:t>4</w:t>
      </w:r>
      <w:r>
        <w:rPr>
          <w:rFonts w:cs="Calibri" w:asciiTheme="minorEastAsia" w:hAnsiTheme="minorEastAsia" w:eastAsiaTheme="minorEastAsia"/>
          <w:b/>
          <w:color w:val="auto"/>
          <w:sz w:val="28"/>
          <w:szCs w:val="24"/>
        </w:rPr>
        <w:t>专项隐患排查</w:t>
      </w:r>
      <w:bookmarkEnd w:id="44"/>
      <w:r>
        <w:rPr>
          <w:rFonts w:cs="Calibri" w:asciiTheme="minorEastAsia" w:hAnsiTheme="minorEastAsia" w:eastAsiaTheme="minorEastAsia"/>
          <w:b/>
          <w:color w:val="auto"/>
          <w:sz w:val="28"/>
          <w:szCs w:val="24"/>
        </w:rPr>
        <w:t>记录</w:t>
      </w:r>
      <w:bookmarkEnd w:id="45"/>
      <w:bookmarkEnd w:id="46"/>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专项排查应由主要负责人、分管负责人或指定相关部室、站区组织开展。出现下列情形的应当开展专项排查：</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（1）与本单位安全生产相关的法律、法规、规章、标准以及规程制定、修改或者废止的；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（2）集团公司等上级有关单位安全工作专项部署的；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（3）元旦、春节、五一、十一等重要节假日或“两会”、汛期等重要时段；</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（4）季节性、规律性安全生产条件变化的；</w:t>
      </w:r>
      <w:r>
        <w:rPr>
          <w:rFonts w:cs="Calibri" w:asciiTheme="minorEastAsia" w:hAnsiTheme="minorEastAsia" w:eastAsiaTheme="minorEastAsia"/>
          <w:color w:val="auto"/>
          <w:szCs w:val="24"/>
        </w:rPr>
        <w:t xml:space="preserve"> </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（5）新工艺、新材料、新技术、新设备投入使用对安全生产条件发生变化的；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（6）周边环境发生重大变化的；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（7）发生安全生产事故或者险情情况的。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根据公司历年安全生产工作计划及指挥调度中心职责，制定保畅专项隐患排查清单。</w:t>
      </w:r>
    </w:p>
    <w:p>
      <w:pPr>
        <w:spacing w:after="0" w:line="240" w:lineRule="auto"/>
        <w:ind w:left="0" w:firstLine="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br w:type="page"/>
      </w:r>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w:t>
      </w:r>
      <w:r>
        <w:rPr>
          <w:rFonts w:cs="Calibri" w:asciiTheme="minorEastAsia" w:hAnsiTheme="minorEastAsia" w:eastAsiaTheme="minorEastAsia"/>
          <w:b/>
          <w:color w:val="auto"/>
          <w:sz w:val="22"/>
          <w:szCs w:val="24"/>
        </w:rPr>
        <w:t>12</w:t>
      </w:r>
      <w:r>
        <w:rPr>
          <w:rFonts w:hint="eastAsia" w:cs="Calibri" w:asciiTheme="minorEastAsia" w:hAnsiTheme="minorEastAsia" w:eastAsiaTheme="minorEastAsia"/>
          <w:b/>
          <w:color w:val="auto"/>
          <w:sz w:val="22"/>
          <w:szCs w:val="24"/>
        </w:rPr>
        <w:t>保畅专项隐患排查清单</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5875"/>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344"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排查要点</w:t>
            </w:r>
          </w:p>
        </w:tc>
        <w:tc>
          <w:tcPr>
            <w:tcW w:w="5875"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排查内容</w:t>
            </w:r>
          </w:p>
        </w:tc>
        <w:tc>
          <w:tcPr>
            <w:tcW w:w="1841"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组织准备</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领导小组成立，组织体系及职责明确。</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按规定开展动员准备和业务培训。</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人员充足，按规定备勤。</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路警联勤联动准备完成。</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应急预案（现场处置方案）建立健全、内容合理。</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按规定开展应急演练。</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监测预警</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按规定开展领导带班、员工值班。</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按规定开展上传下达工作。</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应急及设备设施保障</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通讯器材及线路齐全有效。</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收费、监控等机电软硬件系统维护、运行正常。</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其他应急物资准备完毕。</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按上级要求开展其他节假日专项隐患排查治理工作。</w:t>
            </w:r>
          </w:p>
        </w:tc>
        <w:tc>
          <w:tcPr>
            <w:tcW w:w="1841"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60" w:type="dxa"/>
            <w:gridSpan w:val="3"/>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组织人：               参加人员：                               日期：</w:t>
            </w:r>
          </w:p>
        </w:tc>
      </w:tr>
    </w:tbl>
    <w:p>
      <w:pPr>
        <w:widowControl w:val="0"/>
        <w:spacing w:after="0" w:line="560" w:lineRule="exact"/>
        <w:ind w:left="0" w:firstLine="432" w:firstLineChars="200"/>
        <w:jc w:val="center"/>
        <w:rPr>
          <w:rFonts w:cs="Calibri" w:asciiTheme="minorEastAsia" w:hAnsiTheme="minorEastAsia" w:eastAsiaTheme="minorEastAsia"/>
          <w:color w:val="auto"/>
          <w:sz w:val="22"/>
          <w:szCs w:val="24"/>
        </w:rPr>
      </w:pPr>
    </w:p>
    <w:p>
      <w:pPr>
        <w:widowControl w:val="0"/>
        <w:spacing w:beforeLines="50" w:afterLines="50" w:line="560" w:lineRule="exact"/>
        <w:ind w:left="0" w:hanging="11"/>
        <w:outlineLvl w:val="1"/>
        <w:rPr>
          <w:rFonts w:cs="Calibri" w:asciiTheme="minorEastAsia" w:hAnsiTheme="minorEastAsia" w:eastAsiaTheme="minorEastAsia"/>
          <w:color w:val="auto"/>
          <w:sz w:val="22"/>
          <w:szCs w:val="24"/>
        </w:rPr>
      </w:pPr>
    </w:p>
    <w:sectPr>
      <w:headerReference r:id="rId18" w:type="default"/>
      <w:pgSz w:w="11906" w:h="16838"/>
      <w:pgMar w:top="1080" w:right="1440" w:bottom="1080" w:left="1440" w:header="1077" w:footer="794" w:gutter="0"/>
      <w:cols w:space="720" w:num="1"/>
      <w:docGrid w:type="linesAndChars" w:linePitch="584"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Noto Sans CJK JP Regular">
    <w:altName w:val="Arial"/>
    <w:panose1 w:val="00000000000000000000"/>
    <w:charset w:val="00"/>
    <w:family w:val="swiss"/>
    <w:pitch w:val="default"/>
    <w:sig w:usb0="00000000" w:usb1="00000000" w:usb2="00000000" w:usb3="00000000" w:csb0="00040001" w:csb1="00000000"/>
  </w:font>
  <w:font w:name="华文中宋">
    <w:altName w:val="宋体"/>
    <w:panose1 w:val="00000000000000000000"/>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6</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29</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34</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47</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61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9" w:lineRule="auto"/>
      </w:pPr>
      <w:r>
        <w:separator/>
      </w:r>
    </w:p>
  </w:footnote>
  <w:footnote w:type="continuationSeparator" w:id="1">
    <w:p>
      <w:pPr>
        <w:spacing w:before="0" w:after="0" w:line="24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1"/>
      </w:pBdr>
      <w:spacing w:after="0" w:line="240" w:lineRule="exact"/>
      <w:ind w:left="181" w:hanging="11"/>
      <w:jc w:val="left"/>
      <w:rPr>
        <w:rFonts w:ascii="华文中宋" w:hAnsi="华文中宋" w:eastAsia="华文中宋"/>
        <w:sz w:val="24"/>
      </w:rPr>
    </w:pPr>
    <w:r>
      <w:pict>
        <v:shape id="文本框 473" o:spid="_x0000_s4104" o:spt="202" type="#_x0000_t202" style="position:absolute;left:0pt;margin-left:129.5pt;margin-top:51.35pt;height:14.4pt;width:377.55pt;mso-position-horizontal-relative:page;mso-position-vertical-relative:page;z-index:251660288;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1"/>
      </w:pBdr>
      <w:spacing w:after="0" w:line="240" w:lineRule="exact"/>
      <w:ind w:left="181" w:hanging="11"/>
      <w:jc w:val="left"/>
      <w:rPr>
        <w:rFonts w:ascii="华文中宋" w:hAnsi="华文中宋" w:eastAsia="华文中宋"/>
        <w:sz w:val="24"/>
      </w:rPr>
    </w:pPr>
    <w:r>
      <w:pict>
        <v:shape id="_x0000_s4103" o:spid="_x0000_s4103" o:spt="202" type="#_x0000_t202" style="position:absolute;left:0pt;margin-left:221.55pt;margin-top:49.4pt;height:14.4pt;width:377.55pt;mso-position-horizontal-relative:page;mso-position-vertical-relative:page;z-index:251666432;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1"/>
      </w:pBdr>
      <w:spacing w:after="0" w:line="240" w:lineRule="exact"/>
      <w:ind w:left="181" w:hanging="11"/>
      <w:jc w:val="left"/>
      <w:rPr>
        <w:rFonts w:ascii="华文中宋" w:hAnsi="华文中宋" w:eastAsia="华文中宋"/>
        <w:sz w:val="24"/>
      </w:rPr>
    </w:pPr>
    <w:r>
      <w:pict>
        <v:shape id="_x0000_s4102" o:spid="_x0000_s4102" o:spt="202" type="#_x0000_t202" style="position:absolute;left:0pt;margin-left:223.45pt;margin-top:43.2pt;height:20.65pt;width:413.85pt;mso-position-horizontal-relative:page;mso-position-vertical-relative:page;z-index:251659264;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08"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1"/>
      </w:pBdr>
      <w:spacing w:after="0" w:line="240" w:lineRule="exact"/>
      <w:ind w:left="181" w:hanging="11"/>
      <w:jc w:val="left"/>
      <w:rPr>
        <w:rFonts w:ascii="华文中宋" w:hAnsi="华文中宋" w:eastAsia="华文中宋"/>
        <w:sz w:val="24"/>
      </w:rPr>
    </w:pPr>
    <w:r>
      <w:pict>
        <v:shape id="_x0000_s4101" o:spid="_x0000_s4101" o:spt="202" type="#_x0000_t202" style="position:absolute;left:0pt;margin-left:127.05pt;margin-top:49.45pt;height:16.9pt;width:373.65pt;mso-position-horizontal-relative:page;mso-position-vertical-relative:page;z-index:251661312;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1"/>
      </w:pBdr>
      <w:spacing w:after="0" w:line="240" w:lineRule="exact"/>
      <w:ind w:left="181" w:hanging="11"/>
      <w:jc w:val="left"/>
      <w:rPr>
        <w:rFonts w:ascii="华文中宋" w:hAnsi="华文中宋" w:eastAsia="华文中宋"/>
        <w:sz w:val="24"/>
      </w:rPr>
    </w:pPr>
    <w:r>
      <w:pict>
        <v:shape id="_x0000_s4100" o:spid="_x0000_s4100" o:spt="202" type="#_x0000_t202" style="position:absolute;left:0pt;margin-left:231.6pt;margin-top:49.45pt;height:16.9pt;width:373.65pt;mso-position-horizontal-relative:page;mso-position-vertical-relative:page;z-index:251662336;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1"/>
      </w:pBdr>
      <w:spacing w:after="0" w:line="240" w:lineRule="exact"/>
      <w:ind w:left="181" w:hanging="11"/>
      <w:jc w:val="left"/>
      <w:rPr>
        <w:rFonts w:ascii="华文中宋" w:hAnsi="华文中宋" w:eastAsia="华文中宋"/>
        <w:sz w:val="24"/>
      </w:rPr>
    </w:pPr>
    <w:r>
      <w:pict>
        <v:shape id="_x0000_s4099" o:spid="_x0000_s4099" o:spt="202" type="#_x0000_t202" style="position:absolute;left:0pt;margin-left:218.65pt;margin-top:48.55pt;height:12.5pt;width:381.15pt;mso-position-horizontal-relative:page;mso-position-vertical-relative:page;z-index:251663360;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1"/>
      </w:pBdr>
      <w:spacing w:after="0" w:line="240" w:lineRule="exact"/>
      <w:ind w:left="181" w:hanging="11"/>
      <w:jc w:val="left"/>
      <w:rPr>
        <w:rFonts w:ascii="华文中宋" w:hAnsi="华文中宋" w:eastAsia="华文中宋"/>
        <w:sz w:val="24"/>
      </w:rPr>
    </w:pPr>
    <w:r>
      <w:pict>
        <v:shape id="_x0000_s4098" o:spid="_x0000_s4098" o:spt="202" type="#_x0000_t202" style="position:absolute;left:0pt;margin-left:217.85pt;margin-top:48.55pt;height:12.5pt;width:381.15pt;mso-position-horizontal-relative:page;mso-position-vertical-relative:page;z-index:251665408;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drawing>
        <wp:anchor distT="0" distB="0" distL="114300" distR="114300" simplePos="0" relativeHeight="251664384" behindDoc="0" locked="0" layoutInCell="1" allowOverlap="1">
          <wp:simplePos x="0" y="0"/>
          <wp:positionH relativeFrom="column">
            <wp:posOffset>-10160</wp:posOffset>
          </wp:positionH>
          <wp:positionV relativeFrom="paragraph">
            <wp:posOffset>0</wp:posOffset>
          </wp:positionV>
          <wp:extent cx="513080" cy="362585"/>
          <wp:effectExtent l="0" t="0" r="1270" b="18415"/>
          <wp:wrapNone/>
          <wp:docPr id="22" name="图片 1" descr="说明: 说明: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说明: 说明: 222.jpg"/>
                  <pic:cNvPicPr>
                    <a:picLocks noChangeAspect="1"/>
                  </pic:cNvPicPr>
                </pic:nvPicPr>
                <pic:blipFill>
                  <a:blip r:embed="rId1"/>
                  <a:stretch>
                    <a:fillRect/>
                  </a:stretch>
                </pic:blipFill>
                <pic:spPr>
                  <a:xfrm>
                    <a:off x="0" y="0"/>
                    <a:ext cx="513080" cy="362585"/>
                  </a:xfrm>
                  <a:prstGeom prst="rect">
                    <a:avLst/>
                  </a:prstGeom>
                  <a:noFill/>
                  <a:ln>
                    <a:noFill/>
                  </a:ln>
                </pic:spPr>
              </pic:pic>
            </a:graphicData>
          </a:graphic>
        </wp:anchor>
      </w:drawing>
    </w:r>
    <w:r>
      <w:rPr>
        <w:rFonts w:hint="eastAsia" w:ascii="华文中宋" w:hAnsi="华文中宋" w:eastAsia="华文中宋"/>
        <w:sz w:val="24"/>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1"/>
      </w:pBdr>
      <w:spacing w:after="0" w:line="240" w:lineRule="exact"/>
      <w:ind w:left="181" w:hanging="11"/>
      <w:jc w:val="left"/>
      <w:rPr>
        <w:rFonts w:ascii="华文中宋" w:hAnsi="华文中宋" w:eastAsia="华文中宋"/>
        <w:sz w:val="24"/>
      </w:rPr>
    </w:pPr>
    <w:r>
      <w:pict>
        <v:shape id="_x0000_s4097" o:spid="_x0000_s4097" o:spt="202" type="#_x0000_t202" style="position:absolute;left:0pt;margin-left:116.6pt;margin-top:59.85pt;height:12.5pt;width:381.15pt;mso-position-horizontal-relative:page;mso-position-vertical-relative:page;z-index:251667456;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2A7981"/>
    <w:multiLevelType w:val="multilevel"/>
    <w:tmpl w:val="302A7981"/>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1">
    <w:nsid w:val="346306FB"/>
    <w:multiLevelType w:val="multilevel"/>
    <w:tmpl w:val="346306FB"/>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2">
    <w:nsid w:val="35E838D4"/>
    <w:multiLevelType w:val="multilevel"/>
    <w:tmpl w:val="35E838D4"/>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3">
    <w:nsid w:val="45C26F4E"/>
    <w:multiLevelType w:val="multilevel"/>
    <w:tmpl w:val="45C26F4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4">
    <w:nsid w:val="500B0A6E"/>
    <w:multiLevelType w:val="multilevel"/>
    <w:tmpl w:val="500B0A6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5">
    <w:nsid w:val="589D4526"/>
    <w:multiLevelType w:val="multilevel"/>
    <w:tmpl w:val="589D45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F5F0B3E"/>
    <w:multiLevelType w:val="multilevel"/>
    <w:tmpl w:val="5F5F0B3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7">
    <w:nsid w:val="6077079E"/>
    <w:multiLevelType w:val="multilevel"/>
    <w:tmpl w:val="6077079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num w:numId="1">
    <w:abstractNumId w:val="0"/>
  </w:num>
  <w:num w:numId="2">
    <w:abstractNumId w:val="3"/>
  </w:num>
  <w:num w:numId="3">
    <w:abstractNumId w:val="4"/>
  </w:num>
  <w:num w:numId="4">
    <w:abstractNumId w:val="6"/>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18"/>
  <w:drawingGridVerticalSpacing w:val="292"/>
  <w:displayHorizontalDrawingGridEvery w:val="0"/>
  <w:displayVerticalDrawingGridEvery w:val="2"/>
  <w:characterSpacingControl w:val="compressPunctuation"/>
  <w:noLineBreaksAfter w:lang="zh-CN" w:val="$([{£¥·‘“〈《「『【〔〖〝﹙﹛﹝＄（．［｛￡￥"/>
  <w:noLineBreaksBefore w:lang="zh-CN" w:val="!%),.:;&gt;?]}¢¨°·ˇˉ―‖’”…‰′″›℃∶、。〃〉》」』】〕〗〞︶︺︾﹀﹄﹚﹜﹞！＂％＇），．：；？］｀｜｝～￠"/>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2"/>
  </w:compat>
  <w:docVars>
    <w:docVar w:name="commondata" w:val="eyJoZGlkIjoiMjRmYWU2YTQ4YmFjZmU4NThjZDA1NzAzZTAyMDBhMDkifQ=="/>
  </w:docVars>
  <w:rsids>
    <w:rsidRoot w:val="00172A27"/>
    <w:rsid w:val="000002B9"/>
    <w:rsid w:val="0000060A"/>
    <w:rsid w:val="00001748"/>
    <w:rsid w:val="000025D2"/>
    <w:rsid w:val="00002700"/>
    <w:rsid w:val="000028D4"/>
    <w:rsid w:val="00005483"/>
    <w:rsid w:val="00005E8E"/>
    <w:rsid w:val="00006CDE"/>
    <w:rsid w:val="000076B0"/>
    <w:rsid w:val="0000799E"/>
    <w:rsid w:val="00007C02"/>
    <w:rsid w:val="00010357"/>
    <w:rsid w:val="000105D7"/>
    <w:rsid w:val="0001120C"/>
    <w:rsid w:val="00012E35"/>
    <w:rsid w:val="000135F9"/>
    <w:rsid w:val="0001410A"/>
    <w:rsid w:val="0001553F"/>
    <w:rsid w:val="00016F6F"/>
    <w:rsid w:val="00017D73"/>
    <w:rsid w:val="00020CB3"/>
    <w:rsid w:val="00021892"/>
    <w:rsid w:val="00021BB6"/>
    <w:rsid w:val="00022BB8"/>
    <w:rsid w:val="000233D6"/>
    <w:rsid w:val="00023851"/>
    <w:rsid w:val="00023FBD"/>
    <w:rsid w:val="00024E89"/>
    <w:rsid w:val="0002607F"/>
    <w:rsid w:val="00026246"/>
    <w:rsid w:val="0002698B"/>
    <w:rsid w:val="0003105C"/>
    <w:rsid w:val="000319F9"/>
    <w:rsid w:val="00032B6F"/>
    <w:rsid w:val="00033CEB"/>
    <w:rsid w:val="00035076"/>
    <w:rsid w:val="000354D4"/>
    <w:rsid w:val="00036CB3"/>
    <w:rsid w:val="0004053E"/>
    <w:rsid w:val="00040765"/>
    <w:rsid w:val="000408FF"/>
    <w:rsid w:val="0004191B"/>
    <w:rsid w:val="000423ED"/>
    <w:rsid w:val="00042B87"/>
    <w:rsid w:val="0004341D"/>
    <w:rsid w:val="00043C86"/>
    <w:rsid w:val="00043D84"/>
    <w:rsid w:val="00044043"/>
    <w:rsid w:val="000457C1"/>
    <w:rsid w:val="00046160"/>
    <w:rsid w:val="00046320"/>
    <w:rsid w:val="00046823"/>
    <w:rsid w:val="00046F4A"/>
    <w:rsid w:val="000470AF"/>
    <w:rsid w:val="00047103"/>
    <w:rsid w:val="00047E5F"/>
    <w:rsid w:val="00050D14"/>
    <w:rsid w:val="00051085"/>
    <w:rsid w:val="00051372"/>
    <w:rsid w:val="00052981"/>
    <w:rsid w:val="00052B91"/>
    <w:rsid w:val="00053183"/>
    <w:rsid w:val="00053538"/>
    <w:rsid w:val="000549A4"/>
    <w:rsid w:val="00055C8F"/>
    <w:rsid w:val="00055DC5"/>
    <w:rsid w:val="00055EB8"/>
    <w:rsid w:val="0005608F"/>
    <w:rsid w:val="000563DF"/>
    <w:rsid w:val="0005685D"/>
    <w:rsid w:val="00056872"/>
    <w:rsid w:val="000568B6"/>
    <w:rsid w:val="00060426"/>
    <w:rsid w:val="0006077F"/>
    <w:rsid w:val="000615AA"/>
    <w:rsid w:val="00063C5D"/>
    <w:rsid w:val="00063CCC"/>
    <w:rsid w:val="00064611"/>
    <w:rsid w:val="0006514A"/>
    <w:rsid w:val="000655DB"/>
    <w:rsid w:val="0006598E"/>
    <w:rsid w:val="00065CAA"/>
    <w:rsid w:val="000660B8"/>
    <w:rsid w:val="0006623E"/>
    <w:rsid w:val="00066758"/>
    <w:rsid w:val="00067307"/>
    <w:rsid w:val="0006735D"/>
    <w:rsid w:val="00067448"/>
    <w:rsid w:val="00067AF1"/>
    <w:rsid w:val="00070E44"/>
    <w:rsid w:val="00071F15"/>
    <w:rsid w:val="000720F0"/>
    <w:rsid w:val="000722FB"/>
    <w:rsid w:val="00073583"/>
    <w:rsid w:val="0007376C"/>
    <w:rsid w:val="000758C8"/>
    <w:rsid w:val="00075B1A"/>
    <w:rsid w:val="00076136"/>
    <w:rsid w:val="00077D64"/>
    <w:rsid w:val="000803D2"/>
    <w:rsid w:val="00081173"/>
    <w:rsid w:val="00081D2C"/>
    <w:rsid w:val="00082880"/>
    <w:rsid w:val="00082D47"/>
    <w:rsid w:val="00082EDE"/>
    <w:rsid w:val="00082F65"/>
    <w:rsid w:val="0008338A"/>
    <w:rsid w:val="00083E04"/>
    <w:rsid w:val="0008419E"/>
    <w:rsid w:val="00084476"/>
    <w:rsid w:val="00084C2A"/>
    <w:rsid w:val="000865F8"/>
    <w:rsid w:val="000875FA"/>
    <w:rsid w:val="000879D5"/>
    <w:rsid w:val="00090099"/>
    <w:rsid w:val="00090EC3"/>
    <w:rsid w:val="00090F11"/>
    <w:rsid w:val="000918B4"/>
    <w:rsid w:val="000936E5"/>
    <w:rsid w:val="0009384A"/>
    <w:rsid w:val="0009390F"/>
    <w:rsid w:val="00094723"/>
    <w:rsid w:val="000949AF"/>
    <w:rsid w:val="000949BF"/>
    <w:rsid w:val="00096B8F"/>
    <w:rsid w:val="00097EFF"/>
    <w:rsid w:val="000A036F"/>
    <w:rsid w:val="000A041D"/>
    <w:rsid w:val="000A1260"/>
    <w:rsid w:val="000A1934"/>
    <w:rsid w:val="000A1F09"/>
    <w:rsid w:val="000A2319"/>
    <w:rsid w:val="000A2643"/>
    <w:rsid w:val="000A36AA"/>
    <w:rsid w:val="000A4F04"/>
    <w:rsid w:val="000A523D"/>
    <w:rsid w:val="000A536D"/>
    <w:rsid w:val="000A6C06"/>
    <w:rsid w:val="000A77A2"/>
    <w:rsid w:val="000B07A7"/>
    <w:rsid w:val="000B1A88"/>
    <w:rsid w:val="000B1E50"/>
    <w:rsid w:val="000B3421"/>
    <w:rsid w:val="000B3603"/>
    <w:rsid w:val="000B36A3"/>
    <w:rsid w:val="000B3D2F"/>
    <w:rsid w:val="000B4BE5"/>
    <w:rsid w:val="000B6310"/>
    <w:rsid w:val="000B6330"/>
    <w:rsid w:val="000B7B1E"/>
    <w:rsid w:val="000B7B77"/>
    <w:rsid w:val="000C0246"/>
    <w:rsid w:val="000C0301"/>
    <w:rsid w:val="000C0405"/>
    <w:rsid w:val="000C0D11"/>
    <w:rsid w:val="000C12F0"/>
    <w:rsid w:val="000C2960"/>
    <w:rsid w:val="000C2B39"/>
    <w:rsid w:val="000C3798"/>
    <w:rsid w:val="000C3D71"/>
    <w:rsid w:val="000C41AC"/>
    <w:rsid w:val="000C4620"/>
    <w:rsid w:val="000C4AB5"/>
    <w:rsid w:val="000C4BF3"/>
    <w:rsid w:val="000C4D4C"/>
    <w:rsid w:val="000C5BA7"/>
    <w:rsid w:val="000C67F1"/>
    <w:rsid w:val="000C6A03"/>
    <w:rsid w:val="000C6A55"/>
    <w:rsid w:val="000C6E3F"/>
    <w:rsid w:val="000D023B"/>
    <w:rsid w:val="000D0978"/>
    <w:rsid w:val="000D0DB1"/>
    <w:rsid w:val="000D1550"/>
    <w:rsid w:val="000D277C"/>
    <w:rsid w:val="000D2890"/>
    <w:rsid w:val="000E0147"/>
    <w:rsid w:val="000E08B7"/>
    <w:rsid w:val="000E15A6"/>
    <w:rsid w:val="000E29BE"/>
    <w:rsid w:val="000E2C7F"/>
    <w:rsid w:val="000E32E9"/>
    <w:rsid w:val="000E3E9B"/>
    <w:rsid w:val="000E3FF4"/>
    <w:rsid w:val="000E431A"/>
    <w:rsid w:val="000E490B"/>
    <w:rsid w:val="000E50F3"/>
    <w:rsid w:val="000E52CC"/>
    <w:rsid w:val="000E7353"/>
    <w:rsid w:val="000E79B9"/>
    <w:rsid w:val="000E7CED"/>
    <w:rsid w:val="000F1A77"/>
    <w:rsid w:val="000F1FF0"/>
    <w:rsid w:val="000F213A"/>
    <w:rsid w:val="000F3236"/>
    <w:rsid w:val="000F3775"/>
    <w:rsid w:val="000F43EC"/>
    <w:rsid w:val="000F4BF7"/>
    <w:rsid w:val="000F52AD"/>
    <w:rsid w:val="000F5741"/>
    <w:rsid w:val="000F5AB4"/>
    <w:rsid w:val="000F5CC1"/>
    <w:rsid w:val="000F645C"/>
    <w:rsid w:val="000F788A"/>
    <w:rsid w:val="000F7FDD"/>
    <w:rsid w:val="00100045"/>
    <w:rsid w:val="00100F51"/>
    <w:rsid w:val="00101568"/>
    <w:rsid w:val="0010315A"/>
    <w:rsid w:val="0010320A"/>
    <w:rsid w:val="00104BE5"/>
    <w:rsid w:val="001059F2"/>
    <w:rsid w:val="00105CEB"/>
    <w:rsid w:val="001066AF"/>
    <w:rsid w:val="0010717D"/>
    <w:rsid w:val="0011034C"/>
    <w:rsid w:val="00111F63"/>
    <w:rsid w:val="001130D6"/>
    <w:rsid w:val="00113F88"/>
    <w:rsid w:val="0011400D"/>
    <w:rsid w:val="00114720"/>
    <w:rsid w:val="0011641D"/>
    <w:rsid w:val="00117199"/>
    <w:rsid w:val="001222A3"/>
    <w:rsid w:val="00122540"/>
    <w:rsid w:val="001227DE"/>
    <w:rsid w:val="00122FE5"/>
    <w:rsid w:val="00123225"/>
    <w:rsid w:val="00125432"/>
    <w:rsid w:val="00125C03"/>
    <w:rsid w:val="00125DE8"/>
    <w:rsid w:val="0012713A"/>
    <w:rsid w:val="00127C60"/>
    <w:rsid w:val="00130D49"/>
    <w:rsid w:val="00133CBA"/>
    <w:rsid w:val="00133F34"/>
    <w:rsid w:val="00134860"/>
    <w:rsid w:val="0013582B"/>
    <w:rsid w:val="00135BE7"/>
    <w:rsid w:val="00135E31"/>
    <w:rsid w:val="00137643"/>
    <w:rsid w:val="001402FA"/>
    <w:rsid w:val="0014070B"/>
    <w:rsid w:val="0014148C"/>
    <w:rsid w:val="001414AB"/>
    <w:rsid w:val="0014228F"/>
    <w:rsid w:val="00142826"/>
    <w:rsid w:val="00142F07"/>
    <w:rsid w:val="00143C6D"/>
    <w:rsid w:val="0014450B"/>
    <w:rsid w:val="0014492F"/>
    <w:rsid w:val="00145F97"/>
    <w:rsid w:val="00146AB0"/>
    <w:rsid w:val="00146C60"/>
    <w:rsid w:val="00147651"/>
    <w:rsid w:val="001477CC"/>
    <w:rsid w:val="00151E75"/>
    <w:rsid w:val="00152289"/>
    <w:rsid w:val="00152434"/>
    <w:rsid w:val="00153202"/>
    <w:rsid w:val="001540D2"/>
    <w:rsid w:val="00154373"/>
    <w:rsid w:val="00154C2D"/>
    <w:rsid w:val="00154F6D"/>
    <w:rsid w:val="00155F2A"/>
    <w:rsid w:val="00156356"/>
    <w:rsid w:val="001570DB"/>
    <w:rsid w:val="0016124F"/>
    <w:rsid w:val="00161290"/>
    <w:rsid w:val="0016257C"/>
    <w:rsid w:val="0016409F"/>
    <w:rsid w:val="00165EBD"/>
    <w:rsid w:val="00166329"/>
    <w:rsid w:val="00167DB6"/>
    <w:rsid w:val="00167E8E"/>
    <w:rsid w:val="001727DD"/>
    <w:rsid w:val="00172A27"/>
    <w:rsid w:val="00172CA4"/>
    <w:rsid w:val="00172DD9"/>
    <w:rsid w:val="00173125"/>
    <w:rsid w:val="001740F3"/>
    <w:rsid w:val="001743C9"/>
    <w:rsid w:val="00174545"/>
    <w:rsid w:val="00174780"/>
    <w:rsid w:val="00174F14"/>
    <w:rsid w:val="001750D5"/>
    <w:rsid w:val="0017563E"/>
    <w:rsid w:val="0017570F"/>
    <w:rsid w:val="00175B2A"/>
    <w:rsid w:val="001765A6"/>
    <w:rsid w:val="00176B3E"/>
    <w:rsid w:val="0017785C"/>
    <w:rsid w:val="0018049A"/>
    <w:rsid w:val="00181333"/>
    <w:rsid w:val="00181679"/>
    <w:rsid w:val="001826AF"/>
    <w:rsid w:val="00182B6B"/>
    <w:rsid w:val="00182DEF"/>
    <w:rsid w:val="00182F1A"/>
    <w:rsid w:val="00184341"/>
    <w:rsid w:val="00184B87"/>
    <w:rsid w:val="00184C64"/>
    <w:rsid w:val="00185C63"/>
    <w:rsid w:val="00186FAD"/>
    <w:rsid w:val="00187921"/>
    <w:rsid w:val="00187B9B"/>
    <w:rsid w:val="00187C12"/>
    <w:rsid w:val="0019072C"/>
    <w:rsid w:val="0019137E"/>
    <w:rsid w:val="001928E2"/>
    <w:rsid w:val="00193C25"/>
    <w:rsid w:val="0019506B"/>
    <w:rsid w:val="00196762"/>
    <w:rsid w:val="001A03B6"/>
    <w:rsid w:val="001A1903"/>
    <w:rsid w:val="001A30D6"/>
    <w:rsid w:val="001A3169"/>
    <w:rsid w:val="001A366E"/>
    <w:rsid w:val="001A3FEF"/>
    <w:rsid w:val="001A4A1A"/>
    <w:rsid w:val="001A5761"/>
    <w:rsid w:val="001A6755"/>
    <w:rsid w:val="001A6ACA"/>
    <w:rsid w:val="001A786A"/>
    <w:rsid w:val="001A78A2"/>
    <w:rsid w:val="001A7DC3"/>
    <w:rsid w:val="001B194B"/>
    <w:rsid w:val="001B1C71"/>
    <w:rsid w:val="001B2722"/>
    <w:rsid w:val="001B28EC"/>
    <w:rsid w:val="001B3BAD"/>
    <w:rsid w:val="001B4E7B"/>
    <w:rsid w:val="001B5EE1"/>
    <w:rsid w:val="001B6183"/>
    <w:rsid w:val="001B6852"/>
    <w:rsid w:val="001B6F27"/>
    <w:rsid w:val="001B7267"/>
    <w:rsid w:val="001B75A7"/>
    <w:rsid w:val="001B7A95"/>
    <w:rsid w:val="001C0422"/>
    <w:rsid w:val="001C0698"/>
    <w:rsid w:val="001C1481"/>
    <w:rsid w:val="001C166F"/>
    <w:rsid w:val="001C17A9"/>
    <w:rsid w:val="001C1DFE"/>
    <w:rsid w:val="001C218C"/>
    <w:rsid w:val="001C2218"/>
    <w:rsid w:val="001C285B"/>
    <w:rsid w:val="001C3396"/>
    <w:rsid w:val="001C3622"/>
    <w:rsid w:val="001C386D"/>
    <w:rsid w:val="001C4712"/>
    <w:rsid w:val="001C4D9A"/>
    <w:rsid w:val="001C5885"/>
    <w:rsid w:val="001C5C8D"/>
    <w:rsid w:val="001C5F4C"/>
    <w:rsid w:val="001C6660"/>
    <w:rsid w:val="001C693C"/>
    <w:rsid w:val="001C6EC6"/>
    <w:rsid w:val="001C6FE3"/>
    <w:rsid w:val="001C7930"/>
    <w:rsid w:val="001D1585"/>
    <w:rsid w:val="001D1597"/>
    <w:rsid w:val="001D1633"/>
    <w:rsid w:val="001D23EE"/>
    <w:rsid w:val="001D2C73"/>
    <w:rsid w:val="001D330A"/>
    <w:rsid w:val="001D570E"/>
    <w:rsid w:val="001E0478"/>
    <w:rsid w:val="001E0A0E"/>
    <w:rsid w:val="001E0D09"/>
    <w:rsid w:val="001E179C"/>
    <w:rsid w:val="001E1BBB"/>
    <w:rsid w:val="001E2333"/>
    <w:rsid w:val="001E34E0"/>
    <w:rsid w:val="001E3866"/>
    <w:rsid w:val="001E3E0C"/>
    <w:rsid w:val="001E467A"/>
    <w:rsid w:val="001E4704"/>
    <w:rsid w:val="001E54B5"/>
    <w:rsid w:val="001E56BC"/>
    <w:rsid w:val="001E5BDE"/>
    <w:rsid w:val="001F03A0"/>
    <w:rsid w:val="001F0481"/>
    <w:rsid w:val="001F0BCA"/>
    <w:rsid w:val="001F1069"/>
    <w:rsid w:val="001F2219"/>
    <w:rsid w:val="001F2B28"/>
    <w:rsid w:val="001F3D3E"/>
    <w:rsid w:val="001F488E"/>
    <w:rsid w:val="001F4AFB"/>
    <w:rsid w:val="001F4C11"/>
    <w:rsid w:val="001F4F8B"/>
    <w:rsid w:val="001F5875"/>
    <w:rsid w:val="001F5951"/>
    <w:rsid w:val="001F5B7E"/>
    <w:rsid w:val="001F7108"/>
    <w:rsid w:val="001F71A4"/>
    <w:rsid w:val="001F7393"/>
    <w:rsid w:val="001F756D"/>
    <w:rsid w:val="001F7576"/>
    <w:rsid w:val="001F7FA1"/>
    <w:rsid w:val="00200140"/>
    <w:rsid w:val="0020044D"/>
    <w:rsid w:val="002004D2"/>
    <w:rsid w:val="00200551"/>
    <w:rsid w:val="00201E32"/>
    <w:rsid w:val="00202D35"/>
    <w:rsid w:val="00203F10"/>
    <w:rsid w:val="00204654"/>
    <w:rsid w:val="0020485A"/>
    <w:rsid w:val="00205863"/>
    <w:rsid w:val="00205E74"/>
    <w:rsid w:val="002068D7"/>
    <w:rsid w:val="00210CF9"/>
    <w:rsid w:val="00210F20"/>
    <w:rsid w:val="00211381"/>
    <w:rsid w:val="00212381"/>
    <w:rsid w:val="002129DE"/>
    <w:rsid w:val="00214B1B"/>
    <w:rsid w:val="00215519"/>
    <w:rsid w:val="0021580F"/>
    <w:rsid w:val="0021691E"/>
    <w:rsid w:val="00216A5E"/>
    <w:rsid w:val="002170DF"/>
    <w:rsid w:val="00221A78"/>
    <w:rsid w:val="00221B11"/>
    <w:rsid w:val="00222B78"/>
    <w:rsid w:val="00223213"/>
    <w:rsid w:val="0022327A"/>
    <w:rsid w:val="00225198"/>
    <w:rsid w:val="00225E6A"/>
    <w:rsid w:val="002262DC"/>
    <w:rsid w:val="0022641A"/>
    <w:rsid w:val="00226842"/>
    <w:rsid w:val="00226E00"/>
    <w:rsid w:val="00227401"/>
    <w:rsid w:val="00227424"/>
    <w:rsid w:val="00231F61"/>
    <w:rsid w:val="002329D6"/>
    <w:rsid w:val="00233CEF"/>
    <w:rsid w:val="00234164"/>
    <w:rsid w:val="00234666"/>
    <w:rsid w:val="002346FE"/>
    <w:rsid w:val="00234E1A"/>
    <w:rsid w:val="00234F60"/>
    <w:rsid w:val="00235656"/>
    <w:rsid w:val="0023589C"/>
    <w:rsid w:val="00235F35"/>
    <w:rsid w:val="00236A56"/>
    <w:rsid w:val="00237190"/>
    <w:rsid w:val="002400C6"/>
    <w:rsid w:val="0024024E"/>
    <w:rsid w:val="002407AF"/>
    <w:rsid w:val="00240A9C"/>
    <w:rsid w:val="00241292"/>
    <w:rsid w:val="00242554"/>
    <w:rsid w:val="00242CA0"/>
    <w:rsid w:val="0024351C"/>
    <w:rsid w:val="00243EDB"/>
    <w:rsid w:val="0024465F"/>
    <w:rsid w:val="002447E3"/>
    <w:rsid w:val="00245078"/>
    <w:rsid w:val="00245343"/>
    <w:rsid w:val="00245BC6"/>
    <w:rsid w:val="00245DEF"/>
    <w:rsid w:val="00246095"/>
    <w:rsid w:val="00250569"/>
    <w:rsid w:val="002510DC"/>
    <w:rsid w:val="00251265"/>
    <w:rsid w:val="00251810"/>
    <w:rsid w:val="00252386"/>
    <w:rsid w:val="00252BD9"/>
    <w:rsid w:val="0025301A"/>
    <w:rsid w:val="00253308"/>
    <w:rsid w:val="00253D6A"/>
    <w:rsid w:val="00253F11"/>
    <w:rsid w:val="00254721"/>
    <w:rsid w:val="0025563B"/>
    <w:rsid w:val="00255D5C"/>
    <w:rsid w:val="00256541"/>
    <w:rsid w:val="0025714C"/>
    <w:rsid w:val="00260968"/>
    <w:rsid w:val="00262A18"/>
    <w:rsid w:val="002631E1"/>
    <w:rsid w:val="00263E9B"/>
    <w:rsid w:val="00264147"/>
    <w:rsid w:val="002642B2"/>
    <w:rsid w:val="00264853"/>
    <w:rsid w:val="00264BD2"/>
    <w:rsid w:val="00265CF1"/>
    <w:rsid w:val="0026611D"/>
    <w:rsid w:val="00267304"/>
    <w:rsid w:val="002679F4"/>
    <w:rsid w:val="00267C5C"/>
    <w:rsid w:val="002707E7"/>
    <w:rsid w:val="00271E95"/>
    <w:rsid w:val="00271F5F"/>
    <w:rsid w:val="002726E5"/>
    <w:rsid w:val="0027325B"/>
    <w:rsid w:val="0027361E"/>
    <w:rsid w:val="0027475B"/>
    <w:rsid w:val="00274C92"/>
    <w:rsid w:val="002753E8"/>
    <w:rsid w:val="002754C1"/>
    <w:rsid w:val="002759D1"/>
    <w:rsid w:val="002761DC"/>
    <w:rsid w:val="00280E15"/>
    <w:rsid w:val="00281795"/>
    <w:rsid w:val="00281D2D"/>
    <w:rsid w:val="00281E4C"/>
    <w:rsid w:val="002825DD"/>
    <w:rsid w:val="00283D46"/>
    <w:rsid w:val="00284320"/>
    <w:rsid w:val="0028457E"/>
    <w:rsid w:val="002849AF"/>
    <w:rsid w:val="00284D7A"/>
    <w:rsid w:val="00285002"/>
    <w:rsid w:val="00286116"/>
    <w:rsid w:val="002904D1"/>
    <w:rsid w:val="00291733"/>
    <w:rsid w:val="00291A36"/>
    <w:rsid w:val="00292D85"/>
    <w:rsid w:val="00293050"/>
    <w:rsid w:val="002933D7"/>
    <w:rsid w:val="00293C1A"/>
    <w:rsid w:val="00294895"/>
    <w:rsid w:val="002961E0"/>
    <w:rsid w:val="002964CB"/>
    <w:rsid w:val="0029689C"/>
    <w:rsid w:val="0029718C"/>
    <w:rsid w:val="00297521"/>
    <w:rsid w:val="002975FF"/>
    <w:rsid w:val="00297856"/>
    <w:rsid w:val="002A1224"/>
    <w:rsid w:val="002A1992"/>
    <w:rsid w:val="002A1FAD"/>
    <w:rsid w:val="002A445E"/>
    <w:rsid w:val="002A4554"/>
    <w:rsid w:val="002A69E4"/>
    <w:rsid w:val="002A6CD9"/>
    <w:rsid w:val="002A7174"/>
    <w:rsid w:val="002A747D"/>
    <w:rsid w:val="002B1EAD"/>
    <w:rsid w:val="002B226D"/>
    <w:rsid w:val="002B2A05"/>
    <w:rsid w:val="002B3505"/>
    <w:rsid w:val="002B3A58"/>
    <w:rsid w:val="002B3D84"/>
    <w:rsid w:val="002B5AA9"/>
    <w:rsid w:val="002B6297"/>
    <w:rsid w:val="002B69BD"/>
    <w:rsid w:val="002B7D7B"/>
    <w:rsid w:val="002C24CB"/>
    <w:rsid w:val="002C2B07"/>
    <w:rsid w:val="002C3148"/>
    <w:rsid w:val="002C36EF"/>
    <w:rsid w:val="002C3738"/>
    <w:rsid w:val="002C4FFD"/>
    <w:rsid w:val="002C5821"/>
    <w:rsid w:val="002D0974"/>
    <w:rsid w:val="002D268F"/>
    <w:rsid w:val="002D2807"/>
    <w:rsid w:val="002D2917"/>
    <w:rsid w:val="002D3570"/>
    <w:rsid w:val="002D3FB6"/>
    <w:rsid w:val="002D7254"/>
    <w:rsid w:val="002D7633"/>
    <w:rsid w:val="002D7793"/>
    <w:rsid w:val="002E05AD"/>
    <w:rsid w:val="002E08A1"/>
    <w:rsid w:val="002E206C"/>
    <w:rsid w:val="002E2C59"/>
    <w:rsid w:val="002E3708"/>
    <w:rsid w:val="002E3E38"/>
    <w:rsid w:val="002E6895"/>
    <w:rsid w:val="002E6C3D"/>
    <w:rsid w:val="002E6DA2"/>
    <w:rsid w:val="002E702C"/>
    <w:rsid w:val="002F0922"/>
    <w:rsid w:val="002F0F28"/>
    <w:rsid w:val="002F2CF5"/>
    <w:rsid w:val="002F32A7"/>
    <w:rsid w:val="002F3310"/>
    <w:rsid w:val="002F420C"/>
    <w:rsid w:val="002F4D68"/>
    <w:rsid w:val="002F4E04"/>
    <w:rsid w:val="002F4E3A"/>
    <w:rsid w:val="002F516E"/>
    <w:rsid w:val="002F6527"/>
    <w:rsid w:val="002F7571"/>
    <w:rsid w:val="00300031"/>
    <w:rsid w:val="0030006F"/>
    <w:rsid w:val="003009D9"/>
    <w:rsid w:val="00301028"/>
    <w:rsid w:val="00301494"/>
    <w:rsid w:val="003027E6"/>
    <w:rsid w:val="00303388"/>
    <w:rsid w:val="00304B6C"/>
    <w:rsid w:val="00307787"/>
    <w:rsid w:val="00307E48"/>
    <w:rsid w:val="00310003"/>
    <w:rsid w:val="00311170"/>
    <w:rsid w:val="0031132E"/>
    <w:rsid w:val="0031179C"/>
    <w:rsid w:val="003118C6"/>
    <w:rsid w:val="00312CCD"/>
    <w:rsid w:val="003135F3"/>
    <w:rsid w:val="0031369E"/>
    <w:rsid w:val="00314C3E"/>
    <w:rsid w:val="00316262"/>
    <w:rsid w:val="003164F5"/>
    <w:rsid w:val="00316D4F"/>
    <w:rsid w:val="00317442"/>
    <w:rsid w:val="00317B53"/>
    <w:rsid w:val="00317BFF"/>
    <w:rsid w:val="00317ED9"/>
    <w:rsid w:val="003206F1"/>
    <w:rsid w:val="0032216D"/>
    <w:rsid w:val="0032228A"/>
    <w:rsid w:val="00323187"/>
    <w:rsid w:val="003240D5"/>
    <w:rsid w:val="003243BA"/>
    <w:rsid w:val="00324532"/>
    <w:rsid w:val="00325434"/>
    <w:rsid w:val="003256CE"/>
    <w:rsid w:val="00325A0D"/>
    <w:rsid w:val="003263CD"/>
    <w:rsid w:val="003267A4"/>
    <w:rsid w:val="0032729F"/>
    <w:rsid w:val="0032774A"/>
    <w:rsid w:val="00327773"/>
    <w:rsid w:val="003277D9"/>
    <w:rsid w:val="00331C13"/>
    <w:rsid w:val="00331D95"/>
    <w:rsid w:val="003329FC"/>
    <w:rsid w:val="00333FE3"/>
    <w:rsid w:val="003342B8"/>
    <w:rsid w:val="00335E62"/>
    <w:rsid w:val="003360D4"/>
    <w:rsid w:val="00336321"/>
    <w:rsid w:val="0033675C"/>
    <w:rsid w:val="00336772"/>
    <w:rsid w:val="00336DDA"/>
    <w:rsid w:val="00341A00"/>
    <w:rsid w:val="00341E1D"/>
    <w:rsid w:val="00343DCF"/>
    <w:rsid w:val="0034448C"/>
    <w:rsid w:val="00347390"/>
    <w:rsid w:val="00347DD3"/>
    <w:rsid w:val="0035166D"/>
    <w:rsid w:val="00352CCA"/>
    <w:rsid w:val="0035581B"/>
    <w:rsid w:val="00356A25"/>
    <w:rsid w:val="00357881"/>
    <w:rsid w:val="00357E1E"/>
    <w:rsid w:val="00360C1C"/>
    <w:rsid w:val="00360E99"/>
    <w:rsid w:val="003615B9"/>
    <w:rsid w:val="00362008"/>
    <w:rsid w:val="00362744"/>
    <w:rsid w:val="00362997"/>
    <w:rsid w:val="003630DA"/>
    <w:rsid w:val="00363695"/>
    <w:rsid w:val="00363756"/>
    <w:rsid w:val="003641A0"/>
    <w:rsid w:val="00364561"/>
    <w:rsid w:val="00364D42"/>
    <w:rsid w:val="00365DFC"/>
    <w:rsid w:val="00366117"/>
    <w:rsid w:val="003675F9"/>
    <w:rsid w:val="00370440"/>
    <w:rsid w:val="00370C65"/>
    <w:rsid w:val="00370E17"/>
    <w:rsid w:val="00370E7E"/>
    <w:rsid w:val="00371733"/>
    <w:rsid w:val="00372472"/>
    <w:rsid w:val="003740B0"/>
    <w:rsid w:val="003747E3"/>
    <w:rsid w:val="003749C9"/>
    <w:rsid w:val="00375745"/>
    <w:rsid w:val="00376B8D"/>
    <w:rsid w:val="00380428"/>
    <w:rsid w:val="0038135C"/>
    <w:rsid w:val="00381942"/>
    <w:rsid w:val="0038209A"/>
    <w:rsid w:val="003830F4"/>
    <w:rsid w:val="00383136"/>
    <w:rsid w:val="0038396E"/>
    <w:rsid w:val="00383A05"/>
    <w:rsid w:val="00383CC1"/>
    <w:rsid w:val="00385FCB"/>
    <w:rsid w:val="0038698C"/>
    <w:rsid w:val="00386D8D"/>
    <w:rsid w:val="003876E8"/>
    <w:rsid w:val="003879E7"/>
    <w:rsid w:val="003904C9"/>
    <w:rsid w:val="00390852"/>
    <w:rsid w:val="00390A6F"/>
    <w:rsid w:val="0039147D"/>
    <w:rsid w:val="00391E6F"/>
    <w:rsid w:val="00392B93"/>
    <w:rsid w:val="0039382D"/>
    <w:rsid w:val="00394238"/>
    <w:rsid w:val="00394F99"/>
    <w:rsid w:val="003962ED"/>
    <w:rsid w:val="0039646E"/>
    <w:rsid w:val="00397617"/>
    <w:rsid w:val="003A0B20"/>
    <w:rsid w:val="003A0B39"/>
    <w:rsid w:val="003A1370"/>
    <w:rsid w:val="003A2DC1"/>
    <w:rsid w:val="003A3794"/>
    <w:rsid w:val="003A496C"/>
    <w:rsid w:val="003A4B0A"/>
    <w:rsid w:val="003A596D"/>
    <w:rsid w:val="003A5E32"/>
    <w:rsid w:val="003A615D"/>
    <w:rsid w:val="003A73B2"/>
    <w:rsid w:val="003A751B"/>
    <w:rsid w:val="003B02F3"/>
    <w:rsid w:val="003B24CB"/>
    <w:rsid w:val="003B2D0A"/>
    <w:rsid w:val="003B2F00"/>
    <w:rsid w:val="003B3566"/>
    <w:rsid w:val="003B533A"/>
    <w:rsid w:val="003B739B"/>
    <w:rsid w:val="003B79D0"/>
    <w:rsid w:val="003C0D3A"/>
    <w:rsid w:val="003C127C"/>
    <w:rsid w:val="003C1FE9"/>
    <w:rsid w:val="003C310D"/>
    <w:rsid w:val="003C3382"/>
    <w:rsid w:val="003C360B"/>
    <w:rsid w:val="003C3A1B"/>
    <w:rsid w:val="003C4AA9"/>
    <w:rsid w:val="003C5710"/>
    <w:rsid w:val="003C6651"/>
    <w:rsid w:val="003C6CEB"/>
    <w:rsid w:val="003C756E"/>
    <w:rsid w:val="003C7604"/>
    <w:rsid w:val="003D0149"/>
    <w:rsid w:val="003D0B7C"/>
    <w:rsid w:val="003D0CFE"/>
    <w:rsid w:val="003D129E"/>
    <w:rsid w:val="003D1A9E"/>
    <w:rsid w:val="003D1ADF"/>
    <w:rsid w:val="003D2200"/>
    <w:rsid w:val="003D5144"/>
    <w:rsid w:val="003D5BFC"/>
    <w:rsid w:val="003D64E8"/>
    <w:rsid w:val="003D7B30"/>
    <w:rsid w:val="003D7BF2"/>
    <w:rsid w:val="003E05F1"/>
    <w:rsid w:val="003E0ABA"/>
    <w:rsid w:val="003E1241"/>
    <w:rsid w:val="003E2D11"/>
    <w:rsid w:val="003E464E"/>
    <w:rsid w:val="003E52F3"/>
    <w:rsid w:val="003E5B86"/>
    <w:rsid w:val="003E6CAD"/>
    <w:rsid w:val="003E721A"/>
    <w:rsid w:val="003E7C15"/>
    <w:rsid w:val="003F1EC9"/>
    <w:rsid w:val="003F21FB"/>
    <w:rsid w:val="003F26E9"/>
    <w:rsid w:val="003F53CE"/>
    <w:rsid w:val="003F5E6C"/>
    <w:rsid w:val="003F657C"/>
    <w:rsid w:val="003F73D6"/>
    <w:rsid w:val="003F7B69"/>
    <w:rsid w:val="003F7BED"/>
    <w:rsid w:val="003F7F46"/>
    <w:rsid w:val="00400D82"/>
    <w:rsid w:val="004015FE"/>
    <w:rsid w:val="00401CAA"/>
    <w:rsid w:val="00403A61"/>
    <w:rsid w:val="004040BB"/>
    <w:rsid w:val="004040BE"/>
    <w:rsid w:val="0040460D"/>
    <w:rsid w:val="00406339"/>
    <w:rsid w:val="00406D77"/>
    <w:rsid w:val="0040778F"/>
    <w:rsid w:val="00407BF3"/>
    <w:rsid w:val="0041056C"/>
    <w:rsid w:val="004116A0"/>
    <w:rsid w:val="004133F3"/>
    <w:rsid w:val="00413CA7"/>
    <w:rsid w:val="0041437E"/>
    <w:rsid w:val="00414EF1"/>
    <w:rsid w:val="00415729"/>
    <w:rsid w:val="00417E90"/>
    <w:rsid w:val="004205EB"/>
    <w:rsid w:val="004212A1"/>
    <w:rsid w:val="00421348"/>
    <w:rsid w:val="00421EB4"/>
    <w:rsid w:val="004228B5"/>
    <w:rsid w:val="004229CC"/>
    <w:rsid w:val="00422B58"/>
    <w:rsid w:val="00424A92"/>
    <w:rsid w:val="00424C13"/>
    <w:rsid w:val="00424CDB"/>
    <w:rsid w:val="00424F2A"/>
    <w:rsid w:val="00425247"/>
    <w:rsid w:val="00425AC9"/>
    <w:rsid w:val="0042611E"/>
    <w:rsid w:val="00430160"/>
    <w:rsid w:val="00430948"/>
    <w:rsid w:val="00430B68"/>
    <w:rsid w:val="00432888"/>
    <w:rsid w:val="00433EB5"/>
    <w:rsid w:val="004347C3"/>
    <w:rsid w:val="00434999"/>
    <w:rsid w:val="00434ABC"/>
    <w:rsid w:val="004360C8"/>
    <w:rsid w:val="00437F66"/>
    <w:rsid w:val="00440AC7"/>
    <w:rsid w:val="004412C4"/>
    <w:rsid w:val="00441E8E"/>
    <w:rsid w:val="00442851"/>
    <w:rsid w:val="00442982"/>
    <w:rsid w:val="00443DC6"/>
    <w:rsid w:val="00444711"/>
    <w:rsid w:val="00444BDE"/>
    <w:rsid w:val="00446888"/>
    <w:rsid w:val="00446A37"/>
    <w:rsid w:val="00450A16"/>
    <w:rsid w:val="00451DC1"/>
    <w:rsid w:val="00452FAD"/>
    <w:rsid w:val="00453186"/>
    <w:rsid w:val="00453283"/>
    <w:rsid w:val="004537D8"/>
    <w:rsid w:val="0045420B"/>
    <w:rsid w:val="00454794"/>
    <w:rsid w:val="00454AE4"/>
    <w:rsid w:val="00454D43"/>
    <w:rsid w:val="004551C0"/>
    <w:rsid w:val="004554CA"/>
    <w:rsid w:val="00455B1D"/>
    <w:rsid w:val="00455CB2"/>
    <w:rsid w:val="00455ED2"/>
    <w:rsid w:val="00456748"/>
    <w:rsid w:val="00460505"/>
    <w:rsid w:val="00461C95"/>
    <w:rsid w:val="00461DFB"/>
    <w:rsid w:val="00465470"/>
    <w:rsid w:val="004658AD"/>
    <w:rsid w:val="004668E6"/>
    <w:rsid w:val="00470380"/>
    <w:rsid w:val="00470908"/>
    <w:rsid w:val="00471030"/>
    <w:rsid w:val="0047145B"/>
    <w:rsid w:val="00471A73"/>
    <w:rsid w:val="00472003"/>
    <w:rsid w:val="004722DB"/>
    <w:rsid w:val="004723DF"/>
    <w:rsid w:val="00473B4D"/>
    <w:rsid w:val="00473E8A"/>
    <w:rsid w:val="00475E87"/>
    <w:rsid w:val="00476170"/>
    <w:rsid w:val="0047688A"/>
    <w:rsid w:val="00477616"/>
    <w:rsid w:val="00480066"/>
    <w:rsid w:val="00480530"/>
    <w:rsid w:val="00480605"/>
    <w:rsid w:val="00480BDD"/>
    <w:rsid w:val="00481BE7"/>
    <w:rsid w:val="00482C2D"/>
    <w:rsid w:val="0048334F"/>
    <w:rsid w:val="0048419A"/>
    <w:rsid w:val="004850D1"/>
    <w:rsid w:val="00485B17"/>
    <w:rsid w:val="00485BB4"/>
    <w:rsid w:val="00486FE0"/>
    <w:rsid w:val="004871C4"/>
    <w:rsid w:val="00487B62"/>
    <w:rsid w:val="00490249"/>
    <w:rsid w:val="00492795"/>
    <w:rsid w:val="00494425"/>
    <w:rsid w:val="00494552"/>
    <w:rsid w:val="004956F4"/>
    <w:rsid w:val="00495BCB"/>
    <w:rsid w:val="00496702"/>
    <w:rsid w:val="00496ABD"/>
    <w:rsid w:val="00496E02"/>
    <w:rsid w:val="0049705F"/>
    <w:rsid w:val="00497727"/>
    <w:rsid w:val="004A0554"/>
    <w:rsid w:val="004A0BA5"/>
    <w:rsid w:val="004A17B7"/>
    <w:rsid w:val="004A336D"/>
    <w:rsid w:val="004A36FE"/>
    <w:rsid w:val="004A43E5"/>
    <w:rsid w:val="004A5874"/>
    <w:rsid w:val="004A5EF0"/>
    <w:rsid w:val="004A637E"/>
    <w:rsid w:val="004A664F"/>
    <w:rsid w:val="004A6A85"/>
    <w:rsid w:val="004A6ECB"/>
    <w:rsid w:val="004A7B04"/>
    <w:rsid w:val="004B0CAE"/>
    <w:rsid w:val="004B1082"/>
    <w:rsid w:val="004B2C43"/>
    <w:rsid w:val="004B2F9B"/>
    <w:rsid w:val="004B3619"/>
    <w:rsid w:val="004B36AB"/>
    <w:rsid w:val="004B42E4"/>
    <w:rsid w:val="004B4791"/>
    <w:rsid w:val="004B4813"/>
    <w:rsid w:val="004B66FF"/>
    <w:rsid w:val="004B6FB5"/>
    <w:rsid w:val="004B73C6"/>
    <w:rsid w:val="004B75CE"/>
    <w:rsid w:val="004B7751"/>
    <w:rsid w:val="004C04F2"/>
    <w:rsid w:val="004C055F"/>
    <w:rsid w:val="004C095B"/>
    <w:rsid w:val="004C0CDD"/>
    <w:rsid w:val="004C101A"/>
    <w:rsid w:val="004C12E4"/>
    <w:rsid w:val="004C379E"/>
    <w:rsid w:val="004C3F7A"/>
    <w:rsid w:val="004C5482"/>
    <w:rsid w:val="004C5FBD"/>
    <w:rsid w:val="004C7344"/>
    <w:rsid w:val="004D04E4"/>
    <w:rsid w:val="004D08FC"/>
    <w:rsid w:val="004D092C"/>
    <w:rsid w:val="004D2340"/>
    <w:rsid w:val="004D3AAC"/>
    <w:rsid w:val="004D447A"/>
    <w:rsid w:val="004D4A67"/>
    <w:rsid w:val="004D4D07"/>
    <w:rsid w:val="004D5762"/>
    <w:rsid w:val="004D5E82"/>
    <w:rsid w:val="004D60F4"/>
    <w:rsid w:val="004D6242"/>
    <w:rsid w:val="004D6407"/>
    <w:rsid w:val="004E01B4"/>
    <w:rsid w:val="004E029A"/>
    <w:rsid w:val="004E0C85"/>
    <w:rsid w:val="004E0D40"/>
    <w:rsid w:val="004E1C28"/>
    <w:rsid w:val="004E1C31"/>
    <w:rsid w:val="004E2A04"/>
    <w:rsid w:val="004E2AAF"/>
    <w:rsid w:val="004E306D"/>
    <w:rsid w:val="004E325A"/>
    <w:rsid w:val="004E36CE"/>
    <w:rsid w:val="004E3F41"/>
    <w:rsid w:val="004E607C"/>
    <w:rsid w:val="004E61BC"/>
    <w:rsid w:val="004E61EF"/>
    <w:rsid w:val="004E75EA"/>
    <w:rsid w:val="004E7AA8"/>
    <w:rsid w:val="004E7B1B"/>
    <w:rsid w:val="004F0B4E"/>
    <w:rsid w:val="004F1704"/>
    <w:rsid w:val="004F17FC"/>
    <w:rsid w:val="004F3F0F"/>
    <w:rsid w:val="004F44A6"/>
    <w:rsid w:val="004F5C88"/>
    <w:rsid w:val="004F5E98"/>
    <w:rsid w:val="004F6109"/>
    <w:rsid w:val="004F61A5"/>
    <w:rsid w:val="004F7F89"/>
    <w:rsid w:val="005023B9"/>
    <w:rsid w:val="00502624"/>
    <w:rsid w:val="00502921"/>
    <w:rsid w:val="00502F08"/>
    <w:rsid w:val="00503E3A"/>
    <w:rsid w:val="00504167"/>
    <w:rsid w:val="00504ADB"/>
    <w:rsid w:val="00505E67"/>
    <w:rsid w:val="00506142"/>
    <w:rsid w:val="005066C1"/>
    <w:rsid w:val="00506840"/>
    <w:rsid w:val="005101AA"/>
    <w:rsid w:val="00512474"/>
    <w:rsid w:val="00513073"/>
    <w:rsid w:val="00513FB7"/>
    <w:rsid w:val="00514162"/>
    <w:rsid w:val="00514507"/>
    <w:rsid w:val="00514EDF"/>
    <w:rsid w:val="0051657E"/>
    <w:rsid w:val="00521CB1"/>
    <w:rsid w:val="00521EA9"/>
    <w:rsid w:val="00522860"/>
    <w:rsid w:val="00522B71"/>
    <w:rsid w:val="0052334C"/>
    <w:rsid w:val="0052364B"/>
    <w:rsid w:val="00524253"/>
    <w:rsid w:val="00524A84"/>
    <w:rsid w:val="00525325"/>
    <w:rsid w:val="0052595E"/>
    <w:rsid w:val="00525EC1"/>
    <w:rsid w:val="00526615"/>
    <w:rsid w:val="00526A5B"/>
    <w:rsid w:val="00527C19"/>
    <w:rsid w:val="00527C3A"/>
    <w:rsid w:val="005323C2"/>
    <w:rsid w:val="005323CC"/>
    <w:rsid w:val="00532835"/>
    <w:rsid w:val="0053317A"/>
    <w:rsid w:val="00534223"/>
    <w:rsid w:val="005345C6"/>
    <w:rsid w:val="0053715D"/>
    <w:rsid w:val="00540FE7"/>
    <w:rsid w:val="005414D8"/>
    <w:rsid w:val="00541FDA"/>
    <w:rsid w:val="00542AEB"/>
    <w:rsid w:val="00543F40"/>
    <w:rsid w:val="00544169"/>
    <w:rsid w:val="00544D4F"/>
    <w:rsid w:val="0054556A"/>
    <w:rsid w:val="00545DD8"/>
    <w:rsid w:val="005463EC"/>
    <w:rsid w:val="00546B7E"/>
    <w:rsid w:val="0054713E"/>
    <w:rsid w:val="00547C0F"/>
    <w:rsid w:val="00547D09"/>
    <w:rsid w:val="00550306"/>
    <w:rsid w:val="00550562"/>
    <w:rsid w:val="005519A2"/>
    <w:rsid w:val="00551ED0"/>
    <w:rsid w:val="005522B8"/>
    <w:rsid w:val="00553096"/>
    <w:rsid w:val="0055567A"/>
    <w:rsid w:val="00555A81"/>
    <w:rsid w:val="00556BCE"/>
    <w:rsid w:val="005611C6"/>
    <w:rsid w:val="005617C0"/>
    <w:rsid w:val="00561E2F"/>
    <w:rsid w:val="00562187"/>
    <w:rsid w:val="005622A1"/>
    <w:rsid w:val="00563F66"/>
    <w:rsid w:val="00564538"/>
    <w:rsid w:val="0056480E"/>
    <w:rsid w:val="00564BE1"/>
    <w:rsid w:val="005676BA"/>
    <w:rsid w:val="0056789A"/>
    <w:rsid w:val="005678B9"/>
    <w:rsid w:val="005703A7"/>
    <w:rsid w:val="00570869"/>
    <w:rsid w:val="00571942"/>
    <w:rsid w:val="00571E4C"/>
    <w:rsid w:val="00572153"/>
    <w:rsid w:val="0057455B"/>
    <w:rsid w:val="00575801"/>
    <w:rsid w:val="005759A9"/>
    <w:rsid w:val="00575D10"/>
    <w:rsid w:val="005760C5"/>
    <w:rsid w:val="00576D56"/>
    <w:rsid w:val="00577451"/>
    <w:rsid w:val="00577CA8"/>
    <w:rsid w:val="005806AC"/>
    <w:rsid w:val="00580954"/>
    <w:rsid w:val="00581498"/>
    <w:rsid w:val="0058264B"/>
    <w:rsid w:val="00582A7A"/>
    <w:rsid w:val="00582D2D"/>
    <w:rsid w:val="00582FE4"/>
    <w:rsid w:val="0058354B"/>
    <w:rsid w:val="00583722"/>
    <w:rsid w:val="00584394"/>
    <w:rsid w:val="00584AC7"/>
    <w:rsid w:val="005852D0"/>
    <w:rsid w:val="005855EB"/>
    <w:rsid w:val="005874F5"/>
    <w:rsid w:val="00587FE9"/>
    <w:rsid w:val="0059069C"/>
    <w:rsid w:val="00590916"/>
    <w:rsid w:val="005912E5"/>
    <w:rsid w:val="00591E35"/>
    <w:rsid w:val="0059345B"/>
    <w:rsid w:val="005935F6"/>
    <w:rsid w:val="00594A26"/>
    <w:rsid w:val="00595481"/>
    <w:rsid w:val="00595EC8"/>
    <w:rsid w:val="0059725C"/>
    <w:rsid w:val="0059731E"/>
    <w:rsid w:val="00597380"/>
    <w:rsid w:val="005975A7"/>
    <w:rsid w:val="005A06AD"/>
    <w:rsid w:val="005A1F87"/>
    <w:rsid w:val="005A3F34"/>
    <w:rsid w:val="005A4E38"/>
    <w:rsid w:val="005A59B3"/>
    <w:rsid w:val="005A6C7B"/>
    <w:rsid w:val="005A739E"/>
    <w:rsid w:val="005B007E"/>
    <w:rsid w:val="005B290A"/>
    <w:rsid w:val="005B2A71"/>
    <w:rsid w:val="005B2D0E"/>
    <w:rsid w:val="005B3C75"/>
    <w:rsid w:val="005B4861"/>
    <w:rsid w:val="005B4ADD"/>
    <w:rsid w:val="005B4BB8"/>
    <w:rsid w:val="005B4E9A"/>
    <w:rsid w:val="005C0490"/>
    <w:rsid w:val="005C16EE"/>
    <w:rsid w:val="005C1C91"/>
    <w:rsid w:val="005C20A6"/>
    <w:rsid w:val="005C2946"/>
    <w:rsid w:val="005C3153"/>
    <w:rsid w:val="005C367E"/>
    <w:rsid w:val="005C399E"/>
    <w:rsid w:val="005C3C10"/>
    <w:rsid w:val="005C3E35"/>
    <w:rsid w:val="005C467A"/>
    <w:rsid w:val="005C4B43"/>
    <w:rsid w:val="005C5DAE"/>
    <w:rsid w:val="005C60F7"/>
    <w:rsid w:val="005C66F6"/>
    <w:rsid w:val="005C69FC"/>
    <w:rsid w:val="005D1300"/>
    <w:rsid w:val="005D23BC"/>
    <w:rsid w:val="005D28BA"/>
    <w:rsid w:val="005D5873"/>
    <w:rsid w:val="005D678C"/>
    <w:rsid w:val="005D6FFD"/>
    <w:rsid w:val="005D70BE"/>
    <w:rsid w:val="005D7493"/>
    <w:rsid w:val="005D76C4"/>
    <w:rsid w:val="005D7DAE"/>
    <w:rsid w:val="005E082D"/>
    <w:rsid w:val="005E0E10"/>
    <w:rsid w:val="005E2AFD"/>
    <w:rsid w:val="005E432E"/>
    <w:rsid w:val="005E4C38"/>
    <w:rsid w:val="005E54C2"/>
    <w:rsid w:val="005E62C7"/>
    <w:rsid w:val="005E64A6"/>
    <w:rsid w:val="005E696C"/>
    <w:rsid w:val="005E6B21"/>
    <w:rsid w:val="005E7122"/>
    <w:rsid w:val="005E7361"/>
    <w:rsid w:val="005E7511"/>
    <w:rsid w:val="005E7DB0"/>
    <w:rsid w:val="005F0712"/>
    <w:rsid w:val="005F0DD1"/>
    <w:rsid w:val="005F210E"/>
    <w:rsid w:val="005F37CF"/>
    <w:rsid w:val="005F40BD"/>
    <w:rsid w:val="005F40DB"/>
    <w:rsid w:val="005F4495"/>
    <w:rsid w:val="005F4BE1"/>
    <w:rsid w:val="005F514C"/>
    <w:rsid w:val="005F5E47"/>
    <w:rsid w:val="005F5F65"/>
    <w:rsid w:val="005F67AD"/>
    <w:rsid w:val="005F6FE4"/>
    <w:rsid w:val="005F7E1D"/>
    <w:rsid w:val="006011C1"/>
    <w:rsid w:val="00601B28"/>
    <w:rsid w:val="00602E7E"/>
    <w:rsid w:val="006030EE"/>
    <w:rsid w:val="0060381D"/>
    <w:rsid w:val="00604AD8"/>
    <w:rsid w:val="00604FE6"/>
    <w:rsid w:val="00605DC9"/>
    <w:rsid w:val="00607B05"/>
    <w:rsid w:val="00607C28"/>
    <w:rsid w:val="00612419"/>
    <w:rsid w:val="00612A06"/>
    <w:rsid w:val="00612AE7"/>
    <w:rsid w:val="00612B63"/>
    <w:rsid w:val="00612EC2"/>
    <w:rsid w:val="0061440A"/>
    <w:rsid w:val="00614E2F"/>
    <w:rsid w:val="00615239"/>
    <w:rsid w:val="0061579B"/>
    <w:rsid w:val="00615F94"/>
    <w:rsid w:val="0061660C"/>
    <w:rsid w:val="00616C1F"/>
    <w:rsid w:val="00616FC4"/>
    <w:rsid w:val="00617237"/>
    <w:rsid w:val="006202DE"/>
    <w:rsid w:val="00620425"/>
    <w:rsid w:val="00620584"/>
    <w:rsid w:val="00620820"/>
    <w:rsid w:val="00621D3A"/>
    <w:rsid w:val="00621F91"/>
    <w:rsid w:val="00622A5C"/>
    <w:rsid w:val="00622A66"/>
    <w:rsid w:val="0062374B"/>
    <w:rsid w:val="006243A8"/>
    <w:rsid w:val="0062457E"/>
    <w:rsid w:val="00625481"/>
    <w:rsid w:val="00625D1A"/>
    <w:rsid w:val="0062624A"/>
    <w:rsid w:val="00626C06"/>
    <w:rsid w:val="00627226"/>
    <w:rsid w:val="0063055C"/>
    <w:rsid w:val="006306CB"/>
    <w:rsid w:val="00630782"/>
    <w:rsid w:val="00630E81"/>
    <w:rsid w:val="0063105D"/>
    <w:rsid w:val="006323E6"/>
    <w:rsid w:val="00632565"/>
    <w:rsid w:val="00633472"/>
    <w:rsid w:val="006339BC"/>
    <w:rsid w:val="00634035"/>
    <w:rsid w:val="0063404C"/>
    <w:rsid w:val="00634488"/>
    <w:rsid w:val="0063451B"/>
    <w:rsid w:val="0063563A"/>
    <w:rsid w:val="00635C21"/>
    <w:rsid w:val="00635C71"/>
    <w:rsid w:val="00635E7B"/>
    <w:rsid w:val="00635ED9"/>
    <w:rsid w:val="00636737"/>
    <w:rsid w:val="006413E2"/>
    <w:rsid w:val="006416CC"/>
    <w:rsid w:val="00642C1E"/>
    <w:rsid w:val="00642D92"/>
    <w:rsid w:val="00643011"/>
    <w:rsid w:val="006435FD"/>
    <w:rsid w:val="00643A45"/>
    <w:rsid w:val="00644DBD"/>
    <w:rsid w:val="006450DE"/>
    <w:rsid w:val="0064552B"/>
    <w:rsid w:val="006457AA"/>
    <w:rsid w:val="00645D5A"/>
    <w:rsid w:val="00646B6E"/>
    <w:rsid w:val="00646D31"/>
    <w:rsid w:val="00647EDD"/>
    <w:rsid w:val="00651477"/>
    <w:rsid w:val="006536DB"/>
    <w:rsid w:val="0065378B"/>
    <w:rsid w:val="00653A02"/>
    <w:rsid w:val="00654043"/>
    <w:rsid w:val="00654252"/>
    <w:rsid w:val="006547B8"/>
    <w:rsid w:val="00654CEF"/>
    <w:rsid w:val="00655032"/>
    <w:rsid w:val="006554B2"/>
    <w:rsid w:val="00655B0E"/>
    <w:rsid w:val="00655B56"/>
    <w:rsid w:val="00655D86"/>
    <w:rsid w:val="00656ECF"/>
    <w:rsid w:val="006573AE"/>
    <w:rsid w:val="006576B3"/>
    <w:rsid w:val="00657CA4"/>
    <w:rsid w:val="00660C13"/>
    <w:rsid w:val="00661680"/>
    <w:rsid w:val="006622B3"/>
    <w:rsid w:val="00662481"/>
    <w:rsid w:val="00663009"/>
    <w:rsid w:val="00664007"/>
    <w:rsid w:val="006656FA"/>
    <w:rsid w:val="0066572A"/>
    <w:rsid w:val="00665AF6"/>
    <w:rsid w:val="00665AFB"/>
    <w:rsid w:val="006666A8"/>
    <w:rsid w:val="00666949"/>
    <w:rsid w:val="00666B25"/>
    <w:rsid w:val="00667E5A"/>
    <w:rsid w:val="006718CF"/>
    <w:rsid w:val="00673146"/>
    <w:rsid w:val="00673FEA"/>
    <w:rsid w:val="00674BD5"/>
    <w:rsid w:val="0067519C"/>
    <w:rsid w:val="006769DB"/>
    <w:rsid w:val="00676C52"/>
    <w:rsid w:val="0067767A"/>
    <w:rsid w:val="006808B4"/>
    <w:rsid w:val="00681ED8"/>
    <w:rsid w:val="00681F5A"/>
    <w:rsid w:val="00682834"/>
    <w:rsid w:val="00682E4D"/>
    <w:rsid w:val="006832E2"/>
    <w:rsid w:val="00683428"/>
    <w:rsid w:val="006836F2"/>
    <w:rsid w:val="00683BE3"/>
    <w:rsid w:val="0068490D"/>
    <w:rsid w:val="00684963"/>
    <w:rsid w:val="00684C14"/>
    <w:rsid w:val="00684F4A"/>
    <w:rsid w:val="0068545B"/>
    <w:rsid w:val="006865D3"/>
    <w:rsid w:val="00686A81"/>
    <w:rsid w:val="0069039D"/>
    <w:rsid w:val="006909C9"/>
    <w:rsid w:val="00691E1F"/>
    <w:rsid w:val="0069260D"/>
    <w:rsid w:val="00693A99"/>
    <w:rsid w:val="00693B2D"/>
    <w:rsid w:val="006955CE"/>
    <w:rsid w:val="006965C1"/>
    <w:rsid w:val="00696F8E"/>
    <w:rsid w:val="0069715E"/>
    <w:rsid w:val="006971EC"/>
    <w:rsid w:val="00697565"/>
    <w:rsid w:val="006A078D"/>
    <w:rsid w:val="006A0D52"/>
    <w:rsid w:val="006A0FB4"/>
    <w:rsid w:val="006A3104"/>
    <w:rsid w:val="006A4359"/>
    <w:rsid w:val="006A50B8"/>
    <w:rsid w:val="006A7C26"/>
    <w:rsid w:val="006B01B2"/>
    <w:rsid w:val="006B020F"/>
    <w:rsid w:val="006B032A"/>
    <w:rsid w:val="006B0445"/>
    <w:rsid w:val="006B0A17"/>
    <w:rsid w:val="006B170A"/>
    <w:rsid w:val="006B178F"/>
    <w:rsid w:val="006B32C0"/>
    <w:rsid w:val="006B3841"/>
    <w:rsid w:val="006B39EE"/>
    <w:rsid w:val="006B3B0F"/>
    <w:rsid w:val="006B3BFE"/>
    <w:rsid w:val="006B41D2"/>
    <w:rsid w:val="006B66A4"/>
    <w:rsid w:val="006B68F2"/>
    <w:rsid w:val="006B6A47"/>
    <w:rsid w:val="006B6B60"/>
    <w:rsid w:val="006B7182"/>
    <w:rsid w:val="006B7EE0"/>
    <w:rsid w:val="006C0733"/>
    <w:rsid w:val="006C08B3"/>
    <w:rsid w:val="006C0D2B"/>
    <w:rsid w:val="006C3715"/>
    <w:rsid w:val="006C3DE9"/>
    <w:rsid w:val="006C4060"/>
    <w:rsid w:val="006C4FC7"/>
    <w:rsid w:val="006C4FE0"/>
    <w:rsid w:val="006C7130"/>
    <w:rsid w:val="006C7B30"/>
    <w:rsid w:val="006D1D9C"/>
    <w:rsid w:val="006D3639"/>
    <w:rsid w:val="006D43F0"/>
    <w:rsid w:val="006D5B05"/>
    <w:rsid w:val="006D69EC"/>
    <w:rsid w:val="006D75EF"/>
    <w:rsid w:val="006D7B6F"/>
    <w:rsid w:val="006E0236"/>
    <w:rsid w:val="006E06C6"/>
    <w:rsid w:val="006E1155"/>
    <w:rsid w:val="006E2010"/>
    <w:rsid w:val="006E2109"/>
    <w:rsid w:val="006E3D96"/>
    <w:rsid w:val="006E425E"/>
    <w:rsid w:val="006E4486"/>
    <w:rsid w:val="006E4500"/>
    <w:rsid w:val="006E46FE"/>
    <w:rsid w:val="006E5464"/>
    <w:rsid w:val="006E6017"/>
    <w:rsid w:val="006E612A"/>
    <w:rsid w:val="006E6D82"/>
    <w:rsid w:val="006F0137"/>
    <w:rsid w:val="006F0708"/>
    <w:rsid w:val="006F0F3E"/>
    <w:rsid w:val="006F1744"/>
    <w:rsid w:val="006F1E3B"/>
    <w:rsid w:val="006F38A7"/>
    <w:rsid w:val="006F3972"/>
    <w:rsid w:val="006F46AB"/>
    <w:rsid w:val="006F4D0A"/>
    <w:rsid w:val="006F4DAA"/>
    <w:rsid w:val="006F5168"/>
    <w:rsid w:val="006F51D9"/>
    <w:rsid w:val="006F54A1"/>
    <w:rsid w:val="006F714C"/>
    <w:rsid w:val="006F7BC7"/>
    <w:rsid w:val="00700621"/>
    <w:rsid w:val="007006D0"/>
    <w:rsid w:val="00700D35"/>
    <w:rsid w:val="007012F0"/>
    <w:rsid w:val="00701FE4"/>
    <w:rsid w:val="00702F62"/>
    <w:rsid w:val="007058AE"/>
    <w:rsid w:val="007062CC"/>
    <w:rsid w:val="00706C1B"/>
    <w:rsid w:val="00710627"/>
    <w:rsid w:val="00710AA6"/>
    <w:rsid w:val="0071185D"/>
    <w:rsid w:val="00712BA7"/>
    <w:rsid w:val="0071413B"/>
    <w:rsid w:val="00714BDB"/>
    <w:rsid w:val="0072172E"/>
    <w:rsid w:val="00721D76"/>
    <w:rsid w:val="00721DE0"/>
    <w:rsid w:val="0072443B"/>
    <w:rsid w:val="00725C7A"/>
    <w:rsid w:val="00725E2F"/>
    <w:rsid w:val="007260F0"/>
    <w:rsid w:val="00727419"/>
    <w:rsid w:val="00730A7F"/>
    <w:rsid w:val="00730D08"/>
    <w:rsid w:val="0073106B"/>
    <w:rsid w:val="00733227"/>
    <w:rsid w:val="00733C23"/>
    <w:rsid w:val="00736A8C"/>
    <w:rsid w:val="00736EFF"/>
    <w:rsid w:val="00737950"/>
    <w:rsid w:val="00737CAA"/>
    <w:rsid w:val="00737E1B"/>
    <w:rsid w:val="007400FF"/>
    <w:rsid w:val="0074015C"/>
    <w:rsid w:val="00740C90"/>
    <w:rsid w:val="00741B4F"/>
    <w:rsid w:val="007423FF"/>
    <w:rsid w:val="0074318B"/>
    <w:rsid w:val="00743F07"/>
    <w:rsid w:val="00744193"/>
    <w:rsid w:val="0074434E"/>
    <w:rsid w:val="00745C2E"/>
    <w:rsid w:val="00747129"/>
    <w:rsid w:val="00747225"/>
    <w:rsid w:val="00747453"/>
    <w:rsid w:val="00747C31"/>
    <w:rsid w:val="00747DBB"/>
    <w:rsid w:val="00747DCC"/>
    <w:rsid w:val="00750028"/>
    <w:rsid w:val="00750991"/>
    <w:rsid w:val="007512CB"/>
    <w:rsid w:val="00752428"/>
    <w:rsid w:val="007526F8"/>
    <w:rsid w:val="007529D6"/>
    <w:rsid w:val="00753C86"/>
    <w:rsid w:val="00753EC6"/>
    <w:rsid w:val="00754430"/>
    <w:rsid w:val="0075552E"/>
    <w:rsid w:val="00755541"/>
    <w:rsid w:val="007560CE"/>
    <w:rsid w:val="0075659D"/>
    <w:rsid w:val="0075707D"/>
    <w:rsid w:val="00757888"/>
    <w:rsid w:val="00757DE9"/>
    <w:rsid w:val="007603ED"/>
    <w:rsid w:val="00760912"/>
    <w:rsid w:val="00760E1F"/>
    <w:rsid w:val="00760F4A"/>
    <w:rsid w:val="0076153F"/>
    <w:rsid w:val="00761633"/>
    <w:rsid w:val="00761837"/>
    <w:rsid w:val="00761E4C"/>
    <w:rsid w:val="00764A5C"/>
    <w:rsid w:val="00765D4A"/>
    <w:rsid w:val="00767D0C"/>
    <w:rsid w:val="00770D4B"/>
    <w:rsid w:val="007713AD"/>
    <w:rsid w:val="00772CDD"/>
    <w:rsid w:val="00772FE7"/>
    <w:rsid w:val="0077334A"/>
    <w:rsid w:val="00773818"/>
    <w:rsid w:val="00774C4D"/>
    <w:rsid w:val="00774C7C"/>
    <w:rsid w:val="00775807"/>
    <w:rsid w:val="007759D7"/>
    <w:rsid w:val="00776746"/>
    <w:rsid w:val="00776A07"/>
    <w:rsid w:val="00777F57"/>
    <w:rsid w:val="00780C07"/>
    <w:rsid w:val="007823D8"/>
    <w:rsid w:val="007834CE"/>
    <w:rsid w:val="00783662"/>
    <w:rsid w:val="007837D1"/>
    <w:rsid w:val="00783EAB"/>
    <w:rsid w:val="0078448A"/>
    <w:rsid w:val="007848E0"/>
    <w:rsid w:val="00784AA6"/>
    <w:rsid w:val="00785DA6"/>
    <w:rsid w:val="00786592"/>
    <w:rsid w:val="00786BF8"/>
    <w:rsid w:val="00791800"/>
    <w:rsid w:val="00791D67"/>
    <w:rsid w:val="00792491"/>
    <w:rsid w:val="0079304C"/>
    <w:rsid w:val="0079317B"/>
    <w:rsid w:val="0079544F"/>
    <w:rsid w:val="00795456"/>
    <w:rsid w:val="007959CA"/>
    <w:rsid w:val="00795A6B"/>
    <w:rsid w:val="00795EED"/>
    <w:rsid w:val="00795F6C"/>
    <w:rsid w:val="00796209"/>
    <w:rsid w:val="00796BFD"/>
    <w:rsid w:val="00796F0E"/>
    <w:rsid w:val="007973AD"/>
    <w:rsid w:val="007A02BB"/>
    <w:rsid w:val="007A09FF"/>
    <w:rsid w:val="007A0A6A"/>
    <w:rsid w:val="007A0CBA"/>
    <w:rsid w:val="007A0DFB"/>
    <w:rsid w:val="007A1488"/>
    <w:rsid w:val="007A14C0"/>
    <w:rsid w:val="007A2F62"/>
    <w:rsid w:val="007A30B5"/>
    <w:rsid w:val="007A4E7B"/>
    <w:rsid w:val="007A60B0"/>
    <w:rsid w:val="007A63C9"/>
    <w:rsid w:val="007A77CA"/>
    <w:rsid w:val="007B0640"/>
    <w:rsid w:val="007B1063"/>
    <w:rsid w:val="007B14C2"/>
    <w:rsid w:val="007B1A0F"/>
    <w:rsid w:val="007B1BB3"/>
    <w:rsid w:val="007B1D4A"/>
    <w:rsid w:val="007B52A5"/>
    <w:rsid w:val="007B52F2"/>
    <w:rsid w:val="007B537A"/>
    <w:rsid w:val="007B5C5D"/>
    <w:rsid w:val="007B5D19"/>
    <w:rsid w:val="007B6579"/>
    <w:rsid w:val="007C04E8"/>
    <w:rsid w:val="007C115C"/>
    <w:rsid w:val="007C283A"/>
    <w:rsid w:val="007C29BD"/>
    <w:rsid w:val="007C52D8"/>
    <w:rsid w:val="007C5B9A"/>
    <w:rsid w:val="007C61C4"/>
    <w:rsid w:val="007C746F"/>
    <w:rsid w:val="007D0278"/>
    <w:rsid w:val="007D0440"/>
    <w:rsid w:val="007D0D11"/>
    <w:rsid w:val="007D11A9"/>
    <w:rsid w:val="007D1B0A"/>
    <w:rsid w:val="007D1BB2"/>
    <w:rsid w:val="007D1CCE"/>
    <w:rsid w:val="007D1D18"/>
    <w:rsid w:val="007D1DD2"/>
    <w:rsid w:val="007D2258"/>
    <w:rsid w:val="007D2C27"/>
    <w:rsid w:val="007D3273"/>
    <w:rsid w:val="007D523A"/>
    <w:rsid w:val="007D5333"/>
    <w:rsid w:val="007D5738"/>
    <w:rsid w:val="007D7620"/>
    <w:rsid w:val="007D7736"/>
    <w:rsid w:val="007E117B"/>
    <w:rsid w:val="007E16AD"/>
    <w:rsid w:val="007E1808"/>
    <w:rsid w:val="007E1DBA"/>
    <w:rsid w:val="007E1F52"/>
    <w:rsid w:val="007E2BB2"/>
    <w:rsid w:val="007E2E75"/>
    <w:rsid w:val="007E416D"/>
    <w:rsid w:val="007E430A"/>
    <w:rsid w:val="007E43E6"/>
    <w:rsid w:val="007E4D3D"/>
    <w:rsid w:val="007E5373"/>
    <w:rsid w:val="007E5AC5"/>
    <w:rsid w:val="007E62C8"/>
    <w:rsid w:val="007E6C5E"/>
    <w:rsid w:val="007E6FE0"/>
    <w:rsid w:val="007E78AB"/>
    <w:rsid w:val="007E7925"/>
    <w:rsid w:val="007E799F"/>
    <w:rsid w:val="007E7A83"/>
    <w:rsid w:val="007E7F07"/>
    <w:rsid w:val="007F0DC1"/>
    <w:rsid w:val="007F0E09"/>
    <w:rsid w:val="007F18F8"/>
    <w:rsid w:val="007F26E0"/>
    <w:rsid w:val="007F3413"/>
    <w:rsid w:val="007F47B8"/>
    <w:rsid w:val="007F5262"/>
    <w:rsid w:val="007F6163"/>
    <w:rsid w:val="007F65E0"/>
    <w:rsid w:val="007F6745"/>
    <w:rsid w:val="007F7C69"/>
    <w:rsid w:val="00800C92"/>
    <w:rsid w:val="00800F3E"/>
    <w:rsid w:val="00800F56"/>
    <w:rsid w:val="00802538"/>
    <w:rsid w:val="0080275C"/>
    <w:rsid w:val="00802974"/>
    <w:rsid w:val="00802F0B"/>
    <w:rsid w:val="00803350"/>
    <w:rsid w:val="008040CD"/>
    <w:rsid w:val="00804331"/>
    <w:rsid w:val="008044F0"/>
    <w:rsid w:val="00804D0F"/>
    <w:rsid w:val="00804F0C"/>
    <w:rsid w:val="00806553"/>
    <w:rsid w:val="00807891"/>
    <w:rsid w:val="0081008E"/>
    <w:rsid w:val="00810C64"/>
    <w:rsid w:val="0081102D"/>
    <w:rsid w:val="0081167D"/>
    <w:rsid w:val="008119DD"/>
    <w:rsid w:val="008125E0"/>
    <w:rsid w:val="008138D3"/>
    <w:rsid w:val="00814341"/>
    <w:rsid w:val="008146BF"/>
    <w:rsid w:val="00815179"/>
    <w:rsid w:val="008154BF"/>
    <w:rsid w:val="008157F8"/>
    <w:rsid w:val="00816010"/>
    <w:rsid w:val="0081626C"/>
    <w:rsid w:val="00816D80"/>
    <w:rsid w:val="00817019"/>
    <w:rsid w:val="008172DF"/>
    <w:rsid w:val="00820009"/>
    <w:rsid w:val="00821DC3"/>
    <w:rsid w:val="00822538"/>
    <w:rsid w:val="00823114"/>
    <w:rsid w:val="0082365D"/>
    <w:rsid w:val="00823D63"/>
    <w:rsid w:val="008250A7"/>
    <w:rsid w:val="008252F7"/>
    <w:rsid w:val="00825906"/>
    <w:rsid w:val="00827514"/>
    <w:rsid w:val="00827828"/>
    <w:rsid w:val="008278AE"/>
    <w:rsid w:val="00830104"/>
    <w:rsid w:val="00830146"/>
    <w:rsid w:val="008304B1"/>
    <w:rsid w:val="00830926"/>
    <w:rsid w:val="00831D1E"/>
    <w:rsid w:val="00832613"/>
    <w:rsid w:val="00832D28"/>
    <w:rsid w:val="008332AB"/>
    <w:rsid w:val="0083362B"/>
    <w:rsid w:val="00833785"/>
    <w:rsid w:val="00833924"/>
    <w:rsid w:val="00834A6D"/>
    <w:rsid w:val="008353BE"/>
    <w:rsid w:val="0083589B"/>
    <w:rsid w:val="00835E17"/>
    <w:rsid w:val="00835F06"/>
    <w:rsid w:val="00836C01"/>
    <w:rsid w:val="00841492"/>
    <w:rsid w:val="008428CC"/>
    <w:rsid w:val="00842B9F"/>
    <w:rsid w:val="00842E25"/>
    <w:rsid w:val="00842EFB"/>
    <w:rsid w:val="0084334C"/>
    <w:rsid w:val="0084556A"/>
    <w:rsid w:val="00845A61"/>
    <w:rsid w:val="00846E18"/>
    <w:rsid w:val="00846FA6"/>
    <w:rsid w:val="00847F0C"/>
    <w:rsid w:val="00850BDB"/>
    <w:rsid w:val="0085183A"/>
    <w:rsid w:val="00852764"/>
    <w:rsid w:val="00852C97"/>
    <w:rsid w:val="00852D68"/>
    <w:rsid w:val="00853380"/>
    <w:rsid w:val="00853F19"/>
    <w:rsid w:val="008547AD"/>
    <w:rsid w:val="008549FD"/>
    <w:rsid w:val="00854E56"/>
    <w:rsid w:val="008556AE"/>
    <w:rsid w:val="00855739"/>
    <w:rsid w:val="008564BC"/>
    <w:rsid w:val="00856629"/>
    <w:rsid w:val="00857A6A"/>
    <w:rsid w:val="00857D3C"/>
    <w:rsid w:val="0086009F"/>
    <w:rsid w:val="0086078C"/>
    <w:rsid w:val="008607AE"/>
    <w:rsid w:val="00860F6D"/>
    <w:rsid w:val="00860F81"/>
    <w:rsid w:val="008616BD"/>
    <w:rsid w:val="008627E2"/>
    <w:rsid w:val="0086325D"/>
    <w:rsid w:val="00863A35"/>
    <w:rsid w:val="00863E49"/>
    <w:rsid w:val="00864766"/>
    <w:rsid w:val="00864F61"/>
    <w:rsid w:val="00864F83"/>
    <w:rsid w:val="00865E26"/>
    <w:rsid w:val="008663FF"/>
    <w:rsid w:val="0086682B"/>
    <w:rsid w:val="008671E9"/>
    <w:rsid w:val="008673F5"/>
    <w:rsid w:val="00870136"/>
    <w:rsid w:val="00870A89"/>
    <w:rsid w:val="00870AA8"/>
    <w:rsid w:val="008715BC"/>
    <w:rsid w:val="008738CD"/>
    <w:rsid w:val="00874575"/>
    <w:rsid w:val="00875CFD"/>
    <w:rsid w:val="00880AA3"/>
    <w:rsid w:val="008810BC"/>
    <w:rsid w:val="008813D6"/>
    <w:rsid w:val="0088190D"/>
    <w:rsid w:val="0088332D"/>
    <w:rsid w:val="00883367"/>
    <w:rsid w:val="00883AF1"/>
    <w:rsid w:val="00883B5B"/>
    <w:rsid w:val="00884A48"/>
    <w:rsid w:val="0088576A"/>
    <w:rsid w:val="0088585E"/>
    <w:rsid w:val="00885F49"/>
    <w:rsid w:val="008867D9"/>
    <w:rsid w:val="00886F15"/>
    <w:rsid w:val="00890840"/>
    <w:rsid w:val="008909D5"/>
    <w:rsid w:val="00890B85"/>
    <w:rsid w:val="00890C70"/>
    <w:rsid w:val="00890E47"/>
    <w:rsid w:val="00890FE7"/>
    <w:rsid w:val="008913DD"/>
    <w:rsid w:val="0089179F"/>
    <w:rsid w:val="00891FDC"/>
    <w:rsid w:val="00893CC4"/>
    <w:rsid w:val="008940A1"/>
    <w:rsid w:val="00894175"/>
    <w:rsid w:val="008944E1"/>
    <w:rsid w:val="00894EB2"/>
    <w:rsid w:val="00895E10"/>
    <w:rsid w:val="00896593"/>
    <w:rsid w:val="00896784"/>
    <w:rsid w:val="00896B38"/>
    <w:rsid w:val="00897F42"/>
    <w:rsid w:val="008A05B9"/>
    <w:rsid w:val="008A07FF"/>
    <w:rsid w:val="008A1230"/>
    <w:rsid w:val="008A14CE"/>
    <w:rsid w:val="008A18D0"/>
    <w:rsid w:val="008A4E39"/>
    <w:rsid w:val="008A5A94"/>
    <w:rsid w:val="008A6762"/>
    <w:rsid w:val="008A7167"/>
    <w:rsid w:val="008B1496"/>
    <w:rsid w:val="008B1B8E"/>
    <w:rsid w:val="008B294E"/>
    <w:rsid w:val="008B2C93"/>
    <w:rsid w:val="008B30A7"/>
    <w:rsid w:val="008B3A00"/>
    <w:rsid w:val="008B528A"/>
    <w:rsid w:val="008B5B04"/>
    <w:rsid w:val="008B71BD"/>
    <w:rsid w:val="008B77FC"/>
    <w:rsid w:val="008C0139"/>
    <w:rsid w:val="008C07EB"/>
    <w:rsid w:val="008C0D34"/>
    <w:rsid w:val="008C107E"/>
    <w:rsid w:val="008C2576"/>
    <w:rsid w:val="008C2738"/>
    <w:rsid w:val="008C357C"/>
    <w:rsid w:val="008C39EC"/>
    <w:rsid w:val="008C59CC"/>
    <w:rsid w:val="008C5B8F"/>
    <w:rsid w:val="008C7048"/>
    <w:rsid w:val="008C7F39"/>
    <w:rsid w:val="008D1DD0"/>
    <w:rsid w:val="008D3445"/>
    <w:rsid w:val="008D504F"/>
    <w:rsid w:val="008D759B"/>
    <w:rsid w:val="008E06E8"/>
    <w:rsid w:val="008E2247"/>
    <w:rsid w:val="008E25F3"/>
    <w:rsid w:val="008E26B1"/>
    <w:rsid w:val="008E2DD4"/>
    <w:rsid w:val="008E403F"/>
    <w:rsid w:val="008E4109"/>
    <w:rsid w:val="008E4291"/>
    <w:rsid w:val="008E4781"/>
    <w:rsid w:val="008E50AA"/>
    <w:rsid w:val="008E566E"/>
    <w:rsid w:val="008E584C"/>
    <w:rsid w:val="008E644F"/>
    <w:rsid w:val="008E6615"/>
    <w:rsid w:val="008E7083"/>
    <w:rsid w:val="008F07F1"/>
    <w:rsid w:val="008F162F"/>
    <w:rsid w:val="008F19DC"/>
    <w:rsid w:val="008F414F"/>
    <w:rsid w:val="008F462F"/>
    <w:rsid w:val="008F5B62"/>
    <w:rsid w:val="008F5C9D"/>
    <w:rsid w:val="008F73C8"/>
    <w:rsid w:val="00900B80"/>
    <w:rsid w:val="00900D22"/>
    <w:rsid w:val="00900E86"/>
    <w:rsid w:val="00901319"/>
    <w:rsid w:val="009028A0"/>
    <w:rsid w:val="00903090"/>
    <w:rsid w:val="00903911"/>
    <w:rsid w:val="00903AF6"/>
    <w:rsid w:val="00905BF6"/>
    <w:rsid w:val="00905CDB"/>
    <w:rsid w:val="009063B8"/>
    <w:rsid w:val="009067E9"/>
    <w:rsid w:val="00906862"/>
    <w:rsid w:val="00906F6B"/>
    <w:rsid w:val="00911645"/>
    <w:rsid w:val="00911FB2"/>
    <w:rsid w:val="009133FB"/>
    <w:rsid w:val="00914404"/>
    <w:rsid w:val="009151F6"/>
    <w:rsid w:val="00917136"/>
    <w:rsid w:val="00920F56"/>
    <w:rsid w:val="00921D0C"/>
    <w:rsid w:val="0092221E"/>
    <w:rsid w:val="00923DEA"/>
    <w:rsid w:val="009242BD"/>
    <w:rsid w:val="00925061"/>
    <w:rsid w:val="009259C5"/>
    <w:rsid w:val="00925D03"/>
    <w:rsid w:val="00926835"/>
    <w:rsid w:val="009268B2"/>
    <w:rsid w:val="00926AAA"/>
    <w:rsid w:val="00927485"/>
    <w:rsid w:val="00927AB7"/>
    <w:rsid w:val="00930E46"/>
    <w:rsid w:val="0093133F"/>
    <w:rsid w:val="0093164B"/>
    <w:rsid w:val="009337B9"/>
    <w:rsid w:val="009338B1"/>
    <w:rsid w:val="00934A20"/>
    <w:rsid w:val="00937125"/>
    <w:rsid w:val="00940C10"/>
    <w:rsid w:val="00941BE7"/>
    <w:rsid w:val="00942017"/>
    <w:rsid w:val="009423C6"/>
    <w:rsid w:val="00942523"/>
    <w:rsid w:val="00942A8D"/>
    <w:rsid w:val="00943406"/>
    <w:rsid w:val="00943F70"/>
    <w:rsid w:val="009454F3"/>
    <w:rsid w:val="00946F2F"/>
    <w:rsid w:val="00947935"/>
    <w:rsid w:val="00947C83"/>
    <w:rsid w:val="00947E4A"/>
    <w:rsid w:val="00951166"/>
    <w:rsid w:val="0095190A"/>
    <w:rsid w:val="00951BB5"/>
    <w:rsid w:val="00951D8F"/>
    <w:rsid w:val="0095227E"/>
    <w:rsid w:val="009529E3"/>
    <w:rsid w:val="00952F35"/>
    <w:rsid w:val="00954D33"/>
    <w:rsid w:val="00956BFA"/>
    <w:rsid w:val="00957DFF"/>
    <w:rsid w:val="00960213"/>
    <w:rsid w:val="009610F0"/>
    <w:rsid w:val="00961977"/>
    <w:rsid w:val="00961D64"/>
    <w:rsid w:val="00962401"/>
    <w:rsid w:val="00962590"/>
    <w:rsid w:val="0096268E"/>
    <w:rsid w:val="00962B1F"/>
    <w:rsid w:val="00963875"/>
    <w:rsid w:val="00963C50"/>
    <w:rsid w:val="00963CA1"/>
    <w:rsid w:val="0096445C"/>
    <w:rsid w:val="00964858"/>
    <w:rsid w:val="009648B3"/>
    <w:rsid w:val="00964A8D"/>
    <w:rsid w:val="00965D4C"/>
    <w:rsid w:val="00965D86"/>
    <w:rsid w:val="0096625F"/>
    <w:rsid w:val="00966D84"/>
    <w:rsid w:val="009678E4"/>
    <w:rsid w:val="009679D0"/>
    <w:rsid w:val="009679E7"/>
    <w:rsid w:val="009704DD"/>
    <w:rsid w:val="00970FAE"/>
    <w:rsid w:val="009717FF"/>
    <w:rsid w:val="00971981"/>
    <w:rsid w:val="009756A4"/>
    <w:rsid w:val="009758B2"/>
    <w:rsid w:val="009759C5"/>
    <w:rsid w:val="00975A53"/>
    <w:rsid w:val="00976904"/>
    <w:rsid w:val="00976AE0"/>
    <w:rsid w:val="0097707B"/>
    <w:rsid w:val="009770A9"/>
    <w:rsid w:val="009771E2"/>
    <w:rsid w:val="00977639"/>
    <w:rsid w:val="0097794F"/>
    <w:rsid w:val="00977E21"/>
    <w:rsid w:val="00980C1E"/>
    <w:rsid w:val="00981BD1"/>
    <w:rsid w:val="00981DB3"/>
    <w:rsid w:val="0098306C"/>
    <w:rsid w:val="0098525B"/>
    <w:rsid w:val="00985562"/>
    <w:rsid w:val="00985CC9"/>
    <w:rsid w:val="00985D42"/>
    <w:rsid w:val="00986133"/>
    <w:rsid w:val="00987C77"/>
    <w:rsid w:val="00987C7D"/>
    <w:rsid w:val="0099010D"/>
    <w:rsid w:val="0099025B"/>
    <w:rsid w:val="009905C1"/>
    <w:rsid w:val="0099155A"/>
    <w:rsid w:val="0099168E"/>
    <w:rsid w:val="0099254D"/>
    <w:rsid w:val="00992E1A"/>
    <w:rsid w:val="0099394C"/>
    <w:rsid w:val="00994EE7"/>
    <w:rsid w:val="00995CC3"/>
    <w:rsid w:val="00996EE5"/>
    <w:rsid w:val="00997046"/>
    <w:rsid w:val="009973E8"/>
    <w:rsid w:val="00997BD1"/>
    <w:rsid w:val="009A0184"/>
    <w:rsid w:val="009A09F0"/>
    <w:rsid w:val="009A0BD4"/>
    <w:rsid w:val="009A14F8"/>
    <w:rsid w:val="009A1A05"/>
    <w:rsid w:val="009A1AF0"/>
    <w:rsid w:val="009A3CAF"/>
    <w:rsid w:val="009A4204"/>
    <w:rsid w:val="009A5672"/>
    <w:rsid w:val="009A5E0C"/>
    <w:rsid w:val="009B0278"/>
    <w:rsid w:val="009B0964"/>
    <w:rsid w:val="009B0CE6"/>
    <w:rsid w:val="009B200C"/>
    <w:rsid w:val="009B3CF2"/>
    <w:rsid w:val="009B48AE"/>
    <w:rsid w:val="009B52BD"/>
    <w:rsid w:val="009B5593"/>
    <w:rsid w:val="009B5952"/>
    <w:rsid w:val="009B5F03"/>
    <w:rsid w:val="009B6449"/>
    <w:rsid w:val="009C0754"/>
    <w:rsid w:val="009C09C6"/>
    <w:rsid w:val="009C1670"/>
    <w:rsid w:val="009C36CF"/>
    <w:rsid w:val="009C3F49"/>
    <w:rsid w:val="009C4A11"/>
    <w:rsid w:val="009C4DEC"/>
    <w:rsid w:val="009C600C"/>
    <w:rsid w:val="009C659A"/>
    <w:rsid w:val="009C727A"/>
    <w:rsid w:val="009D008C"/>
    <w:rsid w:val="009D0233"/>
    <w:rsid w:val="009D0759"/>
    <w:rsid w:val="009D077A"/>
    <w:rsid w:val="009D1533"/>
    <w:rsid w:val="009D2710"/>
    <w:rsid w:val="009D2FCD"/>
    <w:rsid w:val="009D4137"/>
    <w:rsid w:val="009D482B"/>
    <w:rsid w:val="009E0FFE"/>
    <w:rsid w:val="009E14DC"/>
    <w:rsid w:val="009E2495"/>
    <w:rsid w:val="009E2BDD"/>
    <w:rsid w:val="009E3F04"/>
    <w:rsid w:val="009E51A4"/>
    <w:rsid w:val="009E5CB1"/>
    <w:rsid w:val="009E5F93"/>
    <w:rsid w:val="009E6C0D"/>
    <w:rsid w:val="009E6E11"/>
    <w:rsid w:val="009E6EB2"/>
    <w:rsid w:val="009F0ECB"/>
    <w:rsid w:val="009F117A"/>
    <w:rsid w:val="009F21C7"/>
    <w:rsid w:val="009F29E9"/>
    <w:rsid w:val="009F2A4B"/>
    <w:rsid w:val="009F3825"/>
    <w:rsid w:val="009F3E66"/>
    <w:rsid w:val="009F44B9"/>
    <w:rsid w:val="009F4A18"/>
    <w:rsid w:val="009F50F7"/>
    <w:rsid w:val="009F683F"/>
    <w:rsid w:val="009F780C"/>
    <w:rsid w:val="009F7956"/>
    <w:rsid w:val="00A015A5"/>
    <w:rsid w:val="00A016B1"/>
    <w:rsid w:val="00A01DB0"/>
    <w:rsid w:val="00A022A8"/>
    <w:rsid w:val="00A02850"/>
    <w:rsid w:val="00A029D9"/>
    <w:rsid w:val="00A02E6F"/>
    <w:rsid w:val="00A02F6D"/>
    <w:rsid w:val="00A06194"/>
    <w:rsid w:val="00A076DB"/>
    <w:rsid w:val="00A07C36"/>
    <w:rsid w:val="00A10922"/>
    <w:rsid w:val="00A10F7A"/>
    <w:rsid w:val="00A1136F"/>
    <w:rsid w:val="00A122C4"/>
    <w:rsid w:val="00A1284D"/>
    <w:rsid w:val="00A12B97"/>
    <w:rsid w:val="00A1373F"/>
    <w:rsid w:val="00A14154"/>
    <w:rsid w:val="00A1473E"/>
    <w:rsid w:val="00A1493B"/>
    <w:rsid w:val="00A14BD3"/>
    <w:rsid w:val="00A15672"/>
    <w:rsid w:val="00A16ECE"/>
    <w:rsid w:val="00A17191"/>
    <w:rsid w:val="00A171A7"/>
    <w:rsid w:val="00A1795B"/>
    <w:rsid w:val="00A17FCA"/>
    <w:rsid w:val="00A21DBA"/>
    <w:rsid w:val="00A21E8A"/>
    <w:rsid w:val="00A21EDC"/>
    <w:rsid w:val="00A22F97"/>
    <w:rsid w:val="00A2409C"/>
    <w:rsid w:val="00A25567"/>
    <w:rsid w:val="00A25BEB"/>
    <w:rsid w:val="00A25D93"/>
    <w:rsid w:val="00A25DFE"/>
    <w:rsid w:val="00A2626F"/>
    <w:rsid w:val="00A269C8"/>
    <w:rsid w:val="00A27261"/>
    <w:rsid w:val="00A27641"/>
    <w:rsid w:val="00A27DDC"/>
    <w:rsid w:val="00A30268"/>
    <w:rsid w:val="00A30CEB"/>
    <w:rsid w:val="00A30F58"/>
    <w:rsid w:val="00A32158"/>
    <w:rsid w:val="00A325DF"/>
    <w:rsid w:val="00A345C1"/>
    <w:rsid w:val="00A3495A"/>
    <w:rsid w:val="00A3580A"/>
    <w:rsid w:val="00A359E0"/>
    <w:rsid w:val="00A36DD9"/>
    <w:rsid w:val="00A36DE3"/>
    <w:rsid w:val="00A4183B"/>
    <w:rsid w:val="00A41944"/>
    <w:rsid w:val="00A42BF7"/>
    <w:rsid w:val="00A431EF"/>
    <w:rsid w:val="00A43390"/>
    <w:rsid w:val="00A44215"/>
    <w:rsid w:val="00A45CBB"/>
    <w:rsid w:val="00A4607C"/>
    <w:rsid w:val="00A4620B"/>
    <w:rsid w:val="00A474E1"/>
    <w:rsid w:val="00A47822"/>
    <w:rsid w:val="00A51647"/>
    <w:rsid w:val="00A52DC1"/>
    <w:rsid w:val="00A53775"/>
    <w:rsid w:val="00A54252"/>
    <w:rsid w:val="00A54F80"/>
    <w:rsid w:val="00A5579C"/>
    <w:rsid w:val="00A55DE2"/>
    <w:rsid w:val="00A56ECE"/>
    <w:rsid w:val="00A6050C"/>
    <w:rsid w:val="00A606AD"/>
    <w:rsid w:val="00A60BB7"/>
    <w:rsid w:val="00A621CB"/>
    <w:rsid w:val="00A62954"/>
    <w:rsid w:val="00A637CB"/>
    <w:rsid w:val="00A644A2"/>
    <w:rsid w:val="00A645A1"/>
    <w:rsid w:val="00A65298"/>
    <w:rsid w:val="00A6679D"/>
    <w:rsid w:val="00A67148"/>
    <w:rsid w:val="00A701EE"/>
    <w:rsid w:val="00A718BC"/>
    <w:rsid w:val="00A71D1F"/>
    <w:rsid w:val="00A72566"/>
    <w:rsid w:val="00A72A00"/>
    <w:rsid w:val="00A749CF"/>
    <w:rsid w:val="00A76F0F"/>
    <w:rsid w:val="00A770E7"/>
    <w:rsid w:val="00A80340"/>
    <w:rsid w:val="00A810B1"/>
    <w:rsid w:val="00A81143"/>
    <w:rsid w:val="00A849E1"/>
    <w:rsid w:val="00A84A70"/>
    <w:rsid w:val="00A84C36"/>
    <w:rsid w:val="00A85115"/>
    <w:rsid w:val="00A85F39"/>
    <w:rsid w:val="00A873EA"/>
    <w:rsid w:val="00A8755C"/>
    <w:rsid w:val="00A90740"/>
    <w:rsid w:val="00A90DA7"/>
    <w:rsid w:val="00A91335"/>
    <w:rsid w:val="00A91A41"/>
    <w:rsid w:val="00A91D54"/>
    <w:rsid w:val="00A92173"/>
    <w:rsid w:val="00A926A5"/>
    <w:rsid w:val="00A92EA8"/>
    <w:rsid w:val="00A94479"/>
    <w:rsid w:val="00A944E8"/>
    <w:rsid w:val="00A95200"/>
    <w:rsid w:val="00A9522F"/>
    <w:rsid w:val="00A95546"/>
    <w:rsid w:val="00A96573"/>
    <w:rsid w:val="00A97A12"/>
    <w:rsid w:val="00AA044C"/>
    <w:rsid w:val="00AA082D"/>
    <w:rsid w:val="00AA08CA"/>
    <w:rsid w:val="00AA15A3"/>
    <w:rsid w:val="00AA1A9B"/>
    <w:rsid w:val="00AA2145"/>
    <w:rsid w:val="00AA248B"/>
    <w:rsid w:val="00AA3B4F"/>
    <w:rsid w:val="00AA4B2A"/>
    <w:rsid w:val="00AA4E8C"/>
    <w:rsid w:val="00AA526F"/>
    <w:rsid w:val="00AA5718"/>
    <w:rsid w:val="00AA5CC5"/>
    <w:rsid w:val="00AA78DA"/>
    <w:rsid w:val="00AA79EF"/>
    <w:rsid w:val="00AA7C85"/>
    <w:rsid w:val="00AB0452"/>
    <w:rsid w:val="00AB0504"/>
    <w:rsid w:val="00AB25EA"/>
    <w:rsid w:val="00AB2985"/>
    <w:rsid w:val="00AB4647"/>
    <w:rsid w:val="00AB500D"/>
    <w:rsid w:val="00AB5054"/>
    <w:rsid w:val="00AB505D"/>
    <w:rsid w:val="00AB5A0C"/>
    <w:rsid w:val="00AB68E7"/>
    <w:rsid w:val="00AB7383"/>
    <w:rsid w:val="00AB7718"/>
    <w:rsid w:val="00AB7A54"/>
    <w:rsid w:val="00AC0295"/>
    <w:rsid w:val="00AC0667"/>
    <w:rsid w:val="00AC1F6A"/>
    <w:rsid w:val="00AC309E"/>
    <w:rsid w:val="00AC3709"/>
    <w:rsid w:val="00AC37A8"/>
    <w:rsid w:val="00AC52A4"/>
    <w:rsid w:val="00AC5569"/>
    <w:rsid w:val="00AC5686"/>
    <w:rsid w:val="00AC5879"/>
    <w:rsid w:val="00AC5ACF"/>
    <w:rsid w:val="00AC606E"/>
    <w:rsid w:val="00AC6246"/>
    <w:rsid w:val="00AC628A"/>
    <w:rsid w:val="00AC7441"/>
    <w:rsid w:val="00AD0DE6"/>
    <w:rsid w:val="00AD129D"/>
    <w:rsid w:val="00AD136E"/>
    <w:rsid w:val="00AD165C"/>
    <w:rsid w:val="00AD269F"/>
    <w:rsid w:val="00AD3B64"/>
    <w:rsid w:val="00AD51AB"/>
    <w:rsid w:val="00AD5E71"/>
    <w:rsid w:val="00AD6510"/>
    <w:rsid w:val="00AD7790"/>
    <w:rsid w:val="00AE04EB"/>
    <w:rsid w:val="00AE0A3E"/>
    <w:rsid w:val="00AE1479"/>
    <w:rsid w:val="00AE147C"/>
    <w:rsid w:val="00AE3370"/>
    <w:rsid w:val="00AE39ED"/>
    <w:rsid w:val="00AE52E9"/>
    <w:rsid w:val="00AE5433"/>
    <w:rsid w:val="00AE56AB"/>
    <w:rsid w:val="00AE668B"/>
    <w:rsid w:val="00AE726D"/>
    <w:rsid w:val="00AF1CB4"/>
    <w:rsid w:val="00AF2273"/>
    <w:rsid w:val="00AF3F86"/>
    <w:rsid w:val="00AF5738"/>
    <w:rsid w:val="00AF626B"/>
    <w:rsid w:val="00AF7139"/>
    <w:rsid w:val="00AF7379"/>
    <w:rsid w:val="00B00A07"/>
    <w:rsid w:val="00B0191B"/>
    <w:rsid w:val="00B01D40"/>
    <w:rsid w:val="00B0235E"/>
    <w:rsid w:val="00B02B9C"/>
    <w:rsid w:val="00B02E3B"/>
    <w:rsid w:val="00B0300A"/>
    <w:rsid w:val="00B0354B"/>
    <w:rsid w:val="00B04302"/>
    <w:rsid w:val="00B048C2"/>
    <w:rsid w:val="00B05111"/>
    <w:rsid w:val="00B05A83"/>
    <w:rsid w:val="00B06419"/>
    <w:rsid w:val="00B11018"/>
    <w:rsid w:val="00B11816"/>
    <w:rsid w:val="00B11C74"/>
    <w:rsid w:val="00B128ED"/>
    <w:rsid w:val="00B12FD7"/>
    <w:rsid w:val="00B13324"/>
    <w:rsid w:val="00B13375"/>
    <w:rsid w:val="00B15099"/>
    <w:rsid w:val="00B1588C"/>
    <w:rsid w:val="00B16A6D"/>
    <w:rsid w:val="00B170FE"/>
    <w:rsid w:val="00B175E7"/>
    <w:rsid w:val="00B21577"/>
    <w:rsid w:val="00B22BFB"/>
    <w:rsid w:val="00B23015"/>
    <w:rsid w:val="00B250C6"/>
    <w:rsid w:val="00B25882"/>
    <w:rsid w:val="00B25DDC"/>
    <w:rsid w:val="00B25E4F"/>
    <w:rsid w:val="00B2782F"/>
    <w:rsid w:val="00B278C4"/>
    <w:rsid w:val="00B27E1A"/>
    <w:rsid w:val="00B304C7"/>
    <w:rsid w:val="00B32DBD"/>
    <w:rsid w:val="00B3371B"/>
    <w:rsid w:val="00B339D9"/>
    <w:rsid w:val="00B33BB6"/>
    <w:rsid w:val="00B34311"/>
    <w:rsid w:val="00B352A5"/>
    <w:rsid w:val="00B36C2B"/>
    <w:rsid w:val="00B377E0"/>
    <w:rsid w:val="00B37A55"/>
    <w:rsid w:val="00B37F3E"/>
    <w:rsid w:val="00B400DD"/>
    <w:rsid w:val="00B404FE"/>
    <w:rsid w:val="00B40AE4"/>
    <w:rsid w:val="00B40D60"/>
    <w:rsid w:val="00B41318"/>
    <w:rsid w:val="00B427C6"/>
    <w:rsid w:val="00B43873"/>
    <w:rsid w:val="00B44391"/>
    <w:rsid w:val="00B451A4"/>
    <w:rsid w:val="00B4527A"/>
    <w:rsid w:val="00B45A32"/>
    <w:rsid w:val="00B464E3"/>
    <w:rsid w:val="00B472AF"/>
    <w:rsid w:val="00B47DFC"/>
    <w:rsid w:val="00B519BC"/>
    <w:rsid w:val="00B51D39"/>
    <w:rsid w:val="00B52ED9"/>
    <w:rsid w:val="00B533D6"/>
    <w:rsid w:val="00B53539"/>
    <w:rsid w:val="00B55D4A"/>
    <w:rsid w:val="00B55F10"/>
    <w:rsid w:val="00B5609E"/>
    <w:rsid w:val="00B5710A"/>
    <w:rsid w:val="00B57350"/>
    <w:rsid w:val="00B604E8"/>
    <w:rsid w:val="00B60A35"/>
    <w:rsid w:val="00B6126A"/>
    <w:rsid w:val="00B61BB3"/>
    <w:rsid w:val="00B6239E"/>
    <w:rsid w:val="00B63774"/>
    <w:rsid w:val="00B63C6D"/>
    <w:rsid w:val="00B64E53"/>
    <w:rsid w:val="00B6593F"/>
    <w:rsid w:val="00B65A95"/>
    <w:rsid w:val="00B65EFD"/>
    <w:rsid w:val="00B66070"/>
    <w:rsid w:val="00B66C92"/>
    <w:rsid w:val="00B66CFF"/>
    <w:rsid w:val="00B66E20"/>
    <w:rsid w:val="00B702D9"/>
    <w:rsid w:val="00B716F0"/>
    <w:rsid w:val="00B71776"/>
    <w:rsid w:val="00B72A4B"/>
    <w:rsid w:val="00B7388C"/>
    <w:rsid w:val="00B744AB"/>
    <w:rsid w:val="00B762EB"/>
    <w:rsid w:val="00B76640"/>
    <w:rsid w:val="00B76B3D"/>
    <w:rsid w:val="00B7710B"/>
    <w:rsid w:val="00B77F91"/>
    <w:rsid w:val="00B8050B"/>
    <w:rsid w:val="00B80D2D"/>
    <w:rsid w:val="00B80F2D"/>
    <w:rsid w:val="00B812D6"/>
    <w:rsid w:val="00B82026"/>
    <w:rsid w:val="00B835C5"/>
    <w:rsid w:val="00B839BB"/>
    <w:rsid w:val="00B850C6"/>
    <w:rsid w:val="00B853A9"/>
    <w:rsid w:val="00B85477"/>
    <w:rsid w:val="00B85FBC"/>
    <w:rsid w:val="00B86DCD"/>
    <w:rsid w:val="00B878E4"/>
    <w:rsid w:val="00B90963"/>
    <w:rsid w:val="00B9105B"/>
    <w:rsid w:val="00B911EB"/>
    <w:rsid w:val="00B92B9B"/>
    <w:rsid w:val="00B934FB"/>
    <w:rsid w:val="00B93ECE"/>
    <w:rsid w:val="00B96907"/>
    <w:rsid w:val="00B972EF"/>
    <w:rsid w:val="00B977B9"/>
    <w:rsid w:val="00B97881"/>
    <w:rsid w:val="00BA0024"/>
    <w:rsid w:val="00BA09C6"/>
    <w:rsid w:val="00BA4253"/>
    <w:rsid w:val="00BA4CAD"/>
    <w:rsid w:val="00BA589B"/>
    <w:rsid w:val="00BA635D"/>
    <w:rsid w:val="00BA7330"/>
    <w:rsid w:val="00BA7652"/>
    <w:rsid w:val="00BA7838"/>
    <w:rsid w:val="00BB006B"/>
    <w:rsid w:val="00BB0978"/>
    <w:rsid w:val="00BB0EAA"/>
    <w:rsid w:val="00BB2C44"/>
    <w:rsid w:val="00BB3146"/>
    <w:rsid w:val="00BB3219"/>
    <w:rsid w:val="00BB3412"/>
    <w:rsid w:val="00BB3A43"/>
    <w:rsid w:val="00BB44AD"/>
    <w:rsid w:val="00BB4F8D"/>
    <w:rsid w:val="00BB653B"/>
    <w:rsid w:val="00BB6EE9"/>
    <w:rsid w:val="00BB7891"/>
    <w:rsid w:val="00BC186C"/>
    <w:rsid w:val="00BC2526"/>
    <w:rsid w:val="00BC2549"/>
    <w:rsid w:val="00BC3000"/>
    <w:rsid w:val="00BC3221"/>
    <w:rsid w:val="00BC3893"/>
    <w:rsid w:val="00BC3E40"/>
    <w:rsid w:val="00BC431A"/>
    <w:rsid w:val="00BC49E8"/>
    <w:rsid w:val="00BC4C77"/>
    <w:rsid w:val="00BC4E3A"/>
    <w:rsid w:val="00BC50F7"/>
    <w:rsid w:val="00BC597A"/>
    <w:rsid w:val="00BC69F4"/>
    <w:rsid w:val="00BC6DA8"/>
    <w:rsid w:val="00BD03BA"/>
    <w:rsid w:val="00BD03BC"/>
    <w:rsid w:val="00BD0A46"/>
    <w:rsid w:val="00BD2378"/>
    <w:rsid w:val="00BD248B"/>
    <w:rsid w:val="00BD3692"/>
    <w:rsid w:val="00BD3F4B"/>
    <w:rsid w:val="00BD5E83"/>
    <w:rsid w:val="00BD7706"/>
    <w:rsid w:val="00BE08E4"/>
    <w:rsid w:val="00BE1C68"/>
    <w:rsid w:val="00BE284A"/>
    <w:rsid w:val="00BE2F52"/>
    <w:rsid w:val="00BE3859"/>
    <w:rsid w:val="00BE3AAF"/>
    <w:rsid w:val="00BE43ED"/>
    <w:rsid w:val="00BE61B6"/>
    <w:rsid w:val="00BE6416"/>
    <w:rsid w:val="00BE684F"/>
    <w:rsid w:val="00BE6943"/>
    <w:rsid w:val="00BE6CD2"/>
    <w:rsid w:val="00BF30C0"/>
    <w:rsid w:val="00BF3A43"/>
    <w:rsid w:val="00BF3D3D"/>
    <w:rsid w:val="00BF4C9D"/>
    <w:rsid w:val="00BF5560"/>
    <w:rsid w:val="00BF60EA"/>
    <w:rsid w:val="00BF6743"/>
    <w:rsid w:val="00BF727F"/>
    <w:rsid w:val="00BF7D0D"/>
    <w:rsid w:val="00C00D98"/>
    <w:rsid w:val="00C00DC6"/>
    <w:rsid w:val="00C013EF"/>
    <w:rsid w:val="00C01C6F"/>
    <w:rsid w:val="00C024B4"/>
    <w:rsid w:val="00C03151"/>
    <w:rsid w:val="00C0380D"/>
    <w:rsid w:val="00C03910"/>
    <w:rsid w:val="00C04250"/>
    <w:rsid w:val="00C04303"/>
    <w:rsid w:val="00C045FC"/>
    <w:rsid w:val="00C04C25"/>
    <w:rsid w:val="00C04EDE"/>
    <w:rsid w:val="00C04FD8"/>
    <w:rsid w:val="00C061F1"/>
    <w:rsid w:val="00C064DE"/>
    <w:rsid w:val="00C06DB3"/>
    <w:rsid w:val="00C1142C"/>
    <w:rsid w:val="00C116E5"/>
    <w:rsid w:val="00C12BFB"/>
    <w:rsid w:val="00C12D02"/>
    <w:rsid w:val="00C13E39"/>
    <w:rsid w:val="00C1460C"/>
    <w:rsid w:val="00C148BF"/>
    <w:rsid w:val="00C159EF"/>
    <w:rsid w:val="00C15A8D"/>
    <w:rsid w:val="00C175FC"/>
    <w:rsid w:val="00C17CD1"/>
    <w:rsid w:val="00C211C3"/>
    <w:rsid w:val="00C21A8E"/>
    <w:rsid w:val="00C22C9A"/>
    <w:rsid w:val="00C232C1"/>
    <w:rsid w:val="00C241D7"/>
    <w:rsid w:val="00C26142"/>
    <w:rsid w:val="00C26342"/>
    <w:rsid w:val="00C26634"/>
    <w:rsid w:val="00C26641"/>
    <w:rsid w:val="00C31587"/>
    <w:rsid w:val="00C3160F"/>
    <w:rsid w:val="00C31615"/>
    <w:rsid w:val="00C31BFD"/>
    <w:rsid w:val="00C3207B"/>
    <w:rsid w:val="00C32FC9"/>
    <w:rsid w:val="00C3450E"/>
    <w:rsid w:val="00C35B03"/>
    <w:rsid w:val="00C364BE"/>
    <w:rsid w:val="00C37A68"/>
    <w:rsid w:val="00C37E00"/>
    <w:rsid w:val="00C4022F"/>
    <w:rsid w:val="00C4178F"/>
    <w:rsid w:val="00C41D0C"/>
    <w:rsid w:val="00C437F5"/>
    <w:rsid w:val="00C43932"/>
    <w:rsid w:val="00C446D1"/>
    <w:rsid w:val="00C44ADE"/>
    <w:rsid w:val="00C46EE1"/>
    <w:rsid w:val="00C476EF"/>
    <w:rsid w:val="00C50BEE"/>
    <w:rsid w:val="00C520A4"/>
    <w:rsid w:val="00C5219B"/>
    <w:rsid w:val="00C52EC8"/>
    <w:rsid w:val="00C5343A"/>
    <w:rsid w:val="00C53580"/>
    <w:rsid w:val="00C53828"/>
    <w:rsid w:val="00C53D0F"/>
    <w:rsid w:val="00C54590"/>
    <w:rsid w:val="00C55219"/>
    <w:rsid w:val="00C55255"/>
    <w:rsid w:val="00C55662"/>
    <w:rsid w:val="00C556D3"/>
    <w:rsid w:val="00C57842"/>
    <w:rsid w:val="00C61665"/>
    <w:rsid w:val="00C6195F"/>
    <w:rsid w:val="00C619CD"/>
    <w:rsid w:val="00C61A72"/>
    <w:rsid w:val="00C632A4"/>
    <w:rsid w:val="00C63D08"/>
    <w:rsid w:val="00C64564"/>
    <w:rsid w:val="00C64C24"/>
    <w:rsid w:val="00C64E4D"/>
    <w:rsid w:val="00C64F1A"/>
    <w:rsid w:val="00C66D1A"/>
    <w:rsid w:val="00C6742A"/>
    <w:rsid w:val="00C677C0"/>
    <w:rsid w:val="00C70BE6"/>
    <w:rsid w:val="00C72E2C"/>
    <w:rsid w:val="00C73783"/>
    <w:rsid w:val="00C75E31"/>
    <w:rsid w:val="00C7657B"/>
    <w:rsid w:val="00C8078F"/>
    <w:rsid w:val="00C81FFF"/>
    <w:rsid w:val="00C822D9"/>
    <w:rsid w:val="00C82533"/>
    <w:rsid w:val="00C82685"/>
    <w:rsid w:val="00C82759"/>
    <w:rsid w:val="00C829B5"/>
    <w:rsid w:val="00C83091"/>
    <w:rsid w:val="00C83B7C"/>
    <w:rsid w:val="00C85AC4"/>
    <w:rsid w:val="00C87B9D"/>
    <w:rsid w:val="00C90111"/>
    <w:rsid w:val="00C903DD"/>
    <w:rsid w:val="00C90A29"/>
    <w:rsid w:val="00C90FE7"/>
    <w:rsid w:val="00C911C4"/>
    <w:rsid w:val="00C92109"/>
    <w:rsid w:val="00C938D7"/>
    <w:rsid w:val="00C9493F"/>
    <w:rsid w:val="00C949B5"/>
    <w:rsid w:val="00C95C43"/>
    <w:rsid w:val="00CA12FA"/>
    <w:rsid w:val="00CA26D9"/>
    <w:rsid w:val="00CA2ECB"/>
    <w:rsid w:val="00CA485A"/>
    <w:rsid w:val="00CA4EE8"/>
    <w:rsid w:val="00CA66C1"/>
    <w:rsid w:val="00CA6A9D"/>
    <w:rsid w:val="00CA6AD2"/>
    <w:rsid w:val="00CA6B97"/>
    <w:rsid w:val="00CA7C07"/>
    <w:rsid w:val="00CB0538"/>
    <w:rsid w:val="00CB06B3"/>
    <w:rsid w:val="00CB1DBF"/>
    <w:rsid w:val="00CB2186"/>
    <w:rsid w:val="00CB2957"/>
    <w:rsid w:val="00CB2BE6"/>
    <w:rsid w:val="00CB4DDA"/>
    <w:rsid w:val="00CB5045"/>
    <w:rsid w:val="00CB62A8"/>
    <w:rsid w:val="00CC136D"/>
    <w:rsid w:val="00CC160B"/>
    <w:rsid w:val="00CC23D4"/>
    <w:rsid w:val="00CC318E"/>
    <w:rsid w:val="00CC3E6C"/>
    <w:rsid w:val="00CC53AD"/>
    <w:rsid w:val="00CC6127"/>
    <w:rsid w:val="00CC6A86"/>
    <w:rsid w:val="00CC754B"/>
    <w:rsid w:val="00CD1340"/>
    <w:rsid w:val="00CD1623"/>
    <w:rsid w:val="00CD329F"/>
    <w:rsid w:val="00CD46AB"/>
    <w:rsid w:val="00CD50DA"/>
    <w:rsid w:val="00CD51CF"/>
    <w:rsid w:val="00CD5255"/>
    <w:rsid w:val="00CD5324"/>
    <w:rsid w:val="00CD5526"/>
    <w:rsid w:val="00CD599C"/>
    <w:rsid w:val="00CD644B"/>
    <w:rsid w:val="00CD6540"/>
    <w:rsid w:val="00CD6D0B"/>
    <w:rsid w:val="00CD77B0"/>
    <w:rsid w:val="00CE0B5F"/>
    <w:rsid w:val="00CE1457"/>
    <w:rsid w:val="00CE1B54"/>
    <w:rsid w:val="00CE1C99"/>
    <w:rsid w:val="00CE1FDC"/>
    <w:rsid w:val="00CE28A3"/>
    <w:rsid w:val="00CE4001"/>
    <w:rsid w:val="00CE450C"/>
    <w:rsid w:val="00CE50A9"/>
    <w:rsid w:val="00CE52EF"/>
    <w:rsid w:val="00CE5C9C"/>
    <w:rsid w:val="00CE603B"/>
    <w:rsid w:val="00CE65C9"/>
    <w:rsid w:val="00CE6EB4"/>
    <w:rsid w:val="00CE759C"/>
    <w:rsid w:val="00CE77F8"/>
    <w:rsid w:val="00CF0B41"/>
    <w:rsid w:val="00CF1A68"/>
    <w:rsid w:val="00CF28A4"/>
    <w:rsid w:val="00CF3B0B"/>
    <w:rsid w:val="00CF3E37"/>
    <w:rsid w:val="00CF4736"/>
    <w:rsid w:val="00CF5F3A"/>
    <w:rsid w:val="00CF6115"/>
    <w:rsid w:val="00D00058"/>
    <w:rsid w:val="00D010D9"/>
    <w:rsid w:val="00D012A4"/>
    <w:rsid w:val="00D0142C"/>
    <w:rsid w:val="00D017F8"/>
    <w:rsid w:val="00D02D13"/>
    <w:rsid w:val="00D039FE"/>
    <w:rsid w:val="00D03F04"/>
    <w:rsid w:val="00D03FE1"/>
    <w:rsid w:val="00D04051"/>
    <w:rsid w:val="00D04541"/>
    <w:rsid w:val="00D049BB"/>
    <w:rsid w:val="00D06BA1"/>
    <w:rsid w:val="00D0744B"/>
    <w:rsid w:val="00D10219"/>
    <w:rsid w:val="00D103EF"/>
    <w:rsid w:val="00D104A2"/>
    <w:rsid w:val="00D104DA"/>
    <w:rsid w:val="00D11354"/>
    <w:rsid w:val="00D113E4"/>
    <w:rsid w:val="00D114F4"/>
    <w:rsid w:val="00D124C6"/>
    <w:rsid w:val="00D125C2"/>
    <w:rsid w:val="00D12894"/>
    <w:rsid w:val="00D132FB"/>
    <w:rsid w:val="00D1335F"/>
    <w:rsid w:val="00D151A8"/>
    <w:rsid w:val="00D1534B"/>
    <w:rsid w:val="00D15958"/>
    <w:rsid w:val="00D15E9F"/>
    <w:rsid w:val="00D160E8"/>
    <w:rsid w:val="00D16866"/>
    <w:rsid w:val="00D17238"/>
    <w:rsid w:val="00D1740A"/>
    <w:rsid w:val="00D216B0"/>
    <w:rsid w:val="00D21D26"/>
    <w:rsid w:val="00D231E7"/>
    <w:rsid w:val="00D2342A"/>
    <w:rsid w:val="00D236BF"/>
    <w:rsid w:val="00D23766"/>
    <w:rsid w:val="00D241D4"/>
    <w:rsid w:val="00D24BA5"/>
    <w:rsid w:val="00D24D79"/>
    <w:rsid w:val="00D25C3C"/>
    <w:rsid w:val="00D25F90"/>
    <w:rsid w:val="00D2697E"/>
    <w:rsid w:val="00D26986"/>
    <w:rsid w:val="00D27553"/>
    <w:rsid w:val="00D27B8F"/>
    <w:rsid w:val="00D3006B"/>
    <w:rsid w:val="00D30CF5"/>
    <w:rsid w:val="00D30CFD"/>
    <w:rsid w:val="00D32820"/>
    <w:rsid w:val="00D330C7"/>
    <w:rsid w:val="00D33339"/>
    <w:rsid w:val="00D33850"/>
    <w:rsid w:val="00D345F3"/>
    <w:rsid w:val="00D3575A"/>
    <w:rsid w:val="00D35D55"/>
    <w:rsid w:val="00D36356"/>
    <w:rsid w:val="00D3768A"/>
    <w:rsid w:val="00D40524"/>
    <w:rsid w:val="00D40C77"/>
    <w:rsid w:val="00D4111B"/>
    <w:rsid w:val="00D427E7"/>
    <w:rsid w:val="00D434B4"/>
    <w:rsid w:val="00D437B8"/>
    <w:rsid w:val="00D43DED"/>
    <w:rsid w:val="00D444CA"/>
    <w:rsid w:val="00D45A5B"/>
    <w:rsid w:val="00D4600B"/>
    <w:rsid w:val="00D46B86"/>
    <w:rsid w:val="00D476C3"/>
    <w:rsid w:val="00D50160"/>
    <w:rsid w:val="00D504C5"/>
    <w:rsid w:val="00D50898"/>
    <w:rsid w:val="00D50F05"/>
    <w:rsid w:val="00D515C4"/>
    <w:rsid w:val="00D51F40"/>
    <w:rsid w:val="00D53301"/>
    <w:rsid w:val="00D53B67"/>
    <w:rsid w:val="00D55742"/>
    <w:rsid w:val="00D55F60"/>
    <w:rsid w:val="00D56F16"/>
    <w:rsid w:val="00D57CFE"/>
    <w:rsid w:val="00D607BC"/>
    <w:rsid w:val="00D613F6"/>
    <w:rsid w:val="00D61403"/>
    <w:rsid w:val="00D629C0"/>
    <w:rsid w:val="00D62D60"/>
    <w:rsid w:val="00D632A6"/>
    <w:rsid w:val="00D65877"/>
    <w:rsid w:val="00D65B1C"/>
    <w:rsid w:val="00D66F77"/>
    <w:rsid w:val="00D6799E"/>
    <w:rsid w:val="00D70BDE"/>
    <w:rsid w:val="00D71077"/>
    <w:rsid w:val="00D71D25"/>
    <w:rsid w:val="00D726B6"/>
    <w:rsid w:val="00D736A1"/>
    <w:rsid w:val="00D74398"/>
    <w:rsid w:val="00D7583E"/>
    <w:rsid w:val="00D75E64"/>
    <w:rsid w:val="00D76618"/>
    <w:rsid w:val="00D76AF0"/>
    <w:rsid w:val="00D76E56"/>
    <w:rsid w:val="00D80DC7"/>
    <w:rsid w:val="00D812B9"/>
    <w:rsid w:val="00D8147E"/>
    <w:rsid w:val="00D81F19"/>
    <w:rsid w:val="00D8288E"/>
    <w:rsid w:val="00D82D9F"/>
    <w:rsid w:val="00D83B38"/>
    <w:rsid w:val="00D847C8"/>
    <w:rsid w:val="00D85218"/>
    <w:rsid w:val="00D85ACE"/>
    <w:rsid w:val="00D860C4"/>
    <w:rsid w:val="00D865AC"/>
    <w:rsid w:val="00D865C2"/>
    <w:rsid w:val="00D8709A"/>
    <w:rsid w:val="00D878A3"/>
    <w:rsid w:val="00D910AB"/>
    <w:rsid w:val="00D91689"/>
    <w:rsid w:val="00D93516"/>
    <w:rsid w:val="00D93EDA"/>
    <w:rsid w:val="00D966D9"/>
    <w:rsid w:val="00D969B3"/>
    <w:rsid w:val="00D96B9B"/>
    <w:rsid w:val="00D96D2D"/>
    <w:rsid w:val="00DA0633"/>
    <w:rsid w:val="00DA0B59"/>
    <w:rsid w:val="00DA0C2F"/>
    <w:rsid w:val="00DA0D12"/>
    <w:rsid w:val="00DA0F2E"/>
    <w:rsid w:val="00DA164C"/>
    <w:rsid w:val="00DA2E2A"/>
    <w:rsid w:val="00DA36F7"/>
    <w:rsid w:val="00DA3AA8"/>
    <w:rsid w:val="00DA44B4"/>
    <w:rsid w:val="00DA566E"/>
    <w:rsid w:val="00DA6B78"/>
    <w:rsid w:val="00DA7459"/>
    <w:rsid w:val="00DA7799"/>
    <w:rsid w:val="00DA7C1D"/>
    <w:rsid w:val="00DB0860"/>
    <w:rsid w:val="00DB1F6A"/>
    <w:rsid w:val="00DB24CC"/>
    <w:rsid w:val="00DB309E"/>
    <w:rsid w:val="00DB4E2B"/>
    <w:rsid w:val="00DB588C"/>
    <w:rsid w:val="00DB6978"/>
    <w:rsid w:val="00DB6DB6"/>
    <w:rsid w:val="00DB700F"/>
    <w:rsid w:val="00DB7324"/>
    <w:rsid w:val="00DB7D0B"/>
    <w:rsid w:val="00DC1869"/>
    <w:rsid w:val="00DC1C5B"/>
    <w:rsid w:val="00DC24DC"/>
    <w:rsid w:val="00DC3CF8"/>
    <w:rsid w:val="00DC466A"/>
    <w:rsid w:val="00DC4C28"/>
    <w:rsid w:val="00DC5194"/>
    <w:rsid w:val="00DC5B0C"/>
    <w:rsid w:val="00DC60D7"/>
    <w:rsid w:val="00DC60ED"/>
    <w:rsid w:val="00DC60F4"/>
    <w:rsid w:val="00DC667C"/>
    <w:rsid w:val="00DC6F8E"/>
    <w:rsid w:val="00DC72D1"/>
    <w:rsid w:val="00DC7581"/>
    <w:rsid w:val="00DD0919"/>
    <w:rsid w:val="00DD09DF"/>
    <w:rsid w:val="00DD0E85"/>
    <w:rsid w:val="00DD211F"/>
    <w:rsid w:val="00DD2213"/>
    <w:rsid w:val="00DD2B5F"/>
    <w:rsid w:val="00DD3096"/>
    <w:rsid w:val="00DD31F9"/>
    <w:rsid w:val="00DD35A8"/>
    <w:rsid w:val="00DD41A3"/>
    <w:rsid w:val="00DD46B3"/>
    <w:rsid w:val="00DD50BE"/>
    <w:rsid w:val="00DD5E36"/>
    <w:rsid w:val="00DD6E0C"/>
    <w:rsid w:val="00DD7059"/>
    <w:rsid w:val="00DD7E6E"/>
    <w:rsid w:val="00DE0F54"/>
    <w:rsid w:val="00DE120E"/>
    <w:rsid w:val="00DE1674"/>
    <w:rsid w:val="00DE196E"/>
    <w:rsid w:val="00DE2786"/>
    <w:rsid w:val="00DE2898"/>
    <w:rsid w:val="00DE335D"/>
    <w:rsid w:val="00DE3401"/>
    <w:rsid w:val="00DE347D"/>
    <w:rsid w:val="00DE38C5"/>
    <w:rsid w:val="00DE3C83"/>
    <w:rsid w:val="00DE3D73"/>
    <w:rsid w:val="00DE551A"/>
    <w:rsid w:val="00DE593B"/>
    <w:rsid w:val="00DE59A6"/>
    <w:rsid w:val="00DE5E82"/>
    <w:rsid w:val="00DE6684"/>
    <w:rsid w:val="00DE73D4"/>
    <w:rsid w:val="00DE7781"/>
    <w:rsid w:val="00DE7DC6"/>
    <w:rsid w:val="00DF1CC9"/>
    <w:rsid w:val="00DF1DA6"/>
    <w:rsid w:val="00DF2702"/>
    <w:rsid w:val="00DF3F42"/>
    <w:rsid w:val="00DF44BC"/>
    <w:rsid w:val="00DF4D81"/>
    <w:rsid w:val="00DF4DB9"/>
    <w:rsid w:val="00DF517A"/>
    <w:rsid w:val="00DF548E"/>
    <w:rsid w:val="00DF5AFC"/>
    <w:rsid w:val="00DF6F5F"/>
    <w:rsid w:val="00E0014D"/>
    <w:rsid w:val="00E00D18"/>
    <w:rsid w:val="00E01537"/>
    <w:rsid w:val="00E01937"/>
    <w:rsid w:val="00E01F5A"/>
    <w:rsid w:val="00E02B94"/>
    <w:rsid w:val="00E0549B"/>
    <w:rsid w:val="00E0591B"/>
    <w:rsid w:val="00E05ABC"/>
    <w:rsid w:val="00E06B85"/>
    <w:rsid w:val="00E06FBF"/>
    <w:rsid w:val="00E07021"/>
    <w:rsid w:val="00E073D3"/>
    <w:rsid w:val="00E0769C"/>
    <w:rsid w:val="00E07CB3"/>
    <w:rsid w:val="00E1005A"/>
    <w:rsid w:val="00E10F0C"/>
    <w:rsid w:val="00E11860"/>
    <w:rsid w:val="00E126E2"/>
    <w:rsid w:val="00E12DAD"/>
    <w:rsid w:val="00E12EE3"/>
    <w:rsid w:val="00E13CA1"/>
    <w:rsid w:val="00E1547E"/>
    <w:rsid w:val="00E15AC4"/>
    <w:rsid w:val="00E16711"/>
    <w:rsid w:val="00E177AE"/>
    <w:rsid w:val="00E2006A"/>
    <w:rsid w:val="00E20800"/>
    <w:rsid w:val="00E20D2B"/>
    <w:rsid w:val="00E21815"/>
    <w:rsid w:val="00E220C7"/>
    <w:rsid w:val="00E220EC"/>
    <w:rsid w:val="00E24445"/>
    <w:rsid w:val="00E249A2"/>
    <w:rsid w:val="00E24FA1"/>
    <w:rsid w:val="00E24FBE"/>
    <w:rsid w:val="00E25256"/>
    <w:rsid w:val="00E27485"/>
    <w:rsid w:val="00E274E7"/>
    <w:rsid w:val="00E306FC"/>
    <w:rsid w:val="00E311C1"/>
    <w:rsid w:val="00E312F8"/>
    <w:rsid w:val="00E314E8"/>
    <w:rsid w:val="00E315A3"/>
    <w:rsid w:val="00E32073"/>
    <w:rsid w:val="00E3231B"/>
    <w:rsid w:val="00E346D4"/>
    <w:rsid w:val="00E35164"/>
    <w:rsid w:val="00E3736F"/>
    <w:rsid w:val="00E40721"/>
    <w:rsid w:val="00E40E7E"/>
    <w:rsid w:val="00E41790"/>
    <w:rsid w:val="00E41AB4"/>
    <w:rsid w:val="00E41D54"/>
    <w:rsid w:val="00E41FAC"/>
    <w:rsid w:val="00E45C6A"/>
    <w:rsid w:val="00E46ED4"/>
    <w:rsid w:val="00E47E30"/>
    <w:rsid w:val="00E5125C"/>
    <w:rsid w:val="00E514B5"/>
    <w:rsid w:val="00E51ED5"/>
    <w:rsid w:val="00E53332"/>
    <w:rsid w:val="00E5347E"/>
    <w:rsid w:val="00E541B4"/>
    <w:rsid w:val="00E546C8"/>
    <w:rsid w:val="00E54840"/>
    <w:rsid w:val="00E54941"/>
    <w:rsid w:val="00E54C7C"/>
    <w:rsid w:val="00E555A7"/>
    <w:rsid w:val="00E5592D"/>
    <w:rsid w:val="00E57038"/>
    <w:rsid w:val="00E578AA"/>
    <w:rsid w:val="00E6109D"/>
    <w:rsid w:val="00E61589"/>
    <w:rsid w:val="00E616CE"/>
    <w:rsid w:val="00E616E0"/>
    <w:rsid w:val="00E61F79"/>
    <w:rsid w:val="00E62D7B"/>
    <w:rsid w:val="00E633FF"/>
    <w:rsid w:val="00E638C1"/>
    <w:rsid w:val="00E658ED"/>
    <w:rsid w:val="00E6733C"/>
    <w:rsid w:val="00E67592"/>
    <w:rsid w:val="00E725AA"/>
    <w:rsid w:val="00E72EF8"/>
    <w:rsid w:val="00E745E8"/>
    <w:rsid w:val="00E746A0"/>
    <w:rsid w:val="00E749DE"/>
    <w:rsid w:val="00E74A42"/>
    <w:rsid w:val="00E80B0B"/>
    <w:rsid w:val="00E83A08"/>
    <w:rsid w:val="00E83CDA"/>
    <w:rsid w:val="00E87234"/>
    <w:rsid w:val="00E904B5"/>
    <w:rsid w:val="00E90F85"/>
    <w:rsid w:val="00E9216E"/>
    <w:rsid w:val="00E939BB"/>
    <w:rsid w:val="00E939DF"/>
    <w:rsid w:val="00E95807"/>
    <w:rsid w:val="00E97DEF"/>
    <w:rsid w:val="00EA052C"/>
    <w:rsid w:val="00EA0B60"/>
    <w:rsid w:val="00EA2AED"/>
    <w:rsid w:val="00EA300F"/>
    <w:rsid w:val="00EA4E37"/>
    <w:rsid w:val="00EA60FA"/>
    <w:rsid w:val="00EA6A50"/>
    <w:rsid w:val="00EA6A77"/>
    <w:rsid w:val="00EA76ED"/>
    <w:rsid w:val="00EA7B20"/>
    <w:rsid w:val="00EA7CB6"/>
    <w:rsid w:val="00EA7FAC"/>
    <w:rsid w:val="00EB0CB0"/>
    <w:rsid w:val="00EB158A"/>
    <w:rsid w:val="00EB1A78"/>
    <w:rsid w:val="00EB2115"/>
    <w:rsid w:val="00EB2830"/>
    <w:rsid w:val="00EB2FD6"/>
    <w:rsid w:val="00EB3E4B"/>
    <w:rsid w:val="00EB411A"/>
    <w:rsid w:val="00EB4D12"/>
    <w:rsid w:val="00EB55F8"/>
    <w:rsid w:val="00EB6282"/>
    <w:rsid w:val="00EB65E2"/>
    <w:rsid w:val="00EB6E15"/>
    <w:rsid w:val="00EB7450"/>
    <w:rsid w:val="00EC02C9"/>
    <w:rsid w:val="00EC26B2"/>
    <w:rsid w:val="00EC2A1E"/>
    <w:rsid w:val="00EC396E"/>
    <w:rsid w:val="00EC539C"/>
    <w:rsid w:val="00EC5487"/>
    <w:rsid w:val="00EC5A84"/>
    <w:rsid w:val="00EC5C34"/>
    <w:rsid w:val="00EC6E5C"/>
    <w:rsid w:val="00EC75E4"/>
    <w:rsid w:val="00EC7B1C"/>
    <w:rsid w:val="00EC7CC0"/>
    <w:rsid w:val="00EC7DC1"/>
    <w:rsid w:val="00ED011B"/>
    <w:rsid w:val="00ED06F8"/>
    <w:rsid w:val="00ED1DF7"/>
    <w:rsid w:val="00ED2426"/>
    <w:rsid w:val="00ED272C"/>
    <w:rsid w:val="00ED2E3F"/>
    <w:rsid w:val="00ED2FE6"/>
    <w:rsid w:val="00ED3AFB"/>
    <w:rsid w:val="00ED458B"/>
    <w:rsid w:val="00ED6BCC"/>
    <w:rsid w:val="00ED6F79"/>
    <w:rsid w:val="00EE0625"/>
    <w:rsid w:val="00EE09A8"/>
    <w:rsid w:val="00EE0EA9"/>
    <w:rsid w:val="00EE1E17"/>
    <w:rsid w:val="00EE21C0"/>
    <w:rsid w:val="00EE24D0"/>
    <w:rsid w:val="00EE2BF9"/>
    <w:rsid w:val="00EE3912"/>
    <w:rsid w:val="00EE3A21"/>
    <w:rsid w:val="00EE3E5A"/>
    <w:rsid w:val="00EE44F2"/>
    <w:rsid w:val="00EE59A6"/>
    <w:rsid w:val="00EE5EEC"/>
    <w:rsid w:val="00EE6055"/>
    <w:rsid w:val="00EE64B1"/>
    <w:rsid w:val="00EE6D5C"/>
    <w:rsid w:val="00EF0156"/>
    <w:rsid w:val="00EF088C"/>
    <w:rsid w:val="00EF297C"/>
    <w:rsid w:val="00EF334E"/>
    <w:rsid w:val="00EF36DF"/>
    <w:rsid w:val="00EF3E06"/>
    <w:rsid w:val="00EF5120"/>
    <w:rsid w:val="00EF62C7"/>
    <w:rsid w:val="00EF6859"/>
    <w:rsid w:val="00EF6B58"/>
    <w:rsid w:val="00F0084E"/>
    <w:rsid w:val="00F009B9"/>
    <w:rsid w:val="00F00EE1"/>
    <w:rsid w:val="00F024C6"/>
    <w:rsid w:val="00F02901"/>
    <w:rsid w:val="00F02B15"/>
    <w:rsid w:val="00F02D05"/>
    <w:rsid w:val="00F03EDE"/>
    <w:rsid w:val="00F04816"/>
    <w:rsid w:val="00F05B11"/>
    <w:rsid w:val="00F0652D"/>
    <w:rsid w:val="00F07382"/>
    <w:rsid w:val="00F11868"/>
    <w:rsid w:val="00F127F9"/>
    <w:rsid w:val="00F12CB4"/>
    <w:rsid w:val="00F13086"/>
    <w:rsid w:val="00F14AA0"/>
    <w:rsid w:val="00F1535D"/>
    <w:rsid w:val="00F1620E"/>
    <w:rsid w:val="00F164CA"/>
    <w:rsid w:val="00F20636"/>
    <w:rsid w:val="00F20A2C"/>
    <w:rsid w:val="00F20B9E"/>
    <w:rsid w:val="00F22856"/>
    <w:rsid w:val="00F22FF6"/>
    <w:rsid w:val="00F23007"/>
    <w:rsid w:val="00F230FC"/>
    <w:rsid w:val="00F23A21"/>
    <w:rsid w:val="00F24B80"/>
    <w:rsid w:val="00F25BEA"/>
    <w:rsid w:val="00F25E5E"/>
    <w:rsid w:val="00F26CB2"/>
    <w:rsid w:val="00F27062"/>
    <w:rsid w:val="00F27588"/>
    <w:rsid w:val="00F27E01"/>
    <w:rsid w:val="00F301BB"/>
    <w:rsid w:val="00F317B1"/>
    <w:rsid w:val="00F327C6"/>
    <w:rsid w:val="00F32F48"/>
    <w:rsid w:val="00F341B0"/>
    <w:rsid w:val="00F34760"/>
    <w:rsid w:val="00F35098"/>
    <w:rsid w:val="00F36686"/>
    <w:rsid w:val="00F376BF"/>
    <w:rsid w:val="00F40EE8"/>
    <w:rsid w:val="00F418DE"/>
    <w:rsid w:val="00F4295A"/>
    <w:rsid w:val="00F4439E"/>
    <w:rsid w:val="00F44FD0"/>
    <w:rsid w:val="00F45384"/>
    <w:rsid w:val="00F46981"/>
    <w:rsid w:val="00F47C9A"/>
    <w:rsid w:val="00F5010F"/>
    <w:rsid w:val="00F50683"/>
    <w:rsid w:val="00F50BF1"/>
    <w:rsid w:val="00F51032"/>
    <w:rsid w:val="00F51C25"/>
    <w:rsid w:val="00F53788"/>
    <w:rsid w:val="00F54112"/>
    <w:rsid w:val="00F55382"/>
    <w:rsid w:val="00F56525"/>
    <w:rsid w:val="00F6152F"/>
    <w:rsid w:val="00F61AD7"/>
    <w:rsid w:val="00F628D5"/>
    <w:rsid w:val="00F63654"/>
    <w:rsid w:val="00F641B2"/>
    <w:rsid w:val="00F64BA2"/>
    <w:rsid w:val="00F64CF4"/>
    <w:rsid w:val="00F6533F"/>
    <w:rsid w:val="00F65B28"/>
    <w:rsid w:val="00F65BDF"/>
    <w:rsid w:val="00F66921"/>
    <w:rsid w:val="00F66B23"/>
    <w:rsid w:val="00F67750"/>
    <w:rsid w:val="00F70B56"/>
    <w:rsid w:val="00F70F90"/>
    <w:rsid w:val="00F72795"/>
    <w:rsid w:val="00F72E67"/>
    <w:rsid w:val="00F72FB4"/>
    <w:rsid w:val="00F73908"/>
    <w:rsid w:val="00F73A99"/>
    <w:rsid w:val="00F746CD"/>
    <w:rsid w:val="00F7490C"/>
    <w:rsid w:val="00F74983"/>
    <w:rsid w:val="00F74B12"/>
    <w:rsid w:val="00F7506B"/>
    <w:rsid w:val="00F774BB"/>
    <w:rsid w:val="00F80035"/>
    <w:rsid w:val="00F8109E"/>
    <w:rsid w:val="00F813F7"/>
    <w:rsid w:val="00F81C8E"/>
    <w:rsid w:val="00F81D0C"/>
    <w:rsid w:val="00F82288"/>
    <w:rsid w:val="00F83394"/>
    <w:rsid w:val="00F839AA"/>
    <w:rsid w:val="00F840EC"/>
    <w:rsid w:val="00F861D3"/>
    <w:rsid w:val="00F8662B"/>
    <w:rsid w:val="00F86775"/>
    <w:rsid w:val="00F869C4"/>
    <w:rsid w:val="00F87734"/>
    <w:rsid w:val="00F87D51"/>
    <w:rsid w:val="00F9111D"/>
    <w:rsid w:val="00F91758"/>
    <w:rsid w:val="00F920C6"/>
    <w:rsid w:val="00F9298C"/>
    <w:rsid w:val="00F92D0E"/>
    <w:rsid w:val="00F92F21"/>
    <w:rsid w:val="00F92F6B"/>
    <w:rsid w:val="00F93F5B"/>
    <w:rsid w:val="00F94E53"/>
    <w:rsid w:val="00FA03D5"/>
    <w:rsid w:val="00FA1193"/>
    <w:rsid w:val="00FA1A53"/>
    <w:rsid w:val="00FA1F02"/>
    <w:rsid w:val="00FA2129"/>
    <w:rsid w:val="00FA3011"/>
    <w:rsid w:val="00FA3E48"/>
    <w:rsid w:val="00FA3FF5"/>
    <w:rsid w:val="00FA406A"/>
    <w:rsid w:val="00FA5DA0"/>
    <w:rsid w:val="00FA61C4"/>
    <w:rsid w:val="00FA64E2"/>
    <w:rsid w:val="00FA690D"/>
    <w:rsid w:val="00FA6BC5"/>
    <w:rsid w:val="00FA752F"/>
    <w:rsid w:val="00FA7B25"/>
    <w:rsid w:val="00FA7D3B"/>
    <w:rsid w:val="00FB0758"/>
    <w:rsid w:val="00FB11C4"/>
    <w:rsid w:val="00FB18D8"/>
    <w:rsid w:val="00FB2EA7"/>
    <w:rsid w:val="00FB3704"/>
    <w:rsid w:val="00FB4387"/>
    <w:rsid w:val="00FB45C7"/>
    <w:rsid w:val="00FB4F56"/>
    <w:rsid w:val="00FB580A"/>
    <w:rsid w:val="00FB6BEC"/>
    <w:rsid w:val="00FB6F3F"/>
    <w:rsid w:val="00FB72E5"/>
    <w:rsid w:val="00FB75F2"/>
    <w:rsid w:val="00FC01E6"/>
    <w:rsid w:val="00FC0571"/>
    <w:rsid w:val="00FC087B"/>
    <w:rsid w:val="00FC087D"/>
    <w:rsid w:val="00FC1FC8"/>
    <w:rsid w:val="00FC220A"/>
    <w:rsid w:val="00FC2DB0"/>
    <w:rsid w:val="00FC2DB9"/>
    <w:rsid w:val="00FC37F1"/>
    <w:rsid w:val="00FC394A"/>
    <w:rsid w:val="00FC3955"/>
    <w:rsid w:val="00FC398B"/>
    <w:rsid w:val="00FC48C3"/>
    <w:rsid w:val="00FC5A2C"/>
    <w:rsid w:val="00FC7D69"/>
    <w:rsid w:val="00FD0491"/>
    <w:rsid w:val="00FD05D2"/>
    <w:rsid w:val="00FD2333"/>
    <w:rsid w:val="00FD24F5"/>
    <w:rsid w:val="00FD2DFB"/>
    <w:rsid w:val="00FD3E1D"/>
    <w:rsid w:val="00FD4586"/>
    <w:rsid w:val="00FD50B6"/>
    <w:rsid w:val="00FD573B"/>
    <w:rsid w:val="00FD7CE9"/>
    <w:rsid w:val="00FD7E8A"/>
    <w:rsid w:val="00FE046F"/>
    <w:rsid w:val="00FE19C3"/>
    <w:rsid w:val="00FE21BF"/>
    <w:rsid w:val="00FE4D17"/>
    <w:rsid w:val="00FE7403"/>
    <w:rsid w:val="00FE7571"/>
    <w:rsid w:val="00FF0D74"/>
    <w:rsid w:val="00FF0E4B"/>
    <w:rsid w:val="00FF1FDE"/>
    <w:rsid w:val="00FF2D98"/>
    <w:rsid w:val="00FF4BDE"/>
    <w:rsid w:val="00FF5134"/>
    <w:rsid w:val="00FF5791"/>
    <w:rsid w:val="00FF58DD"/>
    <w:rsid w:val="00FF5B94"/>
    <w:rsid w:val="00FF60F8"/>
    <w:rsid w:val="00FF7A36"/>
    <w:rsid w:val="00FF7B33"/>
    <w:rsid w:val="01557003"/>
    <w:rsid w:val="01A61472"/>
    <w:rsid w:val="05F2566A"/>
    <w:rsid w:val="06E17719"/>
    <w:rsid w:val="08632673"/>
    <w:rsid w:val="09D4024E"/>
    <w:rsid w:val="0B160667"/>
    <w:rsid w:val="0D5A6E00"/>
    <w:rsid w:val="0FAB4919"/>
    <w:rsid w:val="0FC81D84"/>
    <w:rsid w:val="10204D46"/>
    <w:rsid w:val="11524191"/>
    <w:rsid w:val="17EC56CB"/>
    <w:rsid w:val="18A02C67"/>
    <w:rsid w:val="18E02DEE"/>
    <w:rsid w:val="1A516401"/>
    <w:rsid w:val="1BE94AE7"/>
    <w:rsid w:val="1C121B5F"/>
    <w:rsid w:val="1EA933CB"/>
    <w:rsid w:val="20041550"/>
    <w:rsid w:val="22234BC2"/>
    <w:rsid w:val="23314907"/>
    <w:rsid w:val="25696D0B"/>
    <w:rsid w:val="25CD046B"/>
    <w:rsid w:val="260F4EA2"/>
    <w:rsid w:val="28067F14"/>
    <w:rsid w:val="2856510A"/>
    <w:rsid w:val="286B773C"/>
    <w:rsid w:val="2A4E1620"/>
    <w:rsid w:val="2B014671"/>
    <w:rsid w:val="2B16061F"/>
    <w:rsid w:val="2C557F8B"/>
    <w:rsid w:val="2CDB683C"/>
    <w:rsid w:val="2EFE30F9"/>
    <w:rsid w:val="308D7C41"/>
    <w:rsid w:val="3185341B"/>
    <w:rsid w:val="331A28B9"/>
    <w:rsid w:val="33653315"/>
    <w:rsid w:val="33E96577"/>
    <w:rsid w:val="36F73446"/>
    <w:rsid w:val="37806040"/>
    <w:rsid w:val="39817AD7"/>
    <w:rsid w:val="3A7941C8"/>
    <w:rsid w:val="3AD87847"/>
    <w:rsid w:val="3BE5629D"/>
    <w:rsid w:val="3C8D3110"/>
    <w:rsid w:val="3E860A7C"/>
    <w:rsid w:val="40724992"/>
    <w:rsid w:val="439B680F"/>
    <w:rsid w:val="442F1579"/>
    <w:rsid w:val="486F0FE9"/>
    <w:rsid w:val="4BA81516"/>
    <w:rsid w:val="4CE623F6"/>
    <w:rsid w:val="4ED92B46"/>
    <w:rsid w:val="4F221B98"/>
    <w:rsid w:val="509413D0"/>
    <w:rsid w:val="54435DFA"/>
    <w:rsid w:val="54D152BE"/>
    <w:rsid w:val="55AD6372"/>
    <w:rsid w:val="55BB04CC"/>
    <w:rsid w:val="563443D4"/>
    <w:rsid w:val="571D0981"/>
    <w:rsid w:val="5750552D"/>
    <w:rsid w:val="57885D8F"/>
    <w:rsid w:val="59612FAB"/>
    <w:rsid w:val="5C0A3628"/>
    <w:rsid w:val="5E314D33"/>
    <w:rsid w:val="5E56377C"/>
    <w:rsid w:val="5F7079E4"/>
    <w:rsid w:val="608B0B0D"/>
    <w:rsid w:val="619750FC"/>
    <w:rsid w:val="61B80C98"/>
    <w:rsid w:val="638914B1"/>
    <w:rsid w:val="69B4157E"/>
    <w:rsid w:val="6F96286D"/>
    <w:rsid w:val="700C013D"/>
    <w:rsid w:val="709D5A7E"/>
    <w:rsid w:val="70EB7E82"/>
    <w:rsid w:val="732B31A0"/>
    <w:rsid w:val="747E40B1"/>
    <w:rsid w:val="75363AA4"/>
    <w:rsid w:val="78464E8C"/>
    <w:rsid w:val="78B07989"/>
    <w:rsid w:val="7A4D600D"/>
    <w:rsid w:val="7CB33E74"/>
    <w:rsid w:val="7CC72E43"/>
    <w:rsid w:val="7DD677ED"/>
    <w:rsid w:val="7EFF7286"/>
    <w:rsid w:val="7FC2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72" w:line="249" w:lineRule="auto"/>
      <w:ind w:left="218" w:hanging="10"/>
    </w:pPr>
    <w:rPr>
      <w:rFonts w:ascii="仿宋" w:hAnsi="仿宋" w:eastAsia="仿宋" w:cs="仿宋"/>
      <w:color w:val="000000"/>
      <w:kern w:val="2"/>
      <w:sz w:val="24"/>
      <w:szCs w:val="22"/>
      <w:lang w:val="en-US" w:eastAsia="zh-CN" w:bidi="ar-SA"/>
    </w:rPr>
  </w:style>
  <w:style w:type="paragraph" w:styleId="2">
    <w:name w:val="heading 1"/>
    <w:basedOn w:val="1"/>
    <w:next w:val="1"/>
    <w:link w:val="38"/>
    <w:qFormat/>
    <w:uiPriority w:val="0"/>
    <w:pPr>
      <w:keepNext/>
      <w:keepLines/>
      <w:spacing w:after="326" w:line="259" w:lineRule="auto"/>
      <w:ind w:left="95"/>
      <w:jc w:val="center"/>
      <w:outlineLvl w:val="0"/>
    </w:pPr>
    <w:rPr>
      <w:rFonts w:ascii="宋体" w:hAnsi="宋体" w:eastAsia="宋体" w:cs="Times New Roman"/>
      <w:kern w:val="0"/>
      <w:sz w:val="36"/>
      <w:szCs w:val="20"/>
    </w:rPr>
  </w:style>
  <w:style w:type="paragraph" w:styleId="3">
    <w:name w:val="heading 2"/>
    <w:basedOn w:val="1"/>
    <w:next w:val="1"/>
    <w:link w:val="39"/>
    <w:qFormat/>
    <w:uiPriority w:val="0"/>
    <w:pPr>
      <w:keepNext/>
      <w:keepLines/>
      <w:spacing w:after="0" w:line="259" w:lineRule="auto"/>
      <w:outlineLvl w:val="1"/>
    </w:pPr>
    <w:rPr>
      <w:sz w:val="22"/>
    </w:rPr>
  </w:style>
  <w:style w:type="paragraph" w:styleId="4">
    <w:name w:val="heading 3"/>
    <w:basedOn w:val="1"/>
    <w:next w:val="1"/>
    <w:link w:val="40"/>
    <w:qFormat/>
    <w:uiPriority w:val="0"/>
    <w:pPr>
      <w:keepNext/>
      <w:keepLines/>
      <w:spacing w:after="326" w:line="259" w:lineRule="auto"/>
      <w:ind w:left="95"/>
      <w:jc w:val="center"/>
      <w:outlineLvl w:val="2"/>
    </w:pPr>
    <w:rPr>
      <w:rFonts w:ascii="宋体" w:hAnsi="Times New Roman" w:eastAsia="宋体" w:cs="宋体"/>
      <w:sz w:val="22"/>
    </w:rPr>
  </w:style>
  <w:style w:type="paragraph" w:styleId="5">
    <w:name w:val="heading 4"/>
    <w:basedOn w:val="1"/>
    <w:next w:val="1"/>
    <w:link w:val="41"/>
    <w:qFormat/>
    <w:uiPriority w:val="0"/>
    <w:pPr>
      <w:keepNext/>
      <w:keepLines/>
      <w:spacing w:before="280" w:after="290" w:line="376" w:lineRule="auto"/>
      <w:outlineLvl w:val="3"/>
    </w:pPr>
    <w:rPr>
      <w:rFonts w:ascii="等线 Light" w:hAnsi="等线 Light" w:eastAsia="等线 Light" w:cs="Times New Roman"/>
      <w:b/>
      <w:bCs/>
      <w:kern w:val="0"/>
      <w:sz w:val="28"/>
      <w:szCs w:val="28"/>
    </w:rPr>
  </w:style>
  <w:style w:type="paragraph" w:styleId="6">
    <w:name w:val="heading 5"/>
    <w:basedOn w:val="1"/>
    <w:next w:val="1"/>
    <w:link w:val="42"/>
    <w:qFormat/>
    <w:uiPriority w:val="0"/>
    <w:pPr>
      <w:keepNext/>
      <w:keepLines/>
      <w:spacing w:before="280" w:after="290" w:line="376" w:lineRule="auto"/>
      <w:outlineLvl w:val="4"/>
    </w:pPr>
    <w:rPr>
      <w:rFonts w:cs="Times New Roman"/>
      <w:b/>
      <w:bCs/>
      <w:kern w:val="0"/>
      <w:sz w:val="28"/>
      <w:szCs w:val="28"/>
    </w:rPr>
  </w:style>
  <w:style w:type="paragraph" w:styleId="7">
    <w:name w:val="heading 6"/>
    <w:basedOn w:val="1"/>
    <w:next w:val="1"/>
    <w:link w:val="43"/>
    <w:qFormat/>
    <w:uiPriority w:val="0"/>
    <w:pPr>
      <w:keepNext/>
      <w:keepLines/>
      <w:spacing w:before="240" w:after="64" w:line="320" w:lineRule="auto"/>
      <w:outlineLvl w:val="5"/>
    </w:pPr>
    <w:rPr>
      <w:rFonts w:ascii="等线 Light" w:hAnsi="等线 Light" w:eastAsia="等线 Light" w:cs="Times New Roman"/>
      <w:b/>
      <w:bCs/>
      <w:kern w:val="0"/>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spacing w:after="0"/>
      <w:ind w:left="1440"/>
    </w:pPr>
    <w:rPr>
      <w:rFonts w:ascii="等线" w:eastAsia="等线"/>
      <w:sz w:val="18"/>
      <w:szCs w:val="18"/>
    </w:rPr>
  </w:style>
  <w:style w:type="paragraph" w:styleId="9">
    <w:name w:val="Document Map"/>
    <w:basedOn w:val="1"/>
    <w:link w:val="44"/>
    <w:semiHidden/>
    <w:qFormat/>
    <w:uiPriority w:val="0"/>
    <w:pPr>
      <w:shd w:val="clear" w:color="auto" w:fill="000080"/>
    </w:pPr>
    <w:rPr>
      <w:rFonts w:ascii="宋体" w:eastAsia="宋体" w:cs="Times New Roman"/>
      <w:kern w:val="0"/>
      <w:sz w:val="18"/>
      <w:szCs w:val="18"/>
    </w:rPr>
  </w:style>
  <w:style w:type="paragraph" w:styleId="10">
    <w:name w:val="annotation text"/>
    <w:basedOn w:val="1"/>
    <w:link w:val="45"/>
    <w:unhideWhenUsed/>
    <w:qFormat/>
    <w:uiPriority w:val="0"/>
    <w:rPr>
      <w:rFonts w:cs="Times New Roman"/>
      <w:kern w:val="0"/>
      <w:sz w:val="22"/>
    </w:rPr>
  </w:style>
  <w:style w:type="paragraph" w:styleId="11">
    <w:name w:val="Body Text"/>
    <w:basedOn w:val="1"/>
    <w:link w:val="46"/>
    <w:qFormat/>
    <w:uiPriority w:val="0"/>
    <w:pPr>
      <w:spacing w:after="120"/>
    </w:pPr>
    <w:rPr>
      <w:rFonts w:cs="Times New Roman"/>
      <w:kern w:val="0"/>
      <w:szCs w:val="20"/>
    </w:rPr>
  </w:style>
  <w:style w:type="paragraph" w:styleId="12">
    <w:name w:val="toc 5"/>
    <w:basedOn w:val="1"/>
    <w:next w:val="1"/>
    <w:qFormat/>
    <w:uiPriority w:val="39"/>
    <w:pPr>
      <w:spacing w:after="0"/>
      <w:ind w:left="960"/>
    </w:pPr>
    <w:rPr>
      <w:rFonts w:ascii="等线" w:eastAsia="等线"/>
      <w:sz w:val="18"/>
      <w:szCs w:val="18"/>
    </w:rPr>
  </w:style>
  <w:style w:type="paragraph" w:styleId="13">
    <w:name w:val="toc 3"/>
    <w:basedOn w:val="1"/>
    <w:next w:val="1"/>
    <w:qFormat/>
    <w:uiPriority w:val="39"/>
    <w:pPr>
      <w:spacing w:after="0"/>
      <w:ind w:left="480"/>
    </w:pPr>
    <w:rPr>
      <w:rFonts w:ascii="等线" w:eastAsia="等线"/>
      <w:i/>
      <w:iCs/>
      <w:sz w:val="20"/>
      <w:szCs w:val="20"/>
    </w:rPr>
  </w:style>
  <w:style w:type="paragraph" w:styleId="14">
    <w:name w:val="Plain Text"/>
    <w:basedOn w:val="1"/>
    <w:link w:val="47"/>
    <w:qFormat/>
    <w:uiPriority w:val="0"/>
    <w:pPr>
      <w:widowControl w:val="0"/>
      <w:spacing w:after="0" w:line="240" w:lineRule="auto"/>
      <w:ind w:left="0" w:firstLine="0"/>
      <w:jc w:val="both"/>
    </w:pPr>
    <w:rPr>
      <w:rFonts w:ascii="宋体" w:hAnsi="Courier New" w:eastAsia="宋体" w:cs="Courier New"/>
      <w:color w:val="auto"/>
      <w:sz w:val="28"/>
      <w:szCs w:val="21"/>
    </w:rPr>
  </w:style>
  <w:style w:type="paragraph" w:styleId="15">
    <w:name w:val="toc 8"/>
    <w:basedOn w:val="1"/>
    <w:next w:val="1"/>
    <w:qFormat/>
    <w:uiPriority w:val="39"/>
    <w:pPr>
      <w:spacing w:after="0"/>
      <w:ind w:left="1680"/>
    </w:pPr>
    <w:rPr>
      <w:rFonts w:ascii="等线" w:eastAsia="等线"/>
      <w:sz w:val="18"/>
      <w:szCs w:val="18"/>
    </w:rPr>
  </w:style>
  <w:style w:type="paragraph" w:styleId="16">
    <w:name w:val="Date"/>
    <w:basedOn w:val="1"/>
    <w:next w:val="1"/>
    <w:link w:val="48"/>
    <w:qFormat/>
    <w:uiPriority w:val="99"/>
    <w:pPr>
      <w:ind w:left="100" w:leftChars="2500"/>
    </w:pPr>
    <w:rPr>
      <w:rFonts w:cs="Times New Roman"/>
      <w:kern w:val="0"/>
      <w:szCs w:val="20"/>
    </w:rPr>
  </w:style>
  <w:style w:type="paragraph" w:styleId="17">
    <w:name w:val="Balloon Text"/>
    <w:basedOn w:val="1"/>
    <w:link w:val="49"/>
    <w:qFormat/>
    <w:uiPriority w:val="0"/>
    <w:pPr>
      <w:spacing w:after="0" w:line="240" w:lineRule="auto"/>
    </w:pPr>
    <w:rPr>
      <w:rFonts w:cs="Times New Roman"/>
      <w:kern w:val="0"/>
      <w:sz w:val="18"/>
      <w:szCs w:val="18"/>
    </w:rPr>
  </w:style>
  <w:style w:type="paragraph" w:styleId="18">
    <w:name w:val="footer"/>
    <w:basedOn w:val="1"/>
    <w:link w:val="50"/>
    <w:qFormat/>
    <w:uiPriority w:val="0"/>
    <w:pPr>
      <w:tabs>
        <w:tab w:val="center" w:pos="4153"/>
        <w:tab w:val="right" w:pos="8306"/>
      </w:tabs>
      <w:snapToGrid w:val="0"/>
      <w:spacing w:line="240" w:lineRule="auto"/>
    </w:pPr>
    <w:rPr>
      <w:rFonts w:ascii="Times New Roman" w:hAnsi="Times New Roman" w:eastAsia="宋体" w:cs="Times New Roman"/>
      <w:color w:val="auto"/>
      <w:kern w:val="0"/>
      <w:sz w:val="18"/>
      <w:szCs w:val="18"/>
    </w:rPr>
  </w:style>
  <w:style w:type="paragraph" w:styleId="19">
    <w:name w:val="header"/>
    <w:basedOn w:val="1"/>
    <w:link w:val="51"/>
    <w:qFormat/>
    <w:uiPriority w:val="99"/>
    <w:pPr>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color w:val="auto"/>
      <w:kern w:val="0"/>
      <w:sz w:val="18"/>
      <w:szCs w:val="18"/>
    </w:rPr>
  </w:style>
  <w:style w:type="paragraph" w:styleId="20">
    <w:name w:val="toc 1"/>
    <w:basedOn w:val="1"/>
    <w:next w:val="1"/>
    <w:qFormat/>
    <w:uiPriority w:val="39"/>
    <w:pPr>
      <w:spacing w:before="120" w:after="120"/>
      <w:ind w:left="0"/>
    </w:pPr>
    <w:rPr>
      <w:rFonts w:ascii="等线" w:eastAsia="等线"/>
      <w:b/>
      <w:bCs/>
      <w:caps/>
      <w:sz w:val="20"/>
      <w:szCs w:val="20"/>
    </w:rPr>
  </w:style>
  <w:style w:type="paragraph" w:styleId="21">
    <w:name w:val="toc 4"/>
    <w:basedOn w:val="1"/>
    <w:next w:val="1"/>
    <w:qFormat/>
    <w:uiPriority w:val="0"/>
    <w:pPr>
      <w:spacing w:after="0"/>
      <w:ind w:left="720"/>
    </w:pPr>
    <w:rPr>
      <w:rFonts w:ascii="等线" w:eastAsia="等线"/>
      <w:sz w:val="18"/>
      <w:szCs w:val="18"/>
    </w:rPr>
  </w:style>
  <w:style w:type="paragraph" w:styleId="22">
    <w:name w:val="Subtitle"/>
    <w:basedOn w:val="1"/>
    <w:next w:val="1"/>
    <w:link w:val="52"/>
    <w:qFormat/>
    <w:locked/>
    <w:uiPriority w:val="0"/>
    <w:pPr>
      <w:widowControl w:val="0"/>
      <w:spacing w:before="240" w:after="60" w:line="312" w:lineRule="auto"/>
      <w:ind w:left="0" w:firstLine="0"/>
      <w:jc w:val="center"/>
      <w:outlineLvl w:val="1"/>
    </w:pPr>
    <w:rPr>
      <w:rFonts w:ascii="Cambria" w:hAnsi="Cambria" w:eastAsia="宋体" w:cs="Times New Roman"/>
      <w:b/>
      <w:bCs/>
      <w:color w:val="auto"/>
      <w:kern w:val="28"/>
      <w:sz w:val="32"/>
      <w:szCs w:val="32"/>
    </w:rPr>
  </w:style>
  <w:style w:type="paragraph" w:styleId="23">
    <w:name w:val="toc 6"/>
    <w:basedOn w:val="1"/>
    <w:next w:val="1"/>
    <w:qFormat/>
    <w:uiPriority w:val="39"/>
    <w:pPr>
      <w:spacing w:after="0"/>
      <w:ind w:left="1200"/>
    </w:pPr>
    <w:rPr>
      <w:rFonts w:ascii="等线" w:eastAsia="等线"/>
      <w:sz w:val="18"/>
      <w:szCs w:val="18"/>
    </w:rPr>
  </w:style>
  <w:style w:type="paragraph" w:styleId="24">
    <w:name w:val="Body Text Indent 3"/>
    <w:basedOn w:val="1"/>
    <w:link w:val="53"/>
    <w:qFormat/>
    <w:uiPriority w:val="0"/>
    <w:pPr>
      <w:widowControl w:val="0"/>
      <w:spacing w:after="120" w:line="240" w:lineRule="auto"/>
      <w:ind w:left="420" w:leftChars="200" w:firstLine="0"/>
      <w:jc w:val="both"/>
    </w:pPr>
    <w:rPr>
      <w:rFonts w:ascii="Times New Roman" w:hAnsi="Times New Roman" w:eastAsia="宋体" w:cs="Times New Roman"/>
      <w:color w:val="auto"/>
      <w:kern w:val="0"/>
      <w:sz w:val="16"/>
      <w:szCs w:val="16"/>
    </w:rPr>
  </w:style>
  <w:style w:type="paragraph" w:styleId="25">
    <w:name w:val="toc 2"/>
    <w:basedOn w:val="1"/>
    <w:next w:val="1"/>
    <w:qFormat/>
    <w:uiPriority w:val="39"/>
    <w:pPr>
      <w:spacing w:after="0"/>
      <w:ind w:left="240"/>
    </w:pPr>
    <w:rPr>
      <w:rFonts w:ascii="等线" w:eastAsia="等线"/>
      <w:smallCaps/>
      <w:sz w:val="20"/>
      <w:szCs w:val="20"/>
    </w:rPr>
  </w:style>
  <w:style w:type="paragraph" w:styleId="26">
    <w:name w:val="toc 9"/>
    <w:basedOn w:val="1"/>
    <w:next w:val="1"/>
    <w:qFormat/>
    <w:uiPriority w:val="39"/>
    <w:pPr>
      <w:spacing w:after="0"/>
      <w:ind w:left="1920"/>
    </w:pPr>
    <w:rPr>
      <w:rFonts w:ascii="等线" w:eastAsia="等线"/>
      <w:sz w:val="18"/>
      <w:szCs w:val="18"/>
    </w:rPr>
  </w:style>
  <w:style w:type="paragraph" w:styleId="27">
    <w:name w:val="Normal (Web)"/>
    <w:basedOn w:val="1"/>
    <w:qFormat/>
    <w:uiPriority w:val="99"/>
    <w:pPr>
      <w:spacing w:before="100" w:beforeAutospacing="1" w:after="100" w:afterAutospacing="1" w:line="240" w:lineRule="auto"/>
      <w:ind w:left="0" w:firstLine="0"/>
    </w:pPr>
    <w:rPr>
      <w:rFonts w:ascii="宋体" w:hAnsi="宋体" w:eastAsia="等线" w:cs="宋体"/>
      <w:color w:val="auto"/>
      <w:kern w:val="0"/>
      <w:szCs w:val="24"/>
    </w:rPr>
  </w:style>
  <w:style w:type="paragraph" w:styleId="28">
    <w:name w:val="Title"/>
    <w:basedOn w:val="1"/>
    <w:next w:val="1"/>
    <w:link w:val="54"/>
    <w:qFormat/>
    <w:locked/>
    <w:uiPriority w:val="0"/>
    <w:pPr>
      <w:widowControl w:val="0"/>
      <w:spacing w:before="240" w:after="60" w:line="240" w:lineRule="auto"/>
      <w:ind w:left="0" w:firstLine="0"/>
      <w:jc w:val="center"/>
      <w:outlineLvl w:val="0"/>
    </w:pPr>
    <w:rPr>
      <w:rFonts w:ascii="Calibri Light" w:hAnsi="Calibri Light" w:eastAsia="宋体" w:cs="黑体"/>
      <w:b/>
      <w:bCs/>
      <w:color w:val="auto"/>
      <w:sz w:val="32"/>
      <w:szCs w:val="32"/>
    </w:rPr>
  </w:style>
  <w:style w:type="paragraph" w:styleId="29">
    <w:name w:val="annotation subject"/>
    <w:basedOn w:val="10"/>
    <w:next w:val="10"/>
    <w:link w:val="55"/>
    <w:unhideWhenUsed/>
    <w:qFormat/>
    <w:uiPriority w:val="99"/>
    <w:rPr>
      <w:b/>
      <w:bCs/>
    </w:r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locked/>
    <w:uiPriority w:val="0"/>
    <w:rPr>
      <w:rFonts w:cs="Times New Roman"/>
      <w:b/>
      <w:bCs/>
    </w:rPr>
  </w:style>
  <w:style w:type="character" w:styleId="34">
    <w:name w:val="page number"/>
    <w:qFormat/>
    <w:uiPriority w:val="0"/>
    <w:rPr>
      <w:rFonts w:cs="Times New Roman"/>
    </w:rPr>
  </w:style>
  <w:style w:type="character" w:styleId="35">
    <w:name w:val="FollowedHyperlink"/>
    <w:basedOn w:val="32"/>
    <w:unhideWhenUsed/>
    <w:qFormat/>
    <w:uiPriority w:val="99"/>
    <w:rPr>
      <w:color w:val="800080"/>
      <w:u w:val="single"/>
    </w:rPr>
  </w:style>
  <w:style w:type="character" w:styleId="36">
    <w:name w:val="Hyperlink"/>
    <w:qFormat/>
    <w:uiPriority w:val="99"/>
    <w:rPr>
      <w:rFonts w:cs="Times New Roman"/>
      <w:color w:val="0000FF"/>
      <w:u w:val="single"/>
    </w:rPr>
  </w:style>
  <w:style w:type="character" w:styleId="37">
    <w:name w:val="annotation reference"/>
    <w:unhideWhenUsed/>
    <w:qFormat/>
    <w:uiPriority w:val="99"/>
    <w:rPr>
      <w:rFonts w:cs="Times New Roman"/>
      <w:sz w:val="21"/>
      <w:szCs w:val="21"/>
    </w:rPr>
  </w:style>
  <w:style w:type="character" w:customStyle="1" w:styleId="38">
    <w:name w:val="标题 1 Char"/>
    <w:link w:val="2"/>
    <w:qFormat/>
    <w:locked/>
    <w:uiPriority w:val="0"/>
    <w:rPr>
      <w:rFonts w:ascii="宋体" w:hAnsi="宋体" w:eastAsia="宋体" w:cs="宋体"/>
      <w:color w:val="000000"/>
      <w:sz w:val="36"/>
    </w:rPr>
  </w:style>
  <w:style w:type="character" w:customStyle="1" w:styleId="39">
    <w:name w:val="标题 2 Char"/>
    <w:link w:val="3"/>
    <w:qFormat/>
    <w:locked/>
    <w:uiPriority w:val="0"/>
    <w:rPr>
      <w:rFonts w:ascii="仿宋" w:hAnsi="仿宋" w:eastAsia="仿宋" w:cs="仿宋"/>
      <w:color w:val="000000"/>
      <w:kern w:val="2"/>
      <w:sz w:val="22"/>
      <w:szCs w:val="22"/>
      <w:lang w:val="en-US" w:eastAsia="zh-CN" w:bidi="ar-SA"/>
    </w:rPr>
  </w:style>
  <w:style w:type="character" w:customStyle="1" w:styleId="40">
    <w:name w:val="标题 3 Char"/>
    <w:link w:val="4"/>
    <w:qFormat/>
    <w:locked/>
    <w:uiPriority w:val="0"/>
    <w:rPr>
      <w:rFonts w:ascii="宋体" w:eastAsia="宋体" w:cs="宋体"/>
      <w:color w:val="000000"/>
      <w:kern w:val="2"/>
      <w:sz w:val="22"/>
      <w:szCs w:val="22"/>
      <w:lang w:val="en-US" w:eastAsia="zh-CN" w:bidi="ar-SA"/>
    </w:rPr>
  </w:style>
  <w:style w:type="character" w:customStyle="1" w:styleId="41">
    <w:name w:val="标题 4 Char"/>
    <w:link w:val="5"/>
    <w:qFormat/>
    <w:locked/>
    <w:uiPriority w:val="0"/>
    <w:rPr>
      <w:rFonts w:ascii="等线 Light" w:hAnsi="等线 Light" w:eastAsia="等线 Light" w:cs="Times New Roman"/>
      <w:b/>
      <w:bCs/>
      <w:color w:val="000000"/>
      <w:sz w:val="28"/>
      <w:szCs w:val="28"/>
    </w:rPr>
  </w:style>
  <w:style w:type="character" w:customStyle="1" w:styleId="42">
    <w:name w:val="标题 5 Char"/>
    <w:link w:val="6"/>
    <w:semiHidden/>
    <w:qFormat/>
    <w:locked/>
    <w:uiPriority w:val="0"/>
    <w:rPr>
      <w:rFonts w:ascii="仿宋" w:hAnsi="仿宋" w:eastAsia="仿宋" w:cs="仿宋"/>
      <w:b/>
      <w:bCs/>
      <w:color w:val="000000"/>
      <w:sz w:val="28"/>
      <w:szCs w:val="28"/>
    </w:rPr>
  </w:style>
  <w:style w:type="character" w:customStyle="1" w:styleId="43">
    <w:name w:val="标题 6 Char"/>
    <w:link w:val="7"/>
    <w:semiHidden/>
    <w:qFormat/>
    <w:locked/>
    <w:uiPriority w:val="0"/>
    <w:rPr>
      <w:rFonts w:ascii="等线 Light" w:hAnsi="等线 Light" w:eastAsia="等线 Light" w:cs="Times New Roman"/>
      <w:b/>
      <w:bCs/>
      <w:color w:val="000000"/>
      <w:sz w:val="24"/>
      <w:szCs w:val="24"/>
    </w:rPr>
  </w:style>
  <w:style w:type="character" w:customStyle="1" w:styleId="44">
    <w:name w:val="文档结构图 Char"/>
    <w:link w:val="9"/>
    <w:qFormat/>
    <w:locked/>
    <w:uiPriority w:val="0"/>
    <w:rPr>
      <w:rFonts w:ascii="宋体" w:hAnsi="仿宋" w:cs="仿宋"/>
      <w:color w:val="000000"/>
      <w:sz w:val="18"/>
      <w:szCs w:val="18"/>
    </w:rPr>
  </w:style>
  <w:style w:type="character" w:customStyle="1" w:styleId="45">
    <w:name w:val="批注文字 Char"/>
    <w:link w:val="10"/>
    <w:qFormat/>
    <w:locked/>
    <w:uiPriority w:val="0"/>
    <w:rPr>
      <w:rFonts w:ascii="仿宋" w:hAnsi="仿宋" w:eastAsia="仿宋" w:cs="仿宋"/>
      <w:color w:val="000000"/>
      <w:sz w:val="22"/>
      <w:szCs w:val="22"/>
    </w:rPr>
  </w:style>
  <w:style w:type="character" w:customStyle="1" w:styleId="46">
    <w:name w:val="正文文本 Char"/>
    <w:link w:val="11"/>
    <w:qFormat/>
    <w:locked/>
    <w:uiPriority w:val="0"/>
    <w:rPr>
      <w:rFonts w:ascii="仿宋" w:hAnsi="仿宋" w:eastAsia="仿宋" w:cs="仿宋"/>
      <w:color w:val="000000"/>
      <w:sz w:val="24"/>
    </w:rPr>
  </w:style>
  <w:style w:type="character" w:customStyle="1" w:styleId="47">
    <w:name w:val="纯文本 Char"/>
    <w:link w:val="14"/>
    <w:qFormat/>
    <w:uiPriority w:val="0"/>
    <w:rPr>
      <w:rFonts w:ascii="宋体" w:hAnsi="Courier New" w:cs="Courier New"/>
      <w:kern w:val="2"/>
      <w:sz w:val="28"/>
      <w:szCs w:val="21"/>
    </w:rPr>
  </w:style>
  <w:style w:type="character" w:customStyle="1" w:styleId="48">
    <w:name w:val="日期 Char"/>
    <w:link w:val="16"/>
    <w:qFormat/>
    <w:locked/>
    <w:uiPriority w:val="0"/>
    <w:rPr>
      <w:rFonts w:ascii="仿宋" w:hAnsi="仿宋" w:eastAsia="仿宋" w:cs="仿宋"/>
      <w:color w:val="000000"/>
      <w:sz w:val="24"/>
    </w:rPr>
  </w:style>
  <w:style w:type="character" w:customStyle="1" w:styleId="49">
    <w:name w:val="批注框文本 Char"/>
    <w:link w:val="17"/>
    <w:qFormat/>
    <w:locked/>
    <w:uiPriority w:val="0"/>
    <w:rPr>
      <w:rFonts w:ascii="仿宋" w:hAnsi="仿宋" w:eastAsia="仿宋" w:cs="仿宋"/>
      <w:color w:val="000000"/>
      <w:sz w:val="18"/>
      <w:szCs w:val="18"/>
    </w:rPr>
  </w:style>
  <w:style w:type="character" w:customStyle="1" w:styleId="50">
    <w:name w:val="页脚 Char"/>
    <w:link w:val="18"/>
    <w:qFormat/>
    <w:locked/>
    <w:uiPriority w:val="0"/>
    <w:rPr>
      <w:rFonts w:cs="Times New Roman"/>
      <w:sz w:val="18"/>
      <w:szCs w:val="18"/>
    </w:rPr>
  </w:style>
  <w:style w:type="character" w:customStyle="1" w:styleId="51">
    <w:name w:val="页眉 Char"/>
    <w:link w:val="19"/>
    <w:qFormat/>
    <w:locked/>
    <w:uiPriority w:val="99"/>
    <w:rPr>
      <w:rFonts w:cs="Times New Roman"/>
      <w:sz w:val="18"/>
      <w:szCs w:val="18"/>
    </w:rPr>
  </w:style>
  <w:style w:type="character" w:customStyle="1" w:styleId="52">
    <w:name w:val="副标题 Char"/>
    <w:link w:val="22"/>
    <w:qFormat/>
    <w:uiPriority w:val="0"/>
    <w:rPr>
      <w:rFonts w:ascii="Cambria" w:hAnsi="Cambria"/>
      <w:b/>
      <w:bCs/>
      <w:kern w:val="28"/>
      <w:sz w:val="32"/>
      <w:szCs w:val="32"/>
    </w:rPr>
  </w:style>
  <w:style w:type="character" w:customStyle="1" w:styleId="53">
    <w:name w:val="正文文本缩进 3 Char"/>
    <w:link w:val="24"/>
    <w:qFormat/>
    <w:locked/>
    <w:uiPriority w:val="0"/>
    <w:rPr>
      <w:rFonts w:ascii="Times New Roman" w:hAnsi="Times New Roman" w:eastAsia="宋体" w:cs="Times New Roman"/>
      <w:sz w:val="16"/>
      <w:szCs w:val="16"/>
    </w:rPr>
  </w:style>
  <w:style w:type="character" w:customStyle="1" w:styleId="54">
    <w:name w:val="标题 Char"/>
    <w:link w:val="28"/>
    <w:qFormat/>
    <w:uiPriority w:val="0"/>
    <w:rPr>
      <w:rFonts w:ascii="Calibri Light" w:hAnsi="Calibri Light" w:cs="黑体"/>
      <w:b/>
      <w:bCs/>
      <w:kern w:val="2"/>
      <w:sz w:val="32"/>
      <w:szCs w:val="32"/>
    </w:rPr>
  </w:style>
  <w:style w:type="character" w:customStyle="1" w:styleId="55">
    <w:name w:val="批注主题 Char"/>
    <w:link w:val="29"/>
    <w:qFormat/>
    <w:locked/>
    <w:uiPriority w:val="0"/>
    <w:rPr>
      <w:rFonts w:ascii="仿宋" w:hAnsi="仿宋" w:eastAsia="仿宋" w:cs="仿宋"/>
      <w:b/>
      <w:bCs/>
      <w:color w:val="000000"/>
      <w:sz w:val="22"/>
      <w:szCs w:val="22"/>
    </w:rPr>
  </w:style>
  <w:style w:type="paragraph" w:styleId="56">
    <w:name w:val="List Paragraph"/>
    <w:basedOn w:val="1"/>
    <w:qFormat/>
    <w:uiPriority w:val="99"/>
    <w:pPr>
      <w:ind w:firstLine="420" w:firstLineChars="200"/>
    </w:pPr>
  </w:style>
  <w:style w:type="paragraph" w:customStyle="1" w:styleId="57">
    <w:name w:val="Default"/>
    <w:qFormat/>
    <w:uiPriority w:val="0"/>
    <w:pPr>
      <w:widowControl w:val="0"/>
      <w:autoSpaceDE w:val="0"/>
      <w:autoSpaceDN w:val="0"/>
      <w:adjustRightInd w:val="0"/>
    </w:pPr>
    <w:rPr>
      <w:rFonts w:ascii="仿宋" w:hAnsi="仿宋" w:eastAsia="等线" w:cs="仿宋"/>
      <w:color w:val="000000"/>
      <w:sz w:val="24"/>
      <w:szCs w:val="24"/>
      <w:lang w:val="en-US" w:eastAsia="zh-CN" w:bidi="ar-SA"/>
    </w:rPr>
  </w:style>
  <w:style w:type="paragraph" w:customStyle="1" w:styleId="58">
    <w:name w:val="Table Paragraph"/>
    <w:basedOn w:val="1"/>
    <w:qFormat/>
    <w:uiPriority w:val="0"/>
    <w:pPr>
      <w:widowControl w:val="0"/>
      <w:spacing w:after="0" w:line="240" w:lineRule="auto"/>
      <w:ind w:left="0" w:firstLine="0"/>
    </w:pPr>
    <w:rPr>
      <w:rFonts w:ascii="等线" w:hAnsi="等线" w:eastAsia="等线" w:cs="Times New Roman"/>
      <w:color w:val="auto"/>
      <w:kern w:val="0"/>
      <w:sz w:val="22"/>
      <w:lang w:eastAsia="en-US"/>
    </w:rPr>
  </w:style>
  <w:style w:type="paragraph" w:customStyle="1" w:styleId="59">
    <w:name w:val="标题1（自）"/>
    <w:next w:val="1"/>
    <w:qFormat/>
    <w:uiPriority w:val="0"/>
    <w:pPr>
      <w:widowControl w:val="0"/>
      <w:spacing w:beforeLines="50" w:afterLines="50"/>
      <w:jc w:val="center"/>
      <w:outlineLvl w:val="0"/>
    </w:pPr>
    <w:rPr>
      <w:rFonts w:ascii="方正小标宋简体" w:hAnsi="方正小标宋简体" w:eastAsia="方正小标宋简体" w:cs="Times New Roman"/>
      <w:sz w:val="44"/>
      <w:szCs w:val="32"/>
      <w:lang w:val="en-US" w:eastAsia="zh-CN" w:bidi="ar-SA"/>
    </w:rPr>
  </w:style>
  <w:style w:type="paragraph" w:customStyle="1" w:styleId="60">
    <w:name w:val="正文（三号）"/>
    <w:qFormat/>
    <w:uiPriority w:val="0"/>
    <w:pPr>
      <w:widowControl w:val="0"/>
      <w:ind w:firstLine="880" w:firstLineChars="200"/>
      <w:jc w:val="both"/>
    </w:pPr>
    <w:rPr>
      <w:rFonts w:ascii="宋体" w:hAnsi="宋体" w:eastAsia="宋体" w:cs="Times New Roman"/>
      <w:sz w:val="28"/>
      <w:szCs w:val="32"/>
      <w:lang w:val="en-US" w:eastAsia="zh-CN" w:bidi="ar-SA"/>
    </w:rPr>
  </w:style>
  <w:style w:type="paragraph" w:customStyle="1" w:styleId="61">
    <w:name w:val="标题2（自）"/>
    <w:next w:val="60"/>
    <w:qFormat/>
    <w:uiPriority w:val="0"/>
    <w:pPr>
      <w:widowControl w:val="0"/>
      <w:spacing w:beforeLines="50" w:afterLines="50"/>
      <w:jc w:val="center"/>
      <w:outlineLvl w:val="1"/>
    </w:pPr>
    <w:rPr>
      <w:rFonts w:ascii="黑体" w:hAnsi="黑体" w:eastAsia="黑体" w:cs="Times New Roman"/>
      <w:b/>
      <w:sz w:val="32"/>
      <w:szCs w:val="32"/>
      <w:lang w:val="en-US" w:eastAsia="zh-CN" w:bidi="ar-SA"/>
    </w:rPr>
  </w:style>
  <w:style w:type="paragraph" w:customStyle="1" w:styleId="62">
    <w:name w:val="段"/>
    <w:link w:val="63"/>
    <w:qFormat/>
    <w:uiPriority w:val="0"/>
    <w:pPr>
      <w:tabs>
        <w:tab w:val="center" w:pos="4201"/>
        <w:tab w:val="right" w:leader="dot" w:pos="9298"/>
      </w:tabs>
      <w:autoSpaceDE w:val="0"/>
      <w:autoSpaceDN w:val="0"/>
      <w:ind w:firstLine="420" w:firstLineChars="200"/>
      <w:jc w:val="both"/>
    </w:pPr>
    <w:rPr>
      <w:rFonts w:ascii="宋体" w:hAnsi="Times New Roman" w:eastAsia="Times New Roman" w:cs="Times New Roman"/>
      <w:sz w:val="21"/>
      <w:lang w:val="en-US" w:eastAsia="zh-CN" w:bidi="ar-SA"/>
    </w:rPr>
  </w:style>
  <w:style w:type="character" w:customStyle="1" w:styleId="63">
    <w:name w:val="段 Char"/>
    <w:link w:val="62"/>
    <w:qFormat/>
    <w:locked/>
    <w:uiPriority w:val="0"/>
    <w:rPr>
      <w:rFonts w:ascii="宋体" w:eastAsia="Times New Roman"/>
      <w:sz w:val="21"/>
      <w:lang w:val="en-US" w:eastAsia="zh-CN" w:bidi="ar-SA"/>
    </w:rPr>
  </w:style>
  <w:style w:type="paragraph" w:customStyle="1" w:styleId="64">
    <w:name w:val="字母编号列项（一级）"/>
    <w:qFormat/>
    <w:uiPriority w:val="0"/>
    <w:pPr>
      <w:tabs>
        <w:tab w:val="left" w:pos="780"/>
        <w:tab w:val="left" w:pos="839"/>
      </w:tabs>
      <w:ind w:left="780" w:hanging="360"/>
      <w:jc w:val="both"/>
    </w:pPr>
    <w:rPr>
      <w:rFonts w:ascii="宋体" w:hAnsi="Times New Roman" w:eastAsia="宋体" w:cs="Times New Roman"/>
      <w:sz w:val="21"/>
      <w:lang w:val="en-US" w:eastAsia="zh-CN" w:bidi="ar-SA"/>
    </w:rPr>
  </w:style>
  <w:style w:type="paragraph" w:customStyle="1" w:styleId="65">
    <w:name w:val="数字编号列项（二级）"/>
    <w:qFormat/>
    <w:uiPriority w:val="0"/>
    <w:pPr>
      <w:tabs>
        <w:tab w:val="left" w:pos="780"/>
        <w:tab w:val="left" w:pos="1259"/>
      </w:tabs>
      <w:ind w:left="780" w:hanging="360"/>
      <w:jc w:val="both"/>
    </w:pPr>
    <w:rPr>
      <w:rFonts w:ascii="宋体" w:hAnsi="Times New Roman" w:eastAsia="宋体" w:cs="Times New Roman"/>
      <w:sz w:val="21"/>
      <w:lang w:val="en-US" w:eastAsia="zh-CN" w:bidi="ar-SA"/>
    </w:rPr>
  </w:style>
  <w:style w:type="paragraph" w:customStyle="1" w:styleId="66">
    <w:name w:val="三级条标题"/>
    <w:basedOn w:val="1"/>
    <w:next w:val="62"/>
    <w:qFormat/>
    <w:uiPriority w:val="0"/>
    <w:pPr>
      <w:tabs>
        <w:tab w:val="left" w:pos="1620"/>
      </w:tabs>
      <w:spacing w:beforeLines="50" w:afterLines="50" w:line="240" w:lineRule="auto"/>
      <w:ind w:left="0" w:hanging="360"/>
      <w:outlineLvl w:val="4"/>
    </w:pPr>
    <w:rPr>
      <w:rFonts w:ascii="黑体" w:hAnsi="Times New Roman" w:eastAsia="黑体" w:cs="Times New Roman"/>
      <w:color w:val="auto"/>
      <w:kern w:val="0"/>
      <w:sz w:val="21"/>
      <w:szCs w:val="21"/>
    </w:rPr>
  </w:style>
  <w:style w:type="paragraph" w:customStyle="1" w:styleId="67">
    <w:name w:val="二级条标题"/>
    <w:basedOn w:val="1"/>
    <w:next w:val="62"/>
    <w:qFormat/>
    <w:uiPriority w:val="0"/>
    <w:pPr>
      <w:tabs>
        <w:tab w:val="left" w:pos="1200"/>
      </w:tabs>
      <w:spacing w:beforeLines="50" w:afterLines="50" w:line="240" w:lineRule="auto"/>
      <w:ind w:left="1200" w:hanging="360"/>
      <w:outlineLvl w:val="3"/>
    </w:pPr>
    <w:rPr>
      <w:rFonts w:ascii="黑体" w:hAnsi="Times New Roman" w:eastAsia="黑体" w:cs="Times New Roman"/>
      <w:color w:val="auto"/>
      <w:kern w:val="0"/>
      <w:sz w:val="21"/>
      <w:szCs w:val="21"/>
    </w:rPr>
  </w:style>
  <w:style w:type="paragraph" w:customStyle="1" w:styleId="68">
    <w:name w:val="附录表标题"/>
    <w:basedOn w:val="1"/>
    <w:next w:val="62"/>
    <w:qFormat/>
    <w:uiPriority w:val="0"/>
    <w:pPr>
      <w:widowControl w:val="0"/>
      <w:spacing w:beforeLines="50" w:afterLines="50" w:line="240" w:lineRule="auto"/>
      <w:ind w:left="567" w:hanging="567"/>
      <w:jc w:val="center"/>
    </w:pPr>
    <w:rPr>
      <w:rFonts w:ascii="黑体" w:hAnsi="Times New Roman" w:eastAsia="黑体" w:cs="Times New Roman"/>
      <w:color w:val="auto"/>
      <w:sz w:val="21"/>
      <w:szCs w:val="21"/>
    </w:rPr>
  </w:style>
  <w:style w:type="paragraph" w:customStyle="1" w:styleId="69">
    <w:name w:val="列出段落1"/>
    <w:basedOn w:val="1"/>
    <w:qFormat/>
    <w:uiPriority w:val="0"/>
    <w:pPr>
      <w:ind w:firstLine="420" w:firstLineChars="200"/>
    </w:pPr>
  </w:style>
  <w:style w:type="paragraph" w:customStyle="1" w:styleId="70">
    <w:name w:val="_Style 62"/>
    <w:basedOn w:val="2"/>
    <w:next w:val="1"/>
    <w:unhideWhenUsed/>
    <w:qFormat/>
    <w:uiPriority w:val="39"/>
    <w:pPr>
      <w:spacing w:before="480" w:after="0" w:line="276" w:lineRule="auto"/>
      <w:ind w:left="0" w:firstLine="0"/>
      <w:jc w:val="left"/>
      <w:outlineLvl w:val="9"/>
    </w:pPr>
    <w:rPr>
      <w:rFonts w:ascii="Cambria" w:hAnsi="Cambria"/>
      <w:b/>
      <w:bCs/>
      <w:color w:val="365F91"/>
      <w:sz w:val="28"/>
      <w:szCs w:val="28"/>
    </w:rPr>
  </w:style>
  <w:style w:type="character" w:customStyle="1" w:styleId="71">
    <w:name w:val="正文文本 Char1"/>
    <w:semiHidden/>
    <w:qFormat/>
    <w:uiPriority w:val="99"/>
    <w:rPr>
      <w:rFonts w:ascii="仿宋" w:hAnsi="仿宋" w:eastAsia="仿宋" w:cs="仿宋"/>
      <w:color w:val="000000"/>
      <w:sz w:val="24"/>
      <w:szCs w:val="22"/>
    </w:rPr>
  </w:style>
  <w:style w:type="character" w:customStyle="1" w:styleId="72">
    <w:name w:val="正文文本 Char123"/>
    <w:semiHidden/>
    <w:qFormat/>
    <w:uiPriority w:val="99"/>
    <w:rPr>
      <w:rFonts w:ascii="仿宋" w:hAnsi="仿宋" w:eastAsia="仿宋" w:cs="仿宋"/>
      <w:color w:val="000000"/>
      <w:sz w:val="22"/>
      <w:szCs w:val="22"/>
    </w:rPr>
  </w:style>
  <w:style w:type="character" w:customStyle="1" w:styleId="73">
    <w:name w:val="正文文本 Char122"/>
    <w:semiHidden/>
    <w:qFormat/>
    <w:uiPriority w:val="99"/>
    <w:rPr>
      <w:rFonts w:ascii="仿宋" w:hAnsi="仿宋" w:eastAsia="仿宋" w:cs="仿宋"/>
      <w:color w:val="000000"/>
      <w:sz w:val="22"/>
      <w:szCs w:val="22"/>
    </w:rPr>
  </w:style>
  <w:style w:type="character" w:customStyle="1" w:styleId="74">
    <w:name w:val="正文文本 Char121"/>
    <w:semiHidden/>
    <w:qFormat/>
    <w:uiPriority w:val="99"/>
    <w:rPr>
      <w:rFonts w:ascii="仿宋" w:hAnsi="仿宋" w:eastAsia="仿宋" w:cs="仿宋"/>
      <w:color w:val="000000"/>
      <w:sz w:val="22"/>
      <w:szCs w:val="22"/>
    </w:rPr>
  </w:style>
  <w:style w:type="character" w:customStyle="1" w:styleId="75">
    <w:name w:val="正文文本 Char120"/>
    <w:semiHidden/>
    <w:qFormat/>
    <w:uiPriority w:val="99"/>
    <w:rPr>
      <w:rFonts w:ascii="仿宋" w:hAnsi="仿宋" w:eastAsia="仿宋" w:cs="仿宋"/>
      <w:color w:val="000000"/>
      <w:sz w:val="22"/>
      <w:szCs w:val="22"/>
    </w:rPr>
  </w:style>
  <w:style w:type="character" w:customStyle="1" w:styleId="76">
    <w:name w:val="正文文本 Char119"/>
    <w:semiHidden/>
    <w:qFormat/>
    <w:uiPriority w:val="99"/>
    <w:rPr>
      <w:rFonts w:ascii="仿宋" w:hAnsi="仿宋" w:eastAsia="仿宋" w:cs="仿宋"/>
      <w:color w:val="000000"/>
      <w:sz w:val="22"/>
      <w:szCs w:val="22"/>
    </w:rPr>
  </w:style>
  <w:style w:type="character" w:customStyle="1" w:styleId="77">
    <w:name w:val="正文文本 Char118"/>
    <w:semiHidden/>
    <w:qFormat/>
    <w:uiPriority w:val="99"/>
    <w:rPr>
      <w:rFonts w:ascii="仿宋" w:hAnsi="仿宋" w:eastAsia="仿宋" w:cs="仿宋"/>
      <w:color w:val="000000"/>
      <w:sz w:val="22"/>
      <w:szCs w:val="22"/>
    </w:rPr>
  </w:style>
  <w:style w:type="character" w:customStyle="1" w:styleId="78">
    <w:name w:val="正文文本 Char117"/>
    <w:semiHidden/>
    <w:qFormat/>
    <w:uiPriority w:val="99"/>
    <w:rPr>
      <w:rFonts w:ascii="仿宋" w:hAnsi="仿宋" w:eastAsia="仿宋" w:cs="仿宋"/>
      <w:color w:val="000000"/>
      <w:sz w:val="22"/>
      <w:szCs w:val="22"/>
    </w:rPr>
  </w:style>
  <w:style w:type="character" w:customStyle="1" w:styleId="79">
    <w:name w:val="正文文本 Char116"/>
    <w:semiHidden/>
    <w:qFormat/>
    <w:uiPriority w:val="99"/>
    <w:rPr>
      <w:rFonts w:ascii="仿宋" w:hAnsi="仿宋" w:eastAsia="仿宋" w:cs="仿宋"/>
      <w:color w:val="000000"/>
      <w:sz w:val="22"/>
      <w:szCs w:val="22"/>
    </w:rPr>
  </w:style>
  <w:style w:type="character" w:customStyle="1" w:styleId="80">
    <w:name w:val="正文文本 Char115"/>
    <w:semiHidden/>
    <w:qFormat/>
    <w:uiPriority w:val="99"/>
    <w:rPr>
      <w:rFonts w:ascii="仿宋" w:hAnsi="仿宋" w:eastAsia="仿宋" w:cs="仿宋"/>
      <w:color w:val="000000"/>
      <w:sz w:val="22"/>
      <w:szCs w:val="22"/>
    </w:rPr>
  </w:style>
  <w:style w:type="character" w:customStyle="1" w:styleId="81">
    <w:name w:val="正文文本 Char114"/>
    <w:semiHidden/>
    <w:qFormat/>
    <w:uiPriority w:val="99"/>
    <w:rPr>
      <w:rFonts w:ascii="仿宋" w:hAnsi="仿宋" w:eastAsia="仿宋" w:cs="仿宋"/>
      <w:color w:val="000000"/>
      <w:sz w:val="22"/>
      <w:szCs w:val="22"/>
    </w:rPr>
  </w:style>
  <w:style w:type="character" w:customStyle="1" w:styleId="82">
    <w:name w:val="正文文本 Char113"/>
    <w:semiHidden/>
    <w:qFormat/>
    <w:uiPriority w:val="99"/>
    <w:rPr>
      <w:rFonts w:ascii="仿宋" w:hAnsi="仿宋" w:eastAsia="仿宋" w:cs="仿宋"/>
      <w:color w:val="000000"/>
      <w:sz w:val="22"/>
      <w:szCs w:val="22"/>
    </w:rPr>
  </w:style>
  <w:style w:type="character" w:customStyle="1" w:styleId="83">
    <w:name w:val="正文文本 Char112"/>
    <w:semiHidden/>
    <w:qFormat/>
    <w:uiPriority w:val="99"/>
    <w:rPr>
      <w:rFonts w:ascii="仿宋" w:hAnsi="仿宋" w:eastAsia="仿宋" w:cs="仿宋"/>
      <w:color w:val="000000"/>
      <w:sz w:val="22"/>
      <w:szCs w:val="22"/>
    </w:rPr>
  </w:style>
  <w:style w:type="character" w:customStyle="1" w:styleId="84">
    <w:name w:val="正文文本 Char111"/>
    <w:semiHidden/>
    <w:qFormat/>
    <w:uiPriority w:val="99"/>
    <w:rPr>
      <w:rFonts w:ascii="仿宋" w:hAnsi="仿宋" w:eastAsia="仿宋" w:cs="仿宋"/>
      <w:color w:val="000000"/>
      <w:sz w:val="22"/>
      <w:szCs w:val="22"/>
    </w:rPr>
  </w:style>
  <w:style w:type="character" w:customStyle="1" w:styleId="85">
    <w:name w:val="正文文本 Char110"/>
    <w:semiHidden/>
    <w:qFormat/>
    <w:uiPriority w:val="99"/>
    <w:rPr>
      <w:rFonts w:ascii="仿宋" w:hAnsi="仿宋" w:eastAsia="仿宋" w:cs="仿宋"/>
      <w:color w:val="000000"/>
      <w:sz w:val="22"/>
      <w:szCs w:val="22"/>
    </w:rPr>
  </w:style>
  <w:style w:type="character" w:customStyle="1" w:styleId="86">
    <w:name w:val="正文文本 Char19"/>
    <w:semiHidden/>
    <w:qFormat/>
    <w:uiPriority w:val="99"/>
    <w:rPr>
      <w:rFonts w:ascii="仿宋" w:hAnsi="仿宋" w:eastAsia="仿宋" w:cs="仿宋"/>
      <w:color w:val="000000"/>
      <w:sz w:val="22"/>
      <w:szCs w:val="22"/>
    </w:rPr>
  </w:style>
  <w:style w:type="character" w:customStyle="1" w:styleId="87">
    <w:name w:val="正文文本 Char18"/>
    <w:semiHidden/>
    <w:qFormat/>
    <w:uiPriority w:val="99"/>
    <w:rPr>
      <w:rFonts w:ascii="仿宋" w:hAnsi="仿宋" w:eastAsia="仿宋" w:cs="仿宋"/>
      <w:color w:val="000000"/>
      <w:sz w:val="22"/>
      <w:szCs w:val="22"/>
    </w:rPr>
  </w:style>
  <w:style w:type="character" w:customStyle="1" w:styleId="88">
    <w:name w:val="正文文本 Char17"/>
    <w:semiHidden/>
    <w:qFormat/>
    <w:uiPriority w:val="99"/>
    <w:rPr>
      <w:rFonts w:ascii="仿宋" w:hAnsi="仿宋" w:eastAsia="仿宋" w:cs="仿宋"/>
      <w:color w:val="000000"/>
      <w:sz w:val="22"/>
      <w:szCs w:val="22"/>
    </w:rPr>
  </w:style>
  <w:style w:type="character" w:customStyle="1" w:styleId="89">
    <w:name w:val="正文文本 Char16"/>
    <w:semiHidden/>
    <w:qFormat/>
    <w:uiPriority w:val="99"/>
    <w:rPr>
      <w:rFonts w:ascii="仿宋" w:hAnsi="仿宋" w:eastAsia="仿宋" w:cs="仿宋"/>
      <w:color w:val="000000"/>
      <w:sz w:val="22"/>
      <w:szCs w:val="22"/>
    </w:rPr>
  </w:style>
  <w:style w:type="character" w:customStyle="1" w:styleId="90">
    <w:name w:val="正文文本 Char15"/>
    <w:semiHidden/>
    <w:qFormat/>
    <w:uiPriority w:val="99"/>
    <w:rPr>
      <w:rFonts w:ascii="仿宋" w:hAnsi="仿宋" w:eastAsia="仿宋" w:cs="仿宋"/>
      <w:color w:val="000000"/>
      <w:sz w:val="22"/>
      <w:szCs w:val="22"/>
    </w:rPr>
  </w:style>
  <w:style w:type="character" w:customStyle="1" w:styleId="91">
    <w:name w:val="正文文本 Char14"/>
    <w:semiHidden/>
    <w:qFormat/>
    <w:uiPriority w:val="99"/>
    <w:rPr>
      <w:rFonts w:ascii="仿宋" w:hAnsi="仿宋" w:eastAsia="仿宋" w:cs="仿宋"/>
      <w:color w:val="000000"/>
      <w:sz w:val="22"/>
      <w:szCs w:val="22"/>
    </w:rPr>
  </w:style>
  <w:style w:type="character" w:customStyle="1" w:styleId="92">
    <w:name w:val="正文文本 Char13"/>
    <w:semiHidden/>
    <w:qFormat/>
    <w:uiPriority w:val="99"/>
    <w:rPr>
      <w:rFonts w:ascii="仿宋" w:hAnsi="仿宋" w:eastAsia="仿宋" w:cs="仿宋"/>
      <w:color w:val="000000"/>
      <w:sz w:val="22"/>
      <w:szCs w:val="22"/>
    </w:rPr>
  </w:style>
  <w:style w:type="character" w:customStyle="1" w:styleId="93">
    <w:name w:val="正文文本 Char12"/>
    <w:semiHidden/>
    <w:qFormat/>
    <w:uiPriority w:val="99"/>
    <w:rPr>
      <w:rFonts w:ascii="仿宋" w:hAnsi="仿宋" w:eastAsia="仿宋" w:cs="仿宋"/>
      <w:color w:val="000000"/>
      <w:sz w:val="22"/>
      <w:szCs w:val="22"/>
    </w:rPr>
  </w:style>
  <w:style w:type="character" w:customStyle="1" w:styleId="94">
    <w:name w:val="正文文本 Char11"/>
    <w:semiHidden/>
    <w:qFormat/>
    <w:uiPriority w:val="99"/>
    <w:rPr>
      <w:rFonts w:ascii="仿宋" w:hAnsi="仿宋" w:eastAsia="仿宋" w:cs="仿宋"/>
      <w:color w:val="000000"/>
      <w:sz w:val="22"/>
      <w:szCs w:val="22"/>
    </w:rPr>
  </w:style>
  <w:style w:type="character" w:customStyle="1" w:styleId="95">
    <w:name w:val="日期 Char1"/>
    <w:semiHidden/>
    <w:qFormat/>
    <w:uiPriority w:val="99"/>
    <w:rPr>
      <w:rFonts w:ascii="仿宋" w:hAnsi="仿宋" w:eastAsia="仿宋" w:cs="仿宋"/>
      <w:color w:val="000000"/>
      <w:sz w:val="24"/>
      <w:szCs w:val="22"/>
    </w:rPr>
  </w:style>
  <w:style w:type="character" w:customStyle="1" w:styleId="96">
    <w:name w:val="日期 Char123"/>
    <w:semiHidden/>
    <w:qFormat/>
    <w:uiPriority w:val="99"/>
    <w:rPr>
      <w:rFonts w:ascii="仿宋" w:hAnsi="仿宋" w:eastAsia="仿宋" w:cs="仿宋"/>
      <w:color w:val="000000"/>
      <w:sz w:val="22"/>
      <w:szCs w:val="22"/>
    </w:rPr>
  </w:style>
  <w:style w:type="character" w:customStyle="1" w:styleId="97">
    <w:name w:val="日期 Char122"/>
    <w:semiHidden/>
    <w:qFormat/>
    <w:uiPriority w:val="99"/>
    <w:rPr>
      <w:rFonts w:ascii="仿宋" w:hAnsi="仿宋" w:eastAsia="仿宋" w:cs="仿宋"/>
      <w:color w:val="000000"/>
      <w:sz w:val="22"/>
      <w:szCs w:val="22"/>
    </w:rPr>
  </w:style>
  <w:style w:type="character" w:customStyle="1" w:styleId="98">
    <w:name w:val="日期 Char121"/>
    <w:semiHidden/>
    <w:qFormat/>
    <w:uiPriority w:val="99"/>
    <w:rPr>
      <w:rFonts w:ascii="仿宋" w:hAnsi="仿宋" w:eastAsia="仿宋" w:cs="仿宋"/>
      <w:color w:val="000000"/>
      <w:sz w:val="22"/>
      <w:szCs w:val="22"/>
    </w:rPr>
  </w:style>
  <w:style w:type="character" w:customStyle="1" w:styleId="99">
    <w:name w:val="日期 Char120"/>
    <w:semiHidden/>
    <w:qFormat/>
    <w:uiPriority w:val="99"/>
    <w:rPr>
      <w:rFonts w:ascii="仿宋" w:hAnsi="仿宋" w:eastAsia="仿宋" w:cs="仿宋"/>
      <w:color w:val="000000"/>
      <w:sz w:val="22"/>
      <w:szCs w:val="22"/>
    </w:rPr>
  </w:style>
  <w:style w:type="character" w:customStyle="1" w:styleId="100">
    <w:name w:val="日期 Char119"/>
    <w:semiHidden/>
    <w:qFormat/>
    <w:uiPriority w:val="99"/>
    <w:rPr>
      <w:rFonts w:ascii="仿宋" w:hAnsi="仿宋" w:eastAsia="仿宋" w:cs="仿宋"/>
      <w:color w:val="000000"/>
      <w:sz w:val="22"/>
      <w:szCs w:val="22"/>
    </w:rPr>
  </w:style>
  <w:style w:type="character" w:customStyle="1" w:styleId="101">
    <w:name w:val="日期 Char118"/>
    <w:semiHidden/>
    <w:qFormat/>
    <w:uiPriority w:val="99"/>
    <w:rPr>
      <w:rFonts w:ascii="仿宋" w:hAnsi="仿宋" w:eastAsia="仿宋" w:cs="仿宋"/>
      <w:color w:val="000000"/>
      <w:sz w:val="22"/>
      <w:szCs w:val="22"/>
    </w:rPr>
  </w:style>
  <w:style w:type="character" w:customStyle="1" w:styleId="102">
    <w:name w:val="日期 Char117"/>
    <w:semiHidden/>
    <w:qFormat/>
    <w:uiPriority w:val="99"/>
    <w:rPr>
      <w:rFonts w:ascii="仿宋" w:hAnsi="仿宋" w:eastAsia="仿宋" w:cs="仿宋"/>
      <w:color w:val="000000"/>
      <w:sz w:val="22"/>
      <w:szCs w:val="22"/>
    </w:rPr>
  </w:style>
  <w:style w:type="character" w:customStyle="1" w:styleId="103">
    <w:name w:val="日期 Char116"/>
    <w:semiHidden/>
    <w:qFormat/>
    <w:uiPriority w:val="99"/>
    <w:rPr>
      <w:rFonts w:ascii="仿宋" w:hAnsi="仿宋" w:eastAsia="仿宋" w:cs="仿宋"/>
      <w:color w:val="000000"/>
      <w:sz w:val="22"/>
      <w:szCs w:val="22"/>
    </w:rPr>
  </w:style>
  <w:style w:type="character" w:customStyle="1" w:styleId="104">
    <w:name w:val="日期 Char115"/>
    <w:semiHidden/>
    <w:qFormat/>
    <w:uiPriority w:val="99"/>
    <w:rPr>
      <w:rFonts w:ascii="仿宋" w:hAnsi="仿宋" w:eastAsia="仿宋" w:cs="仿宋"/>
      <w:color w:val="000000"/>
      <w:sz w:val="22"/>
      <w:szCs w:val="22"/>
    </w:rPr>
  </w:style>
  <w:style w:type="character" w:customStyle="1" w:styleId="105">
    <w:name w:val="日期 Char114"/>
    <w:semiHidden/>
    <w:qFormat/>
    <w:uiPriority w:val="99"/>
    <w:rPr>
      <w:rFonts w:ascii="仿宋" w:hAnsi="仿宋" w:eastAsia="仿宋" w:cs="仿宋"/>
      <w:color w:val="000000"/>
      <w:sz w:val="22"/>
      <w:szCs w:val="22"/>
    </w:rPr>
  </w:style>
  <w:style w:type="character" w:customStyle="1" w:styleId="106">
    <w:name w:val="日期 Char113"/>
    <w:semiHidden/>
    <w:qFormat/>
    <w:uiPriority w:val="99"/>
    <w:rPr>
      <w:rFonts w:ascii="仿宋" w:hAnsi="仿宋" w:eastAsia="仿宋" w:cs="仿宋"/>
      <w:color w:val="000000"/>
      <w:sz w:val="22"/>
      <w:szCs w:val="22"/>
    </w:rPr>
  </w:style>
  <w:style w:type="character" w:customStyle="1" w:styleId="107">
    <w:name w:val="日期 Char112"/>
    <w:semiHidden/>
    <w:qFormat/>
    <w:uiPriority w:val="99"/>
    <w:rPr>
      <w:rFonts w:ascii="仿宋" w:hAnsi="仿宋" w:eastAsia="仿宋" w:cs="仿宋"/>
      <w:color w:val="000000"/>
      <w:sz w:val="22"/>
      <w:szCs w:val="22"/>
    </w:rPr>
  </w:style>
  <w:style w:type="character" w:customStyle="1" w:styleId="108">
    <w:name w:val="日期 Char111"/>
    <w:semiHidden/>
    <w:qFormat/>
    <w:uiPriority w:val="99"/>
    <w:rPr>
      <w:rFonts w:ascii="仿宋" w:hAnsi="仿宋" w:eastAsia="仿宋" w:cs="仿宋"/>
      <w:color w:val="000000"/>
      <w:sz w:val="22"/>
      <w:szCs w:val="22"/>
    </w:rPr>
  </w:style>
  <w:style w:type="character" w:customStyle="1" w:styleId="109">
    <w:name w:val="日期 Char110"/>
    <w:semiHidden/>
    <w:qFormat/>
    <w:uiPriority w:val="99"/>
    <w:rPr>
      <w:rFonts w:ascii="仿宋" w:hAnsi="仿宋" w:eastAsia="仿宋" w:cs="仿宋"/>
      <w:color w:val="000000"/>
      <w:sz w:val="22"/>
      <w:szCs w:val="22"/>
    </w:rPr>
  </w:style>
  <w:style w:type="character" w:customStyle="1" w:styleId="110">
    <w:name w:val="日期 Char19"/>
    <w:semiHidden/>
    <w:qFormat/>
    <w:uiPriority w:val="99"/>
    <w:rPr>
      <w:rFonts w:ascii="仿宋" w:hAnsi="仿宋" w:eastAsia="仿宋" w:cs="仿宋"/>
      <w:color w:val="000000"/>
      <w:sz w:val="22"/>
      <w:szCs w:val="22"/>
    </w:rPr>
  </w:style>
  <w:style w:type="character" w:customStyle="1" w:styleId="111">
    <w:name w:val="日期 Char18"/>
    <w:semiHidden/>
    <w:qFormat/>
    <w:uiPriority w:val="99"/>
    <w:rPr>
      <w:rFonts w:ascii="仿宋" w:hAnsi="仿宋" w:eastAsia="仿宋" w:cs="仿宋"/>
      <w:color w:val="000000"/>
      <w:sz w:val="22"/>
      <w:szCs w:val="22"/>
    </w:rPr>
  </w:style>
  <w:style w:type="character" w:customStyle="1" w:styleId="112">
    <w:name w:val="日期 Char17"/>
    <w:semiHidden/>
    <w:qFormat/>
    <w:uiPriority w:val="99"/>
    <w:rPr>
      <w:rFonts w:ascii="仿宋" w:hAnsi="仿宋" w:eastAsia="仿宋" w:cs="仿宋"/>
      <w:color w:val="000000"/>
      <w:sz w:val="22"/>
      <w:szCs w:val="22"/>
    </w:rPr>
  </w:style>
  <w:style w:type="character" w:customStyle="1" w:styleId="113">
    <w:name w:val="日期 Char16"/>
    <w:semiHidden/>
    <w:qFormat/>
    <w:uiPriority w:val="99"/>
    <w:rPr>
      <w:rFonts w:ascii="仿宋" w:hAnsi="仿宋" w:eastAsia="仿宋" w:cs="仿宋"/>
      <w:color w:val="000000"/>
      <w:sz w:val="22"/>
      <w:szCs w:val="22"/>
    </w:rPr>
  </w:style>
  <w:style w:type="character" w:customStyle="1" w:styleId="114">
    <w:name w:val="日期 Char15"/>
    <w:semiHidden/>
    <w:qFormat/>
    <w:uiPriority w:val="99"/>
    <w:rPr>
      <w:rFonts w:ascii="仿宋" w:hAnsi="仿宋" w:eastAsia="仿宋" w:cs="仿宋"/>
      <w:color w:val="000000"/>
      <w:sz w:val="22"/>
      <w:szCs w:val="22"/>
    </w:rPr>
  </w:style>
  <w:style w:type="character" w:customStyle="1" w:styleId="115">
    <w:name w:val="日期 Char14"/>
    <w:semiHidden/>
    <w:qFormat/>
    <w:uiPriority w:val="99"/>
    <w:rPr>
      <w:rFonts w:ascii="仿宋" w:hAnsi="仿宋" w:eastAsia="仿宋" w:cs="仿宋"/>
      <w:color w:val="000000"/>
      <w:sz w:val="22"/>
      <w:szCs w:val="22"/>
    </w:rPr>
  </w:style>
  <w:style w:type="character" w:customStyle="1" w:styleId="116">
    <w:name w:val="日期 Char13"/>
    <w:semiHidden/>
    <w:qFormat/>
    <w:uiPriority w:val="99"/>
    <w:rPr>
      <w:rFonts w:ascii="仿宋" w:hAnsi="仿宋" w:eastAsia="仿宋" w:cs="仿宋"/>
      <w:color w:val="000000"/>
      <w:sz w:val="22"/>
      <w:szCs w:val="22"/>
    </w:rPr>
  </w:style>
  <w:style w:type="character" w:customStyle="1" w:styleId="117">
    <w:name w:val="日期 Char12"/>
    <w:semiHidden/>
    <w:qFormat/>
    <w:uiPriority w:val="99"/>
    <w:rPr>
      <w:rFonts w:ascii="仿宋" w:hAnsi="仿宋" w:eastAsia="仿宋" w:cs="仿宋"/>
      <w:color w:val="000000"/>
      <w:sz w:val="22"/>
      <w:szCs w:val="22"/>
    </w:rPr>
  </w:style>
  <w:style w:type="character" w:customStyle="1" w:styleId="118">
    <w:name w:val="日期 Char11"/>
    <w:semiHidden/>
    <w:qFormat/>
    <w:uiPriority w:val="99"/>
    <w:rPr>
      <w:rFonts w:ascii="仿宋" w:hAnsi="仿宋" w:eastAsia="仿宋" w:cs="仿宋"/>
      <w:color w:val="000000"/>
      <w:sz w:val="22"/>
      <w:szCs w:val="22"/>
    </w:rPr>
  </w:style>
  <w:style w:type="character" w:customStyle="1" w:styleId="119">
    <w:name w:val="批注框文本 Char1"/>
    <w:semiHidden/>
    <w:qFormat/>
    <w:uiPriority w:val="99"/>
    <w:rPr>
      <w:rFonts w:ascii="仿宋" w:hAnsi="仿宋" w:eastAsia="仿宋" w:cs="仿宋"/>
      <w:color w:val="000000"/>
      <w:sz w:val="18"/>
      <w:szCs w:val="18"/>
    </w:rPr>
  </w:style>
  <w:style w:type="character" w:customStyle="1" w:styleId="120">
    <w:name w:val="批注框文本 Char123"/>
    <w:semiHidden/>
    <w:qFormat/>
    <w:uiPriority w:val="99"/>
    <w:rPr>
      <w:rFonts w:ascii="仿宋" w:hAnsi="仿宋" w:eastAsia="仿宋" w:cs="仿宋"/>
      <w:color w:val="000000"/>
      <w:sz w:val="18"/>
      <w:szCs w:val="18"/>
    </w:rPr>
  </w:style>
  <w:style w:type="character" w:customStyle="1" w:styleId="121">
    <w:name w:val="批注框文本 Char122"/>
    <w:semiHidden/>
    <w:qFormat/>
    <w:uiPriority w:val="99"/>
    <w:rPr>
      <w:rFonts w:ascii="仿宋" w:hAnsi="仿宋" w:eastAsia="仿宋" w:cs="仿宋"/>
      <w:color w:val="000000"/>
      <w:sz w:val="18"/>
      <w:szCs w:val="18"/>
    </w:rPr>
  </w:style>
  <w:style w:type="character" w:customStyle="1" w:styleId="122">
    <w:name w:val="批注框文本 Char121"/>
    <w:semiHidden/>
    <w:qFormat/>
    <w:uiPriority w:val="99"/>
    <w:rPr>
      <w:rFonts w:ascii="仿宋" w:hAnsi="仿宋" w:eastAsia="仿宋" w:cs="仿宋"/>
      <w:color w:val="000000"/>
      <w:sz w:val="18"/>
      <w:szCs w:val="18"/>
    </w:rPr>
  </w:style>
  <w:style w:type="character" w:customStyle="1" w:styleId="123">
    <w:name w:val="批注框文本 Char120"/>
    <w:semiHidden/>
    <w:qFormat/>
    <w:uiPriority w:val="99"/>
    <w:rPr>
      <w:rFonts w:ascii="仿宋" w:hAnsi="仿宋" w:eastAsia="仿宋" w:cs="仿宋"/>
      <w:color w:val="000000"/>
      <w:sz w:val="18"/>
      <w:szCs w:val="18"/>
    </w:rPr>
  </w:style>
  <w:style w:type="character" w:customStyle="1" w:styleId="124">
    <w:name w:val="批注框文本 Char119"/>
    <w:semiHidden/>
    <w:qFormat/>
    <w:uiPriority w:val="99"/>
    <w:rPr>
      <w:rFonts w:ascii="仿宋" w:hAnsi="仿宋" w:eastAsia="仿宋" w:cs="仿宋"/>
      <w:color w:val="000000"/>
      <w:sz w:val="18"/>
      <w:szCs w:val="18"/>
    </w:rPr>
  </w:style>
  <w:style w:type="character" w:customStyle="1" w:styleId="125">
    <w:name w:val="批注框文本 Char118"/>
    <w:semiHidden/>
    <w:qFormat/>
    <w:uiPriority w:val="99"/>
    <w:rPr>
      <w:rFonts w:ascii="仿宋" w:hAnsi="仿宋" w:eastAsia="仿宋" w:cs="仿宋"/>
      <w:color w:val="000000"/>
      <w:sz w:val="18"/>
      <w:szCs w:val="18"/>
    </w:rPr>
  </w:style>
  <w:style w:type="character" w:customStyle="1" w:styleId="126">
    <w:name w:val="批注框文本 Char117"/>
    <w:semiHidden/>
    <w:qFormat/>
    <w:uiPriority w:val="99"/>
    <w:rPr>
      <w:rFonts w:ascii="仿宋" w:hAnsi="仿宋" w:eastAsia="仿宋" w:cs="仿宋"/>
      <w:color w:val="000000"/>
      <w:sz w:val="18"/>
      <w:szCs w:val="18"/>
    </w:rPr>
  </w:style>
  <w:style w:type="character" w:customStyle="1" w:styleId="127">
    <w:name w:val="批注框文本 Char116"/>
    <w:semiHidden/>
    <w:qFormat/>
    <w:uiPriority w:val="99"/>
    <w:rPr>
      <w:rFonts w:ascii="仿宋" w:hAnsi="仿宋" w:eastAsia="仿宋" w:cs="仿宋"/>
      <w:color w:val="000000"/>
      <w:sz w:val="18"/>
      <w:szCs w:val="18"/>
    </w:rPr>
  </w:style>
  <w:style w:type="character" w:customStyle="1" w:styleId="128">
    <w:name w:val="批注框文本 Char115"/>
    <w:semiHidden/>
    <w:qFormat/>
    <w:uiPriority w:val="99"/>
    <w:rPr>
      <w:rFonts w:ascii="仿宋" w:hAnsi="仿宋" w:eastAsia="仿宋" w:cs="仿宋"/>
      <w:color w:val="000000"/>
      <w:sz w:val="18"/>
      <w:szCs w:val="18"/>
    </w:rPr>
  </w:style>
  <w:style w:type="character" w:customStyle="1" w:styleId="129">
    <w:name w:val="批注框文本 Char114"/>
    <w:semiHidden/>
    <w:qFormat/>
    <w:uiPriority w:val="99"/>
    <w:rPr>
      <w:rFonts w:ascii="仿宋" w:hAnsi="仿宋" w:eastAsia="仿宋" w:cs="仿宋"/>
      <w:color w:val="000000"/>
      <w:sz w:val="18"/>
      <w:szCs w:val="18"/>
    </w:rPr>
  </w:style>
  <w:style w:type="character" w:customStyle="1" w:styleId="130">
    <w:name w:val="批注框文本 Char113"/>
    <w:semiHidden/>
    <w:qFormat/>
    <w:uiPriority w:val="99"/>
    <w:rPr>
      <w:rFonts w:ascii="仿宋" w:hAnsi="仿宋" w:eastAsia="仿宋" w:cs="仿宋"/>
      <w:color w:val="000000"/>
      <w:sz w:val="18"/>
      <w:szCs w:val="18"/>
    </w:rPr>
  </w:style>
  <w:style w:type="character" w:customStyle="1" w:styleId="131">
    <w:name w:val="批注框文本 Char112"/>
    <w:semiHidden/>
    <w:qFormat/>
    <w:uiPriority w:val="99"/>
    <w:rPr>
      <w:rFonts w:ascii="仿宋" w:hAnsi="仿宋" w:eastAsia="仿宋" w:cs="仿宋"/>
      <w:color w:val="000000"/>
      <w:sz w:val="18"/>
      <w:szCs w:val="18"/>
    </w:rPr>
  </w:style>
  <w:style w:type="character" w:customStyle="1" w:styleId="132">
    <w:name w:val="批注框文本 Char111"/>
    <w:semiHidden/>
    <w:qFormat/>
    <w:uiPriority w:val="99"/>
    <w:rPr>
      <w:rFonts w:ascii="仿宋" w:hAnsi="仿宋" w:eastAsia="仿宋" w:cs="仿宋"/>
      <w:color w:val="000000"/>
      <w:sz w:val="18"/>
      <w:szCs w:val="18"/>
    </w:rPr>
  </w:style>
  <w:style w:type="character" w:customStyle="1" w:styleId="133">
    <w:name w:val="批注框文本 Char110"/>
    <w:semiHidden/>
    <w:qFormat/>
    <w:uiPriority w:val="99"/>
    <w:rPr>
      <w:rFonts w:ascii="仿宋" w:hAnsi="仿宋" w:eastAsia="仿宋" w:cs="仿宋"/>
      <w:color w:val="000000"/>
      <w:sz w:val="18"/>
      <w:szCs w:val="18"/>
    </w:rPr>
  </w:style>
  <w:style w:type="character" w:customStyle="1" w:styleId="134">
    <w:name w:val="批注框文本 Char19"/>
    <w:semiHidden/>
    <w:qFormat/>
    <w:uiPriority w:val="99"/>
    <w:rPr>
      <w:rFonts w:ascii="仿宋" w:hAnsi="仿宋" w:eastAsia="仿宋" w:cs="仿宋"/>
      <w:color w:val="000000"/>
      <w:sz w:val="18"/>
      <w:szCs w:val="18"/>
    </w:rPr>
  </w:style>
  <w:style w:type="character" w:customStyle="1" w:styleId="135">
    <w:name w:val="批注框文本 Char18"/>
    <w:semiHidden/>
    <w:qFormat/>
    <w:uiPriority w:val="99"/>
    <w:rPr>
      <w:rFonts w:ascii="仿宋" w:hAnsi="仿宋" w:eastAsia="仿宋" w:cs="仿宋"/>
      <w:color w:val="000000"/>
      <w:sz w:val="18"/>
      <w:szCs w:val="18"/>
    </w:rPr>
  </w:style>
  <w:style w:type="character" w:customStyle="1" w:styleId="136">
    <w:name w:val="批注框文本 Char17"/>
    <w:semiHidden/>
    <w:qFormat/>
    <w:uiPriority w:val="99"/>
    <w:rPr>
      <w:rFonts w:ascii="仿宋" w:hAnsi="仿宋" w:eastAsia="仿宋" w:cs="仿宋"/>
      <w:color w:val="000000"/>
      <w:sz w:val="18"/>
      <w:szCs w:val="18"/>
    </w:rPr>
  </w:style>
  <w:style w:type="character" w:customStyle="1" w:styleId="137">
    <w:name w:val="批注框文本 Char16"/>
    <w:semiHidden/>
    <w:qFormat/>
    <w:uiPriority w:val="99"/>
    <w:rPr>
      <w:rFonts w:ascii="仿宋" w:hAnsi="仿宋" w:eastAsia="仿宋" w:cs="仿宋"/>
      <w:color w:val="000000"/>
      <w:sz w:val="18"/>
      <w:szCs w:val="18"/>
    </w:rPr>
  </w:style>
  <w:style w:type="character" w:customStyle="1" w:styleId="138">
    <w:name w:val="批注框文本 Char15"/>
    <w:semiHidden/>
    <w:qFormat/>
    <w:uiPriority w:val="99"/>
    <w:rPr>
      <w:rFonts w:ascii="仿宋" w:hAnsi="仿宋" w:eastAsia="仿宋" w:cs="仿宋"/>
      <w:color w:val="000000"/>
      <w:sz w:val="18"/>
      <w:szCs w:val="18"/>
    </w:rPr>
  </w:style>
  <w:style w:type="character" w:customStyle="1" w:styleId="139">
    <w:name w:val="批注框文本 Char14"/>
    <w:semiHidden/>
    <w:qFormat/>
    <w:uiPriority w:val="99"/>
    <w:rPr>
      <w:rFonts w:ascii="仿宋" w:hAnsi="仿宋" w:eastAsia="仿宋" w:cs="仿宋"/>
      <w:color w:val="000000"/>
      <w:sz w:val="18"/>
      <w:szCs w:val="18"/>
    </w:rPr>
  </w:style>
  <w:style w:type="character" w:customStyle="1" w:styleId="140">
    <w:name w:val="批注框文本 Char13"/>
    <w:semiHidden/>
    <w:qFormat/>
    <w:uiPriority w:val="99"/>
    <w:rPr>
      <w:rFonts w:ascii="仿宋" w:hAnsi="仿宋" w:eastAsia="仿宋" w:cs="仿宋"/>
      <w:color w:val="000000"/>
      <w:sz w:val="18"/>
      <w:szCs w:val="18"/>
    </w:rPr>
  </w:style>
  <w:style w:type="character" w:customStyle="1" w:styleId="141">
    <w:name w:val="批注框文本 Char12"/>
    <w:semiHidden/>
    <w:qFormat/>
    <w:uiPriority w:val="99"/>
    <w:rPr>
      <w:rFonts w:ascii="仿宋" w:hAnsi="仿宋" w:eastAsia="仿宋" w:cs="仿宋"/>
      <w:color w:val="000000"/>
      <w:sz w:val="18"/>
      <w:szCs w:val="18"/>
    </w:rPr>
  </w:style>
  <w:style w:type="character" w:customStyle="1" w:styleId="142">
    <w:name w:val="批注框文本 Char11"/>
    <w:semiHidden/>
    <w:qFormat/>
    <w:uiPriority w:val="99"/>
    <w:rPr>
      <w:rFonts w:ascii="仿宋" w:hAnsi="仿宋" w:eastAsia="仿宋" w:cs="仿宋"/>
      <w:color w:val="000000"/>
      <w:sz w:val="18"/>
      <w:szCs w:val="18"/>
    </w:rPr>
  </w:style>
  <w:style w:type="character" w:customStyle="1" w:styleId="143">
    <w:name w:val="页脚 Char1"/>
    <w:semiHidden/>
    <w:qFormat/>
    <w:uiPriority w:val="99"/>
    <w:rPr>
      <w:rFonts w:ascii="仿宋" w:hAnsi="仿宋" w:eastAsia="仿宋" w:cs="仿宋"/>
      <w:color w:val="000000"/>
      <w:sz w:val="18"/>
      <w:szCs w:val="18"/>
    </w:rPr>
  </w:style>
  <w:style w:type="character" w:customStyle="1" w:styleId="144">
    <w:name w:val="页脚 Char123"/>
    <w:semiHidden/>
    <w:qFormat/>
    <w:uiPriority w:val="99"/>
    <w:rPr>
      <w:rFonts w:ascii="仿宋" w:hAnsi="仿宋" w:eastAsia="仿宋" w:cs="仿宋"/>
      <w:color w:val="000000"/>
      <w:sz w:val="18"/>
      <w:szCs w:val="18"/>
    </w:rPr>
  </w:style>
  <w:style w:type="character" w:customStyle="1" w:styleId="145">
    <w:name w:val="页脚 Char122"/>
    <w:semiHidden/>
    <w:qFormat/>
    <w:uiPriority w:val="99"/>
    <w:rPr>
      <w:rFonts w:ascii="仿宋" w:hAnsi="仿宋" w:eastAsia="仿宋" w:cs="仿宋"/>
      <w:color w:val="000000"/>
      <w:sz w:val="18"/>
      <w:szCs w:val="18"/>
    </w:rPr>
  </w:style>
  <w:style w:type="character" w:customStyle="1" w:styleId="146">
    <w:name w:val="页脚 Char121"/>
    <w:semiHidden/>
    <w:qFormat/>
    <w:uiPriority w:val="99"/>
    <w:rPr>
      <w:rFonts w:ascii="仿宋" w:hAnsi="仿宋" w:eastAsia="仿宋" w:cs="仿宋"/>
      <w:color w:val="000000"/>
      <w:sz w:val="18"/>
      <w:szCs w:val="18"/>
    </w:rPr>
  </w:style>
  <w:style w:type="character" w:customStyle="1" w:styleId="147">
    <w:name w:val="页脚 Char120"/>
    <w:semiHidden/>
    <w:qFormat/>
    <w:uiPriority w:val="99"/>
    <w:rPr>
      <w:rFonts w:ascii="仿宋" w:hAnsi="仿宋" w:eastAsia="仿宋" w:cs="仿宋"/>
      <w:color w:val="000000"/>
      <w:sz w:val="18"/>
      <w:szCs w:val="18"/>
    </w:rPr>
  </w:style>
  <w:style w:type="character" w:customStyle="1" w:styleId="148">
    <w:name w:val="页脚 Char119"/>
    <w:semiHidden/>
    <w:qFormat/>
    <w:uiPriority w:val="99"/>
    <w:rPr>
      <w:rFonts w:ascii="仿宋" w:hAnsi="仿宋" w:eastAsia="仿宋" w:cs="仿宋"/>
      <w:color w:val="000000"/>
      <w:sz w:val="18"/>
      <w:szCs w:val="18"/>
    </w:rPr>
  </w:style>
  <w:style w:type="character" w:customStyle="1" w:styleId="149">
    <w:name w:val="页脚 Char118"/>
    <w:semiHidden/>
    <w:qFormat/>
    <w:uiPriority w:val="99"/>
    <w:rPr>
      <w:rFonts w:ascii="仿宋" w:hAnsi="仿宋" w:eastAsia="仿宋" w:cs="仿宋"/>
      <w:color w:val="000000"/>
      <w:sz w:val="18"/>
      <w:szCs w:val="18"/>
    </w:rPr>
  </w:style>
  <w:style w:type="character" w:customStyle="1" w:styleId="150">
    <w:name w:val="页脚 Char117"/>
    <w:semiHidden/>
    <w:qFormat/>
    <w:uiPriority w:val="99"/>
    <w:rPr>
      <w:rFonts w:ascii="仿宋" w:hAnsi="仿宋" w:eastAsia="仿宋" w:cs="仿宋"/>
      <w:color w:val="000000"/>
      <w:sz w:val="18"/>
      <w:szCs w:val="18"/>
    </w:rPr>
  </w:style>
  <w:style w:type="character" w:customStyle="1" w:styleId="151">
    <w:name w:val="页脚 Char116"/>
    <w:semiHidden/>
    <w:qFormat/>
    <w:uiPriority w:val="99"/>
    <w:rPr>
      <w:rFonts w:ascii="仿宋" w:hAnsi="仿宋" w:eastAsia="仿宋" w:cs="仿宋"/>
      <w:color w:val="000000"/>
      <w:sz w:val="18"/>
      <w:szCs w:val="18"/>
    </w:rPr>
  </w:style>
  <w:style w:type="character" w:customStyle="1" w:styleId="152">
    <w:name w:val="页脚 Char115"/>
    <w:semiHidden/>
    <w:qFormat/>
    <w:uiPriority w:val="99"/>
    <w:rPr>
      <w:rFonts w:ascii="仿宋" w:hAnsi="仿宋" w:eastAsia="仿宋" w:cs="仿宋"/>
      <w:color w:val="000000"/>
      <w:sz w:val="18"/>
      <w:szCs w:val="18"/>
    </w:rPr>
  </w:style>
  <w:style w:type="character" w:customStyle="1" w:styleId="153">
    <w:name w:val="页脚 Char114"/>
    <w:semiHidden/>
    <w:qFormat/>
    <w:uiPriority w:val="99"/>
    <w:rPr>
      <w:rFonts w:ascii="仿宋" w:hAnsi="仿宋" w:eastAsia="仿宋" w:cs="仿宋"/>
      <w:color w:val="000000"/>
      <w:sz w:val="18"/>
      <w:szCs w:val="18"/>
    </w:rPr>
  </w:style>
  <w:style w:type="character" w:customStyle="1" w:styleId="154">
    <w:name w:val="页脚 Char113"/>
    <w:semiHidden/>
    <w:qFormat/>
    <w:uiPriority w:val="99"/>
    <w:rPr>
      <w:rFonts w:ascii="仿宋" w:hAnsi="仿宋" w:eastAsia="仿宋" w:cs="仿宋"/>
      <w:color w:val="000000"/>
      <w:sz w:val="18"/>
      <w:szCs w:val="18"/>
    </w:rPr>
  </w:style>
  <w:style w:type="character" w:customStyle="1" w:styleId="155">
    <w:name w:val="页脚 Char112"/>
    <w:semiHidden/>
    <w:qFormat/>
    <w:uiPriority w:val="99"/>
    <w:rPr>
      <w:rFonts w:ascii="仿宋" w:hAnsi="仿宋" w:eastAsia="仿宋" w:cs="仿宋"/>
      <w:color w:val="000000"/>
      <w:sz w:val="18"/>
      <w:szCs w:val="18"/>
    </w:rPr>
  </w:style>
  <w:style w:type="character" w:customStyle="1" w:styleId="156">
    <w:name w:val="页脚 Char111"/>
    <w:semiHidden/>
    <w:qFormat/>
    <w:uiPriority w:val="99"/>
    <w:rPr>
      <w:rFonts w:ascii="仿宋" w:hAnsi="仿宋" w:eastAsia="仿宋" w:cs="仿宋"/>
      <w:color w:val="000000"/>
      <w:sz w:val="18"/>
      <w:szCs w:val="18"/>
    </w:rPr>
  </w:style>
  <w:style w:type="character" w:customStyle="1" w:styleId="157">
    <w:name w:val="页脚 Char110"/>
    <w:semiHidden/>
    <w:qFormat/>
    <w:uiPriority w:val="99"/>
    <w:rPr>
      <w:rFonts w:ascii="仿宋" w:hAnsi="仿宋" w:eastAsia="仿宋" w:cs="仿宋"/>
      <w:color w:val="000000"/>
      <w:sz w:val="18"/>
      <w:szCs w:val="18"/>
    </w:rPr>
  </w:style>
  <w:style w:type="character" w:customStyle="1" w:styleId="158">
    <w:name w:val="页脚 Char19"/>
    <w:semiHidden/>
    <w:qFormat/>
    <w:uiPriority w:val="99"/>
    <w:rPr>
      <w:rFonts w:ascii="仿宋" w:hAnsi="仿宋" w:eastAsia="仿宋" w:cs="仿宋"/>
      <w:color w:val="000000"/>
      <w:sz w:val="18"/>
      <w:szCs w:val="18"/>
    </w:rPr>
  </w:style>
  <w:style w:type="character" w:customStyle="1" w:styleId="159">
    <w:name w:val="页脚 Char18"/>
    <w:semiHidden/>
    <w:qFormat/>
    <w:uiPriority w:val="99"/>
    <w:rPr>
      <w:rFonts w:ascii="仿宋" w:hAnsi="仿宋" w:eastAsia="仿宋" w:cs="仿宋"/>
      <w:color w:val="000000"/>
      <w:sz w:val="18"/>
      <w:szCs w:val="18"/>
    </w:rPr>
  </w:style>
  <w:style w:type="character" w:customStyle="1" w:styleId="160">
    <w:name w:val="页脚 Char17"/>
    <w:semiHidden/>
    <w:qFormat/>
    <w:uiPriority w:val="99"/>
    <w:rPr>
      <w:rFonts w:ascii="仿宋" w:hAnsi="仿宋" w:eastAsia="仿宋" w:cs="仿宋"/>
      <w:color w:val="000000"/>
      <w:sz w:val="18"/>
      <w:szCs w:val="18"/>
    </w:rPr>
  </w:style>
  <w:style w:type="character" w:customStyle="1" w:styleId="161">
    <w:name w:val="页脚 Char16"/>
    <w:semiHidden/>
    <w:qFormat/>
    <w:uiPriority w:val="99"/>
    <w:rPr>
      <w:rFonts w:ascii="仿宋" w:hAnsi="仿宋" w:eastAsia="仿宋" w:cs="仿宋"/>
      <w:color w:val="000000"/>
      <w:sz w:val="18"/>
      <w:szCs w:val="18"/>
    </w:rPr>
  </w:style>
  <w:style w:type="character" w:customStyle="1" w:styleId="162">
    <w:name w:val="页脚 Char15"/>
    <w:semiHidden/>
    <w:qFormat/>
    <w:uiPriority w:val="99"/>
    <w:rPr>
      <w:rFonts w:ascii="仿宋" w:hAnsi="仿宋" w:eastAsia="仿宋" w:cs="仿宋"/>
      <w:color w:val="000000"/>
      <w:sz w:val="18"/>
      <w:szCs w:val="18"/>
    </w:rPr>
  </w:style>
  <w:style w:type="character" w:customStyle="1" w:styleId="163">
    <w:name w:val="页脚 Char14"/>
    <w:semiHidden/>
    <w:qFormat/>
    <w:uiPriority w:val="99"/>
    <w:rPr>
      <w:rFonts w:ascii="仿宋" w:hAnsi="仿宋" w:eastAsia="仿宋" w:cs="仿宋"/>
      <w:color w:val="000000"/>
      <w:sz w:val="18"/>
      <w:szCs w:val="18"/>
    </w:rPr>
  </w:style>
  <w:style w:type="character" w:customStyle="1" w:styleId="164">
    <w:name w:val="页脚 Char13"/>
    <w:semiHidden/>
    <w:qFormat/>
    <w:uiPriority w:val="99"/>
    <w:rPr>
      <w:rFonts w:ascii="仿宋" w:hAnsi="仿宋" w:eastAsia="仿宋" w:cs="仿宋"/>
      <w:color w:val="000000"/>
      <w:sz w:val="18"/>
      <w:szCs w:val="18"/>
    </w:rPr>
  </w:style>
  <w:style w:type="character" w:customStyle="1" w:styleId="165">
    <w:name w:val="页脚 Char12"/>
    <w:semiHidden/>
    <w:qFormat/>
    <w:uiPriority w:val="99"/>
    <w:rPr>
      <w:rFonts w:ascii="仿宋" w:hAnsi="仿宋" w:eastAsia="仿宋" w:cs="仿宋"/>
      <w:color w:val="000000"/>
      <w:sz w:val="18"/>
      <w:szCs w:val="18"/>
    </w:rPr>
  </w:style>
  <w:style w:type="character" w:customStyle="1" w:styleId="166">
    <w:name w:val="页脚 Char11"/>
    <w:semiHidden/>
    <w:qFormat/>
    <w:uiPriority w:val="99"/>
    <w:rPr>
      <w:rFonts w:ascii="仿宋" w:hAnsi="仿宋" w:eastAsia="仿宋" w:cs="仿宋"/>
      <w:color w:val="000000"/>
      <w:sz w:val="18"/>
      <w:szCs w:val="18"/>
    </w:rPr>
  </w:style>
  <w:style w:type="character" w:customStyle="1" w:styleId="167">
    <w:name w:val="页眉 Char1"/>
    <w:semiHidden/>
    <w:qFormat/>
    <w:uiPriority w:val="99"/>
    <w:rPr>
      <w:rFonts w:ascii="仿宋" w:hAnsi="仿宋" w:eastAsia="仿宋" w:cs="仿宋"/>
      <w:color w:val="000000"/>
      <w:sz w:val="18"/>
      <w:szCs w:val="18"/>
    </w:rPr>
  </w:style>
  <w:style w:type="character" w:customStyle="1" w:styleId="168">
    <w:name w:val="页眉 Char123"/>
    <w:semiHidden/>
    <w:qFormat/>
    <w:uiPriority w:val="99"/>
    <w:rPr>
      <w:rFonts w:ascii="仿宋" w:hAnsi="仿宋" w:eastAsia="仿宋" w:cs="仿宋"/>
      <w:color w:val="000000"/>
      <w:sz w:val="18"/>
      <w:szCs w:val="18"/>
    </w:rPr>
  </w:style>
  <w:style w:type="character" w:customStyle="1" w:styleId="169">
    <w:name w:val="页眉 Char122"/>
    <w:semiHidden/>
    <w:qFormat/>
    <w:uiPriority w:val="99"/>
    <w:rPr>
      <w:rFonts w:ascii="仿宋" w:hAnsi="仿宋" w:eastAsia="仿宋" w:cs="仿宋"/>
      <w:color w:val="000000"/>
      <w:sz w:val="18"/>
      <w:szCs w:val="18"/>
    </w:rPr>
  </w:style>
  <w:style w:type="character" w:customStyle="1" w:styleId="170">
    <w:name w:val="页眉 Char121"/>
    <w:semiHidden/>
    <w:qFormat/>
    <w:uiPriority w:val="99"/>
    <w:rPr>
      <w:rFonts w:ascii="仿宋" w:hAnsi="仿宋" w:eastAsia="仿宋" w:cs="仿宋"/>
      <w:color w:val="000000"/>
      <w:sz w:val="18"/>
      <w:szCs w:val="18"/>
    </w:rPr>
  </w:style>
  <w:style w:type="character" w:customStyle="1" w:styleId="171">
    <w:name w:val="页眉 Char120"/>
    <w:semiHidden/>
    <w:qFormat/>
    <w:uiPriority w:val="99"/>
    <w:rPr>
      <w:rFonts w:ascii="仿宋" w:hAnsi="仿宋" w:eastAsia="仿宋" w:cs="仿宋"/>
      <w:color w:val="000000"/>
      <w:sz w:val="18"/>
      <w:szCs w:val="18"/>
    </w:rPr>
  </w:style>
  <w:style w:type="character" w:customStyle="1" w:styleId="172">
    <w:name w:val="页眉 Char119"/>
    <w:semiHidden/>
    <w:qFormat/>
    <w:uiPriority w:val="99"/>
    <w:rPr>
      <w:rFonts w:ascii="仿宋" w:hAnsi="仿宋" w:eastAsia="仿宋" w:cs="仿宋"/>
      <w:color w:val="000000"/>
      <w:sz w:val="18"/>
      <w:szCs w:val="18"/>
    </w:rPr>
  </w:style>
  <w:style w:type="character" w:customStyle="1" w:styleId="173">
    <w:name w:val="页眉 Char118"/>
    <w:semiHidden/>
    <w:qFormat/>
    <w:uiPriority w:val="99"/>
    <w:rPr>
      <w:rFonts w:ascii="仿宋" w:hAnsi="仿宋" w:eastAsia="仿宋" w:cs="仿宋"/>
      <w:color w:val="000000"/>
      <w:sz w:val="18"/>
      <w:szCs w:val="18"/>
    </w:rPr>
  </w:style>
  <w:style w:type="character" w:customStyle="1" w:styleId="174">
    <w:name w:val="页眉 Char117"/>
    <w:semiHidden/>
    <w:qFormat/>
    <w:uiPriority w:val="99"/>
    <w:rPr>
      <w:rFonts w:ascii="仿宋" w:hAnsi="仿宋" w:eastAsia="仿宋" w:cs="仿宋"/>
      <w:color w:val="000000"/>
      <w:sz w:val="18"/>
      <w:szCs w:val="18"/>
    </w:rPr>
  </w:style>
  <w:style w:type="character" w:customStyle="1" w:styleId="175">
    <w:name w:val="页眉 Char116"/>
    <w:semiHidden/>
    <w:qFormat/>
    <w:uiPriority w:val="99"/>
    <w:rPr>
      <w:rFonts w:ascii="仿宋" w:hAnsi="仿宋" w:eastAsia="仿宋" w:cs="仿宋"/>
      <w:color w:val="000000"/>
      <w:sz w:val="18"/>
      <w:szCs w:val="18"/>
    </w:rPr>
  </w:style>
  <w:style w:type="character" w:customStyle="1" w:styleId="176">
    <w:name w:val="页眉 Char115"/>
    <w:semiHidden/>
    <w:qFormat/>
    <w:uiPriority w:val="99"/>
    <w:rPr>
      <w:rFonts w:ascii="仿宋" w:hAnsi="仿宋" w:eastAsia="仿宋" w:cs="仿宋"/>
      <w:color w:val="000000"/>
      <w:sz w:val="18"/>
      <w:szCs w:val="18"/>
    </w:rPr>
  </w:style>
  <w:style w:type="character" w:customStyle="1" w:styleId="177">
    <w:name w:val="页眉 Char114"/>
    <w:semiHidden/>
    <w:qFormat/>
    <w:uiPriority w:val="99"/>
    <w:rPr>
      <w:rFonts w:ascii="仿宋" w:hAnsi="仿宋" w:eastAsia="仿宋" w:cs="仿宋"/>
      <w:color w:val="000000"/>
      <w:sz w:val="18"/>
      <w:szCs w:val="18"/>
    </w:rPr>
  </w:style>
  <w:style w:type="character" w:customStyle="1" w:styleId="178">
    <w:name w:val="页眉 Char113"/>
    <w:semiHidden/>
    <w:qFormat/>
    <w:uiPriority w:val="99"/>
    <w:rPr>
      <w:rFonts w:ascii="仿宋" w:hAnsi="仿宋" w:eastAsia="仿宋" w:cs="仿宋"/>
      <w:color w:val="000000"/>
      <w:sz w:val="18"/>
      <w:szCs w:val="18"/>
    </w:rPr>
  </w:style>
  <w:style w:type="character" w:customStyle="1" w:styleId="179">
    <w:name w:val="页眉 Char112"/>
    <w:semiHidden/>
    <w:qFormat/>
    <w:uiPriority w:val="99"/>
    <w:rPr>
      <w:rFonts w:ascii="仿宋" w:hAnsi="仿宋" w:eastAsia="仿宋" w:cs="仿宋"/>
      <w:color w:val="000000"/>
      <w:sz w:val="18"/>
      <w:szCs w:val="18"/>
    </w:rPr>
  </w:style>
  <w:style w:type="character" w:customStyle="1" w:styleId="180">
    <w:name w:val="页眉 Char111"/>
    <w:semiHidden/>
    <w:qFormat/>
    <w:uiPriority w:val="99"/>
    <w:rPr>
      <w:rFonts w:ascii="仿宋" w:hAnsi="仿宋" w:eastAsia="仿宋" w:cs="仿宋"/>
      <w:color w:val="000000"/>
      <w:sz w:val="18"/>
      <w:szCs w:val="18"/>
    </w:rPr>
  </w:style>
  <w:style w:type="character" w:customStyle="1" w:styleId="181">
    <w:name w:val="页眉 Char110"/>
    <w:semiHidden/>
    <w:qFormat/>
    <w:uiPriority w:val="99"/>
    <w:rPr>
      <w:rFonts w:ascii="仿宋" w:hAnsi="仿宋" w:eastAsia="仿宋" w:cs="仿宋"/>
      <w:color w:val="000000"/>
      <w:sz w:val="18"/>
      <w:szCs w:val="18"/>
    </w:rPr>
  </w:style>
  <w:style w:type="character" w:customStyle="1" w:styleId="182">
    <w:name w:val="页眉 Char19"/>
    <w:semiHidden/>
    <w:qFormat/>
    <w:uiPriority w:val="99"/>
    <w:rPr>
      <w:rFonts w:ascii="仿宋" w:hAnsi="仿宋" w:eastAsia="仿宋" w:cs="仿宋"/>
      <w:color w:val="000000"/>
      <w:sz w:val="18"/>
      <w:szCs w:val="18"/>
    </w:rPr>
  </w:style>
  <w:style w:type="character" w:customStyle="1" w:styleId="183">
    <w:name w:val="页眉 Char18"/>
    <w:semiHidden/>
    <w:qFormat/>
    <w:uiPriority w:val="99"/>
    <w:rPr>
      <w:rFonts w:ascii="仿宋" w:hAnsi="仿宋" w:eastAsia="仿宋" w:cs="仿宋"/>
      <w:color w:val="000000"/>
      <w:sz w:val="18"/>
      <w:szCs w:val="18"/>
    </w:rPr>
  </w:style>
  <w:style w:type="character" w:customStyle="1" w:styleId="184">
    <w:name w:val="页眉 Char17"/>
    <w:semiHidden/>
    <w:qFormat/>
    <w:uiPriority w:val="99"/>
    <w:rPr>
      <w:rFonts w:ascii="仿宋" w:hAnsi="仿宋" w:eastAsia="仿宋" w:cs="仿宋"/>
      <w:color w:val="000000"/>
      <w:sz w:val="18"/>
      <w:szCs w:val="18"/>
    </w:rPr>
  </w:style>
  <w:style w:type="character" w:customStyle="1" w:styleId="185">
    <w:name w:val="页眉 Char16"/>
    <w:semiHidden/>
    <w:qFormat/>
    <w:uiPriority w:val="99"/>
    <w:rPr>
      <w:rFonts w:ascii="仿宋" w:hAnsi="仿宋" w:eastAsia="仿宋" w:cs="仿宋"/>
      <w:color w:val="000000"/>
      <w:sz w:val="18"/>
      <w:szCs w:val="18"/>
    </w:rPr>
  </w:style>
  <w:style w:type="character" w:customStyle="1" w:styleId="186">
    <w:name w:val="页眉 Char15"/>
    <w:semiHidden/>
    <w:qFormat/>
    <w:uiPriority w:val="99"/>
    <w:rPr>
      <w:rFonts w:ascii="仿宋" w:hAnsi="仿宋" w:eastAsia="仿宋" w:cs="仿宋"/>
      <w:color w:val="000000"/>
      <w:sz w:val="18"/>
      <w:szCs w:val="18"/>
    </w:rPr>
  </w:style>
  <w:style w:type="character" w:customStyle="1" w:styleId="187">
    <w:name w:val="页眉 Char14"/>
    <w:semiHidden/>
    <w:qFormat/>
    <w:uiPriority w:val="99"/>
    <w:rPr>
      <w:rFonts w:ascii="仿宋" w:hAnsi="仿宋" w:eastAsia="仿宋" w:cs="仿宋"/>
      <w:color w:val="000000"/>
      <w:sz w:val="18"/>
      <w:szCs w:val="18"/>
    </w:rPr>
  </w:style>
  <w:style w:type="character" w:customStyle="1" w:styleId="188">
    <w:name w:val="页眉 Char13"/>
    <w:semiHidden/>
    <w:qFormat/>
    <w:uiPriority w:val="99"/>
    <w:rPr>
      <w:rFonts w:ascii="仿宋" w:hAnsi="仿宋" w:eastAsia="仿宋" w:cs="仿宋"/>
      <w:color w:val="000000"/>
      <w:sz w:val="18"/>
      <w:szCs w:val="18"/>
    </w:rPr>
  </w:style>
  <w:style w:type="character" w:customStyle="1" w:styleId="189">
    <w:name w:val="页眉 Char12"/>
    <w:semiHidden/>
    <w:qFormat/>
    <w:uiPriority w:val="99"/>
    <w:rPr>
      <w:rFonts w:ascii="仿宋" w:hAnsi="仿宋" w:eastAsia="仿宋" w:cs="仿宋"/>
      <w:color w:val="000000"/>
      <w:sz w:val="18"/>
      <w:szCs w:val="18"/>
    </w:rPr>
  </w:style>
  <w:style w:type="character" w:customStyle="1" w:styleId="190">
    <w:name w:val="页眉 Char11"/>
    <w:semiHidden/>
    <w:qFormat/>
    <w:uiPriority w:val="99"/>
    <w:rPr>
      <w:rFonts w:ascii="仿宋" w:hAnsi="仿宋" w:eastAsia="仿宋" w:cs="仿宋"/>
      <w:color w:val="000000"/>
      <w:sz w:val="18"/>
      <w:szCs w:val="18"/>
    </w:rPr>
  </w:style>
  <w:style w:type="character" w:customStyle="1" w:styleId="191">
    <w:name w:val="正文文本缩进 3 Char1"/>
    <w:semiHidden/>
    <w:qFormat/>
    <w:uiPriority w:val="99"/>
    <w:rPr>
      <w:rFonts w:ascii="仿宋" w:hAnsi="仿宋" w:eastAsia="仿宋" w:cs="仿宋"/>
      <w:color w:val="000000"/>
      <w:sz w:val="16"/>
      <w:szCs w:val="16"/>
    </w:rPr>
  </w:style>
  <w:style w:type="character" w:customStyle="1" w:styleId="192">
    <w:name w:val="正文文本缩进 3 Char123"/>
    <w:semiHidden/>
    <w:qFormat/>
    <w:uiPriority w:val="99"/>
    <w:rPr>
      <w:rFonts w:ascii="仿宋" w:hAnsi="仿宋" w:eastAsia="仿宋" w:cs="仿宋"/>
      <w:color w:val="000000"/>
      <w:sz w:val="16"/>
      <w:szCs w:val="16"/>
    </w:rPr>
  </w:style>
  <w:style w:type="character" w:customStyle="1" w:styleId="193">
    <w:name w:val="正文文本缩进 3 Char122"/>
    <w:semiHidden/>
    <w:qFormat/>
    <w:uiPriority w:val="99"/>
    <w:rPr>
      <w:rFonts w:ascii="仿宋" w:hAnsi="仿宋" w:eastAsia="仿宋" w:cs="仿宋"/>
      <w:color w:val="000000"/>
      <w:sz w:val="16"/>
      <w:szCs w:val="16"/>
    </w:rPr>
  </w:style>
  <w:style w:type="character" w:customStyle="1" w:styleId="194">
    <w:name w:val="正文文本缩进 3 Char121"/>
    <w:semiHidden/>
    <w:qFormat/>
    <w:uiPriority w:val="99"/>
    <w:rPr>
      <w:rFonts w:ascii="仿宋" w:hAnsi="仿宋" w:eastAsia="仿宋" w:cs="仿宋"/>
      <w:color w:val="000000"/>
      <w:sz w:val="16"/>
      <w:szCs w:val="16"/>
    </w:rPr>
  </w:style>
  <w:style w:type="character" w:customStyle="1" w:styleId="195">
    <w:name w:val="正文文本缩进 3 Char120"/>
    <w:semiHidden/>
    <w:qFormat/>
    <w:uiPriority w:val="99"/>
    <w:rPr>
      <w:rFonts w:ascii="仿宋" w:hAnsi="仿宋" w:eastAsia="仿宋" w:cs="仿宋"/>
      <w:color w:val="000000"/>
      <w:sz w:val="16"/>
      <w:szCs w:val="16"/>
    </w:rPr>
  </w:style>
  <w:style w:type="character" w:customStyle="1" w:styleId="196">
    <w:name w:val="正文文本缩进 3 Char119"/>
    <w:semiHidden/>
    <w:qFormat/>
    <w:uiPriority w:val="99"/>
    <w:rPr>
      <w:rFonts w:ascii="仿宋" w:hAnsi="仿宋" w:eastAsia="仿宋" w:cs="仿宋"/>
      <w:color w:val="000000"/>
      <w:sz w:val="16"/>
      <w:szCs w:val="16"/>
    </w:rPr>
  </w:style>
  <w:style w:type="character" w:customStyle="1" w:styleId="197">
    <w:name w:val="正文文本缩进 3 Char118"/>
    <w:semiHidden/>
    <w:qFormat/>
    <w:uiPriority w:val="99"/>
    <w:rPr>
      <w:rFonts w:ascii="仿宋" w:hAnsi="仿宋" w:eastAsia="仿宋" w:cs="仿宋"/>
      <w:color w:val="000000"/>
      <w:sz w:val="16"/>
      <w:szCs w:val="16"/>
    </w:rPr>
  </w:style>
  <w:style w:type="character" w:customStyle="1" w:styleId="198">
    <w:name w:val="正文文本缩进 3 Char117"/>
    <w:semiHidden/>
    <w:qFormat/>
    <w:uiPriority w:val="99"/>
    <w:rPr>
      <w:rFonts w:ascii="仿宋" w:hAnsi="仿宋" w:eastAsia="仿宋" w:cs="仿宋"/>
      <w:color w:val="000000"/>
      <w:sz w:val="16"/>
      <w:szCs w:val="16"/>
    </w:rPr>
  </w:style>
  <w:style w:type="character" w:customStyle="1" w:styleId="199">
    <w:name w:val="正文文本缩进 3 Char116"/>
    <w:semiHidden/>
    <w:qFormat/>
    <w:uiPriority w:val="99"/>
    <w:rPr>
      <w:rFonts w:ascii="仿宋" w:hAnsi="仿宋" w:eastAsia="仿宋" w:cs="仿宋"/>
      <w:color w:val="000000"/>
      <w:sz w:val="16"/>
      <w:szCs w:val="16"/>
    </w:rPr>
  </w:style>
  <w:style w:type="character" w:customStyle="1" w:styleId="200">
    <w:name w:val="正文文本缩进 3 Char115"/>
    <w:semiHidden/>
    <w:qFormat/>
    <w:uiPriority w:val="99"/>
    <w:rPr>
      <w:rFonts w:ascii="仿宋" w:hAnsi="仿宋" w:eastAsia="仿宋" w:cs="仿宋"/>
      <w:color w:val="000000"/>
      <w:sz w:val="16"/>
      <w:szCs w:val="16"/>
    </w:rPr>
  </w:style>
  <w:style w:type="character" w:customStyle="1" w:styleId="201">
    <w:name w:val="正文文本缩进 3 Char114"/>
    <w:semiHidden/>
    <w:qFormat/>
    <w:uiPriority w:val="99"/>
    <w:rPr>
      <w:rFonts w:ascii="仿宋" w:hAnsi="仿宋" w:eastAsia="仿宋" w:cs="仿宋"/>
      <w:color w:val="000000"/>
      <w:sz w:val="16"/>
      <w:szCs w:val="16"/>
    </w:rPr>
  </w:style>
  <w:style w:type="character" w:customStyle="1" w:styleId="202">
    <w:name w:val="正文文本缩进 3 Char113"/>
    <w:semiHidden/>
    <w:qFormat/>
    <w:uiPriority w:val="99"/>
    <w:rPr>
      <w:rFonts w:ascii="仿宋" w:hAnsi="仿宋" w:eastAsia="仿宋" w:cs="仿宋"/>
      <w:color w:val="000000"/>
      <w:sz w:val="16"/>
      <w:szCs w:val="16"/>
    </w:rPr>
  </w:style>
  <w:style w:type="character" w:customStyle="1" w:styleId="203">
    <w:name w:val="正文文本缩进 3 Char112"/>
    <w:semiHidden/>
    <w:qFormat/>
    <w:uiPriority w:val="99"/>
    <w:rPr>
      <w:rFonts w:ascii="仿宋" w:hAnsi="仿宋" w:eastAsia="仿宋" w:cs="仿宋"/>
      <w:color w:val="000000"/>
      <w:sz w:val="16"/>
      <w:szCs w:val="16"/>
    </w:rPr>
  </w:style>
  <w:style w:type="character" w:customStyle="1" w:styleId="204">
    <w:name w:val="正文文本缩进 3 Char111"/>
    <w:semiHidden/>
    <w:qFormat/>
    <w:uiPriority w:val="99"/>
    <w:rPr>
      <w:rFonts w:ascii="仿宋" w:hAnsi="仿宋" w:eastAsia="仿宋" w:cs="仿宋"/>
      <w:color w:val="000000"/>
      <w:sz w:val="16"/>
      <w:szCs w:val="16"/>
    </w:rPr>
  </w:style>
  <w:style w:type="character" w:customStyle="1" w:styleId="205">
    <w:name w:val="正文文本缩进 3 Char110"/>
    <w:semiHidden/>
    <w:qFormat/>
    <w:uiPriority w:val="99"/>
    <w:rPr>
      <w:rFonts w:ascii="仿宋" w:hAnsi="仿宋" w:eastAsia="仿宋" w:cs="仿宋"/>
      <w:color w:val="000000"/>
      <w:sz w:val="16"/>
      <w:szCs w:val="16"/>
    </w:rPr>
  </w:style>
  <w:style w:type="character" w:customStyle="1" w:styleId="206">
    <w:name w:val="正文文本缩进 3 Char19"/>
    <w:semiHidden/>
    <w:qFormat/>
    <w:uiPriority w:val="99"/>
    <w:rPr>
      <w:rFonts w:ascii="仿宋" w:hAnsi="仿宋" w:eastAsia="仿宋" w:cs="仿宋"/>
      <w:color w:val="000000"/>
      <w:sz w:val="16"/>
      <w:szCs w:val="16"/>
    </w:rPr>
  </w:style>
  <w:style w:type="character" w:customStyle="1" w:styleId="207">
    <w:name w:val="正文文本缩进 3 Char18"/>
    <w:semiHidden/>
    <w:qFormat/>
    <w:uiPriority w:val="99"/>
    <w:rPr>
      <w:rFonts w:ascii="仿宋" w:hAnsi="仿宋" w:eastAsia="仿宋" w:cs="仿宋"/>
      <w:color w:val="000000"/>
      <w:sz w:val="16"/>
      <w:szCs w:val="16"/>
    </w:rPr>
  </w:style>
  <w:style w:type="character" w:customStyle="1" w:styleId="208">
    <w:name w:val="正文文本缩进 3 Char17"/>
    <w:semiHidden/>
    <w:qFormat/>
    <w:uiPriority w:val="99"/>
    <w:rPr>
      <w:rFonts w:ascii="仿宋" w:hAnsi="仿宋" w:eastAsia="仿宋" w:cs="仿宋"/>
      <w:color w:val="000000"/>
      <w:sz w:val="16"/>
      <w:szCs w:val="16"/>
    </w:rPr>
  </w:style>
  <w:style w:type="character" w:customStyle="1" w:styleId="209">
    <w:name w:val="正文文本缩进 3 Char16"/>
    <w:semiHidden/>
    <w:qFormat/>
    <w:uiPriority w:val="99"/>
    <w:rPr>
      <w:rFonts w:ascii="仿宋" w:hAnsi="仿宋" w:eastAsia="仿宋" w:cs="仿宋"/>
      <w:color w:val="000000"/>
      <w:sz w:val="16"/>
      <w:szCs w:val="16"/>
    </w:rPr>
  </w:style>
  <w:style w:type="character" w:customStyle="1" w:styleId="210">
    <w:name w:val="正文文本缩进 3 Char15"/>
    <w:semiHidden/>
    <w:qFormat/>
    <w:uiPriority w:val="99"/>
    <w:rPr>
      <w:rFonts w:ascii="仿宋" w:hAnsi="仿宋" w:eastAsia="仿宋" w:cs="仿宋"/>
      <w:color w:val="000000"/>
      <w:sz w:val="16"/>
      <w:szCs w:val="16"/>
    </w:rPr>
  </w:style>
  <w:style w:type="character" w:customStyle="1" w:styleId="211">
    <w:name w:val="正文文本缩进 3 Char14"/>
    <w:semiHidden/>
    <w:qFormat/>
    <w:uiPriority w:val="99"/>
    <w:rPr>
      <w:rFonts w:ascii="仿宋" w:hAnsi="仿宋" w:eastAsia="仿宋" w:cs="仿宋"/>
      <w:color w:val="000000"/>
      <w:sz w:val="16"/>
      <w:szCs w:val="16"/>
    </w:rPr>
  </w:style>
  <w:style w:type="character" w:customStyle="1" w:styleId="212">
    <w:name w:val="正文文本缩进 3 Char13"/>
    <w:semiHidden/>
    <w:qFormat/>
    <w:uiPriority w:val="99"/>
    <w:rPr>
      <w:rFonts w:ascii="仿宋" w:hAnsi="仿宋" w:eastAsia="仿宋" w:cs="仿宋"/>
      <w:color w:val="000000"/>
      <w:sz w:val="16"/>
      <w:szCs w:val="16"/>
    </w:rPr>
  </w:style>
  <w:style w:type="character" w:customStyle="1" w:styleId="213">
    <w:name w:val="正文文本缩进 3 Char12"/>
    <w:semiHidden/>
    <w:qFormat/>
    <w:uiPriority w:val="99"/>
    <w:rPr>
      <w:rFonts w:ascii="仿宋" w:hAnsi="仿宋" w:eastAsia="仿宋" w:cs="仿宋"/>
      <w:color w:val="000000"/>
      <w:sz w:val="16"/>
      <w:szCs w:val="16"/>
    </w:rPr>
  </w:style>
  <w:style w:type="character" w:customStyle="1" w:styleId="214">
    <w:name w:val="正文文本缩进 3 Char11"/>
    <w:semiHidden/>
    <w:qFormat/>
    <w:uiPriority w:val="99"/>
    <w:rPr>
      <w:rFonts w:ascii="仿宋" w:hAnsi="仿宋" w:eastAsia="仿宋" w:cs="仿宋"/>
      <w:color w:val="000000"/>
      <w:sz w:val="16"/>
      <w:szCs w:val="16"/>
    </w:rPr>
  </w:style>
  <w:style w:type="character" w:customStyle="1" w:styleId="215">
    <w:name w:val="未处理的提及1"/>
    <w:semiHidden/>
    <w:qFormat/>
    <w:uiPriority w:val="99"/>
    <w:rPr>
      <w:rFonts w:cs="Times New Roman"/>
      <w:color w:val="605E5C"/>
      <w:shd w:val="clear" w:color="auto" w:fill="E1DFDD"/>
    </w:rPr>
  </w:style>
  <w:style w:type="character" w:customStyle="1" w:styleId="216">
    <w:name w:val="Footer Char"/>
    <w:qFormat/>
    <w:locked/>
    <w:uiPriority w:val="0"/>
    <w:rPr>
      <w:rFonts w:cs="Times New Roman"/>
      <w:sz w:val="18"/>
      <w:szCs w:val="18"/>
    </w:rPr>
  </w:style>
  <w:style w:type="character" w:customStyle="1" w:styleId="217">
    <w:name w:val="Header Char"/>
    <w:qFormat/>
    <w:locked/>
    <w:uiPriority w:val="0"/>
    <w:rPr>
      <w:rFonts w:cs="Times New Roman"/>
      <w:sz w:val="18"/>
      <w:szCs w:val="18"/>
    </w:rPr>
  </w:style>
  <w:style w:type="table" w:customStyle="1" w:styleId="218">
    <w:name w:val="TableGrid"/>
    <w:qFormat/>
    <w:uiPriority w:val="99"/>
    <w:tblPr>
      <w:tblCellMar>
        <w:top w:w="0" w:type="dxa"/>
        <w:left w:w="0" w:type="dxa"/>
        <w:bottom w:w="0" w:type="dxa"/>
        <w:right w:w="0" w:type="dxa"/>
      </w:tblCellMar>
    </w:tblPr>
  </w:style>
  <w:style w:type="table" w:customStyle="1" w:styleId="219">
    <w:name w:val="Table Normal1"/>
    <w:semiHidden/>
    <w:qFormat/>
    <w:uiPriority w:val="99"/>
    <w:pPr>
      <w:widowControl w:val="0"/>
    </w:pPr>
    <w:rPr>
      <w:sz w:val="22"/>
      <w:lang w:eastAsia="en-US"/>
    </w:rPr>
    <w:tblPr>
      <w:tblCellMar>
        <w:top w:w="0" w:type="dxa"/>
        <w:left w:w="0" w:type="dxa"/>
        <w:bottom w:w="0" w:type="dxa"/>
        <w:right w:w="0" w:type="dxa"/>
      </w:tblCellMar>
    </w:tblPr>
  </w:style>
  <w:style w:type="table" w:customStyle="1" w:styleId="220">
    <w:name w:val="网格型1"/>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
    <w:name w:val="网格型2"/>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
    <w:name w:val="网格型3"/>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
    <w:name w:val="网格型4"/>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
    <w:name w:val="网格型5"/>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25">
    <w:name w:val="正文文本缩进 Char"/>
    <w:link w:val="226"/>
    <w:qFormat/>
    <w:uiPriority w:val="0"/>
    <w:rPr>
      <w:rFonts w:ascii="Calibri" w:hAnsi="Calibri" w:cs="黑体"/>
      <w:kern w:val="2"/>
      <w:sz w:val="24"/>
      <w:szCs w:val="22"/>
    </w:rPr>
  </w:style>
  <w:style w:type="paragraph" w:customStyle="1" w:styleId="226">
    <w:name w:val="正文文本缩进1"/>
    <w:basedOn w:val="1"/>
    <w:link w:val="225"/>
    <w:qFormat/>
    <w:uiPriority w:val="0"/>
    <w:pPr>
      <w:widowControl w:val="0"/>
      <w:spacing w:after="120" w:line="240" w:lineRule="auto"/>
      <w:ind w:left="420" w:leftChars="200" w:firstLine="0"/>
      <w:jc w:val="both"/>
    </w:pPr>
    <w:rPr>
      <w:rFonts w:ascii="Calibri" w:hAnsi="Calibri" w:eastAsia="宋体" w:cs="黑体"/>
      <w:color w:val="auto"/>
    </w:rPr>
  </w:style>
  <w:style w:type="character" w:customStyle="1" w:styleId="227">
    <w:name w:val="5-正文 Char"/>
    <w:link w:val="228"/>
    <w:qFormat/>
    <w:uiPriority w:val="0"/>
    <w:rPr>
      <w:kern w:val="2"/>
      <w:sz w:val="24"/>
      <w:szCs w:val="24"/>
    </w:rPr>
  </w:style>
  <w:style w:type="paragraph" w:customStyle="1" w:styleId="228">
    <w:name w:val="5-正文"/>
    <w:basedOn w:val="1"/>
    <w:link w:val="227"/>
    <w:qFormat/>
    <w:uiPriority w:val="0"/>
    <w:pPr>
      <w:widowControl w:val="0"/>
      <w:spacing w:before="100" w:beforeAutospacing="1" w:after="100" w:afterAutospacing="1" w:line="360" w:lineRule="auto"/>
      <w:ind w:left="0" w:firstLine="480" w:firstLineChars="200"/>
      <w:jc w:val="both"/>
    </w:pPr>
    <w:rPr>
      <w:rFonts w:ascii="Times New Roman" w:hAnsi="Times New Roman" w:eastAsia="宋体" w:cs="Times New Roman"/>
      <w:color w:val="auto"/>
      <w:szCs w:val="24"/>
    </w:rPr>
  </w:style>
  <w:style w:type="character" w:customStyle="1" w:styleId="229">
    <w:name w:val="加粗小标 Char Char"/>
    <w:link w:val="230"/>
    <w:qFormat/>
    <w:uiPriority w:val="0"/>
    <w:rPr>
      <w:b/>
      <w:kern w:val="2"/>
      <w:sz w:val="24"/>
      <w:szCs w:val="24"/>
    </w:rPr>
  </w:style>
  <w:style w:type="paragraph" w:customStyle="1" w:styleId="230">
    <w:name w:val="加粗小标"/>
    <w:basedOn w:val="1"/>
    <w:next w:val="1"/>
    <w:link w:val="229"/>
    <w:qFormat/>
    <w:uiPriority w:val="0"/>
    <w:pPr>
      <w:widowControl w:val="0"/>
      <w:tabs>
        <w:tab w:val="left" w:pos="360"/>
        <w:tab w:val="left" w:pos="567"/>
        <w:tab w:val="left" w:pos="1620"/>
      </w:tabs>
      <w:spacing w:after="0" w:line="360" w:lineRule="auto"/>
      <w:ind w:left="1620" w:hanging="360"/>
      <w:jc w:val="center"/>
      <w:textAlignment w:val="center"/>
      <w:outlineLvl w:val="4"/>
    </w:pPr>
    <w:rPr>
      <w:rFonts w:ascii="Times New Roman" w:hAnsi="Times New Roman" w:eastAsia="宋体" w:cs="Times New Roman"/>
      <w:b/>
      <w:color w:val="auto"/>
      <w:szCs w:val="24"/>
    </w:rPr>
  </w:style>
  <w:style w:type="character" w:customStyle="1" w:styleId="231">
    <w:name w:val="表格标题 Char"/>
    <w:link w:val="232"/>
    <w:qFormat/>
    <w:uiPriority w:val="0"/>
    <w:rPr>
      <w:rFonts w:ascii="Arial" w:hAnsi="Arial"/>
      <w:b/>
      <w:kern w:val="28"/>
      <w:sz w:val="24"/>
      <w:szCs w:val="24"/>
    </w:rPr>
  </w:style>
  <w:style w:type="paragraph" w:customStyle="1" w:styleId="232">
    <w:name w:val="表格标题"/>
    <w:next w:val="1"/>
    <w:link w:val="231"/>
    <w:qFormat/>
    <w:uiPriority w:val="0"/>
    <w:pPr>
      <w:overflowPunct w:val="0"/>
      <w:spacing w:beforeLines="50" w:afterLines="50"/>
      <w:jc w:val="center"/>
    </w:pPr>
    <w:rPr>
      <w:rFonts w:ascii="Arial" w:hAnsi="Arial" w:eastAsia="宋体" w:cs="Times New Roman"/>
      <w:b/>
      <w:kern w:val="28"/>
      <w:sz w:val="24"/>
      <w:szCs w:val="24"/>
      <w:lang w:val="en-US" w:eastAsia="zh-CN" w:bidi="ar-SA"/>
    </w:rPr>
  </w:style>
  <w:style w:type="character" w:customStyle="1" w:styleId="233">
    <w:name w:val="正文缩进 Char"/>
    <w:link w:val="234"/>
    <w:qFormat/>
    <w:uiPriority w:val="0"/>
    <w:rPr>
      <w:kern w:val="2"/>
      <w:sz w:val="24"/>
    </w:rPr>
  </w:style>
  <w:style w:type="paragraph" w:customStyle="1" w:styleId="234">
    <w:name w:val="正文缩进1"/>
    <w:basedOn w:val="1"/>
    <w:link w:val="233"/>
    <w:qFormat/>
    <w:uiPriority w:val="0"/>
    <w:pPr>
      <w:widowControl w:val="0"/>
      <w:spacing w:after="0" w:line="240" w:lineRule="auto"/>
      <w:ind w:left="0" w:firstLine="420"/>
      <w:jc w:val="both"/>
    </w:pPr>
    <w:rPr>
      <w:rFonts w:ascii="Times New Roman" w:hAnsi="Times New Roman" w:eastAsia="宋体" w:cs="Times New Roman"/>
      <w:color w:val="auto"/>
      <w:szCs w:val="20"/>
    </w:rPr>
  </w:style>
  <w:style w:type="character" w:customStyle="1" w:styleId="235">
    <w:name w:val="图表 Char Char"/>
    <w:link w:val="236"/>
    <w:qFormat/>
    <w:uiPriority w:val="0"/>
    <w:rPr>
      <w:rFonts w:ascii="宋体" w:hAnsi="宋体"/>
      <w:kern w:val="2"/>
      <w:sz w:val="21"/>
      <w:szCs w:val="21"/>
    </w:rPr>
  </w:style>
  <w:style w:type="paragraph" w:customStyle="1" w:styleId="236">
    <w:name w:val="图表"/>
    <w:link w:val="235"/>
    <w:qFormat/>
    <w:uiPriority w:val="0"/>
    <w:pPr>
      <w:spacing w:line="300" w:lineRule="exact"/>
      <w:jc w:val="center"/>
    </w:pPr>
    <w:rPr>
      <w:rFonts w:ascii="宋体" w:hAnsi="宋体" w:eastAsia="宋体" w:cs="Times New Roman"/>
      <w:kern w:val="2"/>
      <w:sz w:val="21"/>
      <w:szCs w:val="21"/>
      <w:lang w:val="en-US" w:eastAsia="zh-CN" w:bidi="ar-SA"/>
    </w:rPr>
  </w:style>
  <w:style w:type="character" w:customStyle="1" w:styleId="237">
    <w:name w:val="图片表格 Char Char"/>
    <w:link w:val="238"/>
    <w:qFormat/>
    <w:uiPriority w:val="0"/>
    <w:rPr>
      <w:color w:val="FF0000"/>
      <w:kern w:val="2"/>
      <w:sz w:val="24"/>
      <w:szCs w:val="24"/>
    </w:rPr>
  </w:style>
  <w:style w:type="paragraph" w:customStyle="1" w:styleId="238">
    <w:name w:val="图片表格"/>
    <w:basedOn w:val="1"/>
    <w:link w:val="237"/>
    <w:qFormat/>
    <w:uiPriority w:val="0"/>
    <w:pPr>
      <w:widowControl w:val="0"/>
      <w:spacing w:after="0" w:line="360" w:lineRule="auto"/>
      <w:ind w:left="0" w:firstLine="0"/>
      <w:jc w:val="center"/>
      <w:textAlignment w:val="center"/>
    </w:pPr>
    <w:rPr>
      <w:rFonts w:ascii="Times New Roman" w:hAnsi="Times New Roman" w:eastAsia="宋体" w:cs="Times New Roman"/>
      <w:color w:val="FF0000"/>
      <w:szCs w:val="24"/>
    </w:rPr>
  </w:style>
  <w:style w:type="character" w:customStyle="1" w:styleId="239">
    <w:name w:val="正文文本缩进 2 Char"/>
    <w:link w:val="240"/>
    <w:qFormat/>
    <w:uiPriority w:val="0"/>
    <w:rPr>
      <w:kern w:val="2"/>
      <w:sz w:val="21"/>
      <w:szCs w:val="24"/>
    </w:rPr>
  </w:style>
  <w:style w:type="paragraph" w:customStyle="1" w:styleId="240">
    <w:name w:val="正文文本缩进 21"/>
    <w:basedOn w:val="1"/>
    <w:link w:val="239"/>
    <w:qFormat/>
    <w:uiPriority w:val="0"/>
    <w:pPr>
      <w:widowControl w:val="0"/>
      <w:tabs>
        <w:tab w:val="left" w:pos="780"/>
        <w:tab w:val="left" w:pos="1080"/>
      </w:tabs>
      <w:spacing w:after="120" w:line="480" w:lineRule="auto"/>
      <w:ind w:left="420" w:leftChars="200" w:firstLine="0"/>
      <w:jc w:val="both"/>
    </w:pPr>
    <w:rPr>
      <w:rFonts w:ascii="Times New Roman" w:hAnsi="Times New Roman" w:eastAsia="宋体" w:cs="Times New Roman"/>
      <w:color w:val="auto"/>
      <w:sz w:val="21"/>
      <w:szCs w:val="24"/>
    </w:rPr>
  </w:style>
  <w:style w:type="character" w:customStyle="1" w:styleId="241">
    <w:name w:val="正文文本 2 Char1"/>
    <w:link w:val="242"/>
    <w:qFormat/>
    <w:uiPriority w:val="0"/>
    <w:rPr>
      <w:rFonts w:ascii="Arial" w:hAnsi="Arial"/>
      <w:kern w:val="24"/>
      <w:sz w:val="24"/>
      <w:szCs w:val="24"/>
    </w:rPr>
  </w:style>
  <w:style w:type="paragraph" w:customStyle="1" w:styleId="242">
    <w:name w:val="正文文本 21"/>
    <w:basedOn w:val="1"/>
    <w:link w:val="241"/>
    <w:qFormat/>
    <w:uiPriority w:val="0"/>
    <w:pPr>
      <w:widowControl w:val="0"/>
      <w:snapToGrid w:val="0"/>
      <w:spacing w:beforeLines="50" w:afterLines="50" w:line="360" w:lineRule="auto"/>
      <w:ind w:left="0" w:firstLine="472" w:firstLineChars="200"/>
    </w:pPr>
    <w:rPr>
      <w:rFonts w:ascii="Arial" w:hAnsi="Arial" w:eastAsia="宋体" w:cs="Times New Roman"/>
      <w:color w:val="auto"/>
      <w:kern w:val="24"/>
      <w:szCs w:val="24"/>
    </w:rPr>
  </w:style>
  <w:style w:type="character" w:customStyle="1" w:styleId="243">
    <w:name w:val="正文首行缩进 Char"/>
    <w:basedOn w:val="46"/>
    <w:link w:val="244"/>
    <w:qFormat/>
    <w:uiPriority w:val="0"/>
    <w:rPr>
      <w:rFonts w:ascii="仿宋" w:hAnsi="仿宋" w:eastAsia="仿宋" w:cs="仿宋"/>
      <w:color w:val="000000"/>
      <w:kern w:val="2"/>
      <w:sz w:val="21"/>
      <w:szCs w:val="24"/>
    </w:rPr>
  </w:style>
  <w:style w:type="paragraph" w:customStyle="1" w:styleId="244">
    <w:name w:val="正文首行缩进1"/>
    <w:basedOn w:val="11"/>
    <w:link w:val="243"/>
    <w:qFormat/>
    <w:uiPriority w:val="0"/>
    <w:pPr>
      <w:widowControl w:val="0"/>
      <w:spacing w:line="240" w:lineRule="auto"/>
      <w:ind w:left="0" w:firstLine="420" w:firstLineChars="100"/>
      <w:jc w:val="both"/>
    </w:pPr>
    <w:rPr>
      <w:rFonts w:ascii="Times New Roman" w:hAnsi="Times New Roman" w:eastAsia="宋体"/>
      <w:color w:val="auto"/>
      <w:kern w:val="2"/>
      <w:sz w:val="21"/>
      <w:szCs w:val="24"/>
    </w:rPr>
  </w:style>
  <w:style w:type="character" w:customStyle="1" w:styleId="245">
    <w:name w:val="正文文本 2 Char"/>
    <w:link w:val="246"/>
    <w:qFormat/>
    <w:uiPriority w:val="0"/>
    <w:rPr>
      <w:kern w:val="2"/>
      <w:sz w:val="21"/>
      <w:szCs w:val="24"/>
    </w:rPr>
  </w:style>
  <w:style w:type="paragraph" w:customStyle="1" w:styleId="246">
    <w:name w:val="正文文本 22"/>
    <w:basedOn w:val="1"/>
    <w:link w:val="245"/>
    <w:qFormat/>
    <w:uiPriority w:val="0"/>
    <w:pPr>
      <w:widowControl w:val="0"/>
      <w:spacing w:after="120" w:line="480" w:lineRule="auto"/>
      <w:ind w:left="0" w:firstLine="0"/>
      <w:jc w:val="both"/>
    </w:pPr>
    <w:rPr>
      <w:rFonts w:ascii="Times New Roman" w:hAnsi="Times New Roman" w:eastAsia="宋体" w:cs="Times New Roman"/>
      <w:color w:val="auto"/>
      <w:sz w:val="21"/>
      <w:szCs w:val="24"/>
    </w:rPr>
  </w:style>
  <w:style w:type="character" w:customStyle="1" w:styleId="247">
    <w:name w:val="表格文字 Char"/>
    <w:link w:val="248"/>
    <w:qFormat/>
    <w:uiPriority w:val="0"/>
    <w:rPr>
      <w:rFonts w:ascii="Arial" w:hAnsi="Arial Unicode MS"/>
      <w:bCs/>
      <w:snapToGrid w:val="0"/>
      <w:kern w:val="2"/>
      <w:sz w:val="21"/>
      <w:szCs w:val="21"/>
    </w:rPr>
  </w:style>
  <w:style w:type="paragraph" w:customStyle="1" w:styleId="248">
    <w:name w:val="表格文字"/>
    <w:link w:val="247"/>
    <w:qFormat/>
    <w:uiPriority w:val="0"/>
    <w:pPr>
      <w:widowControl w:val="0"/>
      <w:autoSpaceDE w:val="0"/>
      <w:autoSpaceDN w:val="0"/>
      <w:adjustRightInd w:val="0"/>
      <w:snapToGrid w:val="0"/>
      <w:jc w:val="center"/>
      <w:textAlignment w:val="center"/>
    </w:pPr>
    <w:rPr>
      <w:rFonts w:ascii="Arial" w:hAnsi="Arial Unicode MS" w:eastAsia="宋体" w:cs="Times New Roman"/>
      <w:bCs/>
      <w:snapToGrid w:val="0"/>
      <w:kern w:val="2"/>
      <w:sz w:val="21"/>
      <w:szCs w:val="21"/>
      <w:lang w:val="en-US" w:eastAsia="zh-CN" w:bidi="ar-SA"/>
    </w:rPr>
  </w:style>
  <w:style w:type="character" w:customStyle="1" w:styleId="249">
    <w:name w:val="标题3 Char"/>
    <w:link w:val="250"/>
    <w:qFormat/>
    <w:uiPriority w:val="0"/>
    <w:rPr>
      <w:rFonts w:ascii="宋体" w:hAnsi="宋体" w:eastAsia="黑体"/>
      <w:b/>
      <w:bCs/>
      <w:color w:val="008000"/>
      <w:kern w:val="2"/>
      <w:sz w:val="24"/>
      <w:szCs w:val="24"/>
    </w:rPr>
  </w:style>
  <w:style w:type="paragraph" w:customStyle="1" w:styleId="250">
    <w:name w:val="标题3"/>
    <w:basedOn w:val="4"/>
    <w:link w:val="249"/>
    <w:qFormat/>
    <w:uiPriority w:val="0"/>
    <w:pPr>
      <w:widowControl w:val="0"/>
      <w:spacing w:after="0" w:line="360" w:lineRule="auto"/>
      <w:ind w:left="0" w:firstLine="241" w:firstLineChars="100"/>
      <w:jc w:val="both"/>
    </w:pPr>
    <w:rPr>
      <w:rFonts w:hAnsi="宋体" w:eastAsia="黑体" w:cs="Times New Roman"/>
      <w:b/>
      <w:bCs/>
      <w:color w:val="008000"/>
      <w:sz w:val="24"/>
      <w:szCs w:val="24"/>
    </w:rPr>
  </w:style>
  <w:style w:type="character" w:customStyle="1" w:styleId="251">
    <w:name w:val="标准正文 Char"/>
    <w:link w:val="252"/>
    <w:qFormat/>
    <w:uiPriority w:val="0"/>
    <w:rPr>
      <w:rFonts w:ascii="Arial" w:hAnsi="Arial"/>
      <w:kern w:val="2"/>
      <w:sz w:val="24"/>
      <w:szCs w:val="24"/>
    </w:rPr>
  </w:style>
  <w:style w:type="paragraph" w:customStyle="1" w:styleId="252">
    <w:name w:val="标准正文"/>
    <w:basedOn w:val="1"/>
    <w:link w:val="251"/>
    <w:qFormat/>
    <w:uiPriority w:val="0"/>
    <w:pPr>
      <w:widowControl w:val="0"/>
      <w:spacing w:after="0" w:line="360" w:lineRule="auto"/>
      <w:ind w:left="0" w:firstLine="480" w:firstLineChars="200"/>
      <w:jc w:val="both"/>
    </w:pPr>
    <w:rPr>
      <w:rFonts w:ascii="Arial" w:hAnsi="Arial" w:eastAsia="宋体" w:cs="Times New Roman"/>
      <w:color w:val="auto"/>
      <w:szCs w:val="24"/>
    </w:rPr>
  </w:style>
  <w:style w:type="character" w:customStyle="1" w:styleId="253">
    <w:name w:val="t正文 Char"/>
    <w:link w:val="254"/>
    <w:qFormat/>
    <w:uiPriority w:val="0"/>
    <w:rPr>
      <w:rFonts w:ascii="宋体" w:hAnsi="宋体"/>
      <w:color w:val="000000"/>
      <w:kern w:val="2"/>
      <w:sz w:val="24"/>
      <w:szCs w:val="24"/>
    </w:rPr>
  </w:style>
  <w:style w:type="paragraph" w:customStyle="1" w:styleId="254">
    <w:name w:val="t正文"/>
    <w:basedOn w:val="1"/>
    <w:link w:val="253"/>
    <w:qFormat/>
    <w:uiPriority w:val="0"/>
    <w:pPr>
      <w:widowControl w:val="0"/>
      <w:spacing w:after="0" w:line="360" w:lineRule="auto"/>
      <w:ind w:left="0" w:firstLine="200" w:firstLineChars="200"/>
      <w:jc w:val="both"/>
    </w:pPr>
    <w:rPr>
      <w:rFonts w:ascii="宋体" w:hAnsi="宋体" w:eastAsia="宋体" w:cs="Times New Roman"/>
      <w:szCs w:val="24"/>
    </w:rPr>
  </w:style>
  <w:style w:type="character" w:customStyle="1" w:styleId="255">
    <w:name w:val="注释部分 Char"/>
    <w:link w:val="256"/>
    <w:qFormat/>
    <w:uiPriority w:val="0"/>
    <w:rPr>
      <w:rFonts w:ascii="Arial" w:hAnsi="Arial"/>
      <w:sz w:val="21"/>
      <w:szCs w:val="21"/>
    </w:rPr>
  </w:style>
  <w:style w:type="paragraph" w:customStyle="1" w:styleId="256">
    <w:name w:val="注释部分"/>
    <w:basedOn w:val="1"/>
    <w:link w:val="255"/>
    <w:qFormat/>
    <w:uiPriority w:val="0"/>
    <w:pPr>
      <w:widowControl w:val="0"/>
      <w:spacing w:after="0" w:line="240" w:lineRule="auto"/>
      <w:ind w:left="0" w:firstLine="420" w:firstLineChars="200"/>
      <w:jc w:val="both"/>
    </w:pPr>
    <w:rPr>
      <w:rFonts w:ascii="Arial" w:hAnsi="Arial" w:eastAsia="宋体" w:cs="Times New Roman"/>
      <w:color w:val="auto"/>
      <w:kern w:val="0"/>
      <w:sz w:val="21"/>
      <w:szCs w:val="21"/>
    </w:rPr>
  </w:style>
  <w:style w:type="character" w:customStyle="1" w:styleId="257">
    <w:name w:val="纯文本 Char1"/>
    <w:basedOn w:val="32"/>
    <w:semiHidden/>
    <w:qFormat/>
    <w:uiPriority w:val="99"/>
    <w:rPr>
      <w:rFonts w:ascii="宋体" w:hAnsi="Courier New" w:cs="Courier New"/>
      <w:color w:val="000000"/>
      <w:kern w:val="2"/>
      <w:sz w:val="21"/>
      <w:szCs w:val="21"/>
    </w:rPr>
  </w:style>
  <w:style w:type="character" w:customStyle="1" w:styleId="258">
    <w:name w:val="标题 Char1"/>
    <w:basedOn w:val="32"/>
    <w:qFormat/>
    <w:uiPriority w:val="0"/>
    <w:rPr>
      <w:rFonts w:asciiTheme="majorHAnsi" w:hAnsiTheme="majorHAnsi" w:cstheme="majorBidi"/>
      <w:b/>
      <w:bCs/>
      <w:color w:val="000000"/>
      <w:kern w:val="2"/>
      <w:sz w:val="32"/>
      <w:szCs w:val="32"/>
    </w:rPr>
  </w:style>
  <w:style w:type="character" w:customStyle="1" w:styleId="259">
    <w:name w:val="副标题 Char1"/>
    <w:basedOn w:val="32"/>
    <w:qFormat/>
    <w:uiPriority w:val="0"/>
    <w:rPr>
      <w:rFonts w:asciiTheme="majorHAnsi" w:hAnsiTheme="majorHAnsi" w:cstheme="majorBidi"/>
      <w:b/>
      <w:bCs/>
      <w:color w:val="000000"/>
      <w:kern w:val="28"/>
      <w:sz w:val="32"/>
      <w:szCs w:val="32"/>
    </w:rPr>
  </w:style>
  <w:style w:type="paragraph" w:customStyle="1" w:styleId="260">
    <w:name w:val="font5"/>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1">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62">
    <w:name w:val="xl66"/>
    <w:basedOn w:val="1"/>
    <w:qFormat/>
    <w:uiPriority w:val="0"/>
    <w:pP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63">
    <w:name w:val="xl67"/>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4">
    <w:name w:val="xl68"/>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5">
    <w:name w:val="xl69"/>
    <w:basedOn w:val="1"/>
    <w:qFormat/>
    <w:uiPriority w:val="0"/>
    <w:pPr>
      <w:shd w:val="clear" w:color="000000" w:fill="FFFF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6">
    <w:name w:val="xl70"/>
    <w:basedOn w:val="1"/>
    <w:qFormat/>
    <w:uiPriority w:val="0"/>
    <w:pPr>
      <w:shd w:val="clear" w:color="000000" w:fill="0080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7">
    <w:name w:val="xl71"/>
    <w:basedOn w:val="1"/>
    <w:qFormat/>
    <w:uiPriority w:val="0"/>
    <w:pPr>
      <w:shd w:val="clear" w:color="000000" w:fill="99CCFF"/>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69">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0">
    <w:name w:val="xl7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1">
    <w:name w:val="xl75"/>
    <w:basedOn w:val="1"/>
    <w:qFormat/>
    <w:uiPriority w:val="0"/>
    <w:pPr>
      <w:pBdr>
        <w:top w:val="single" w:color="auto" w:sz="4" w:space="0"/>
        <w:left w:val="single" w:color="auto" w:sz="4" w:space="0"/>
        <w:bottom w:val="single" w:color="auto" w:sz="4" w:space="0"/>
        <w:right w:val="single" w:color="auto" w:sz="4" w:space="0"/>
      </w:pBdr>
      <w:shd w:val="clear" w:color="000000" w:fill="00800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2">
    <w:name w:val="xl76"/>
    <w:basedOn w:val="1"/>
    <w:qFormat/>
    <w:uiPriority w:val="0"/>
    <w:pPr>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3">
    <w:name w:val="xl77"/>
    <w:basedOn w:val="1"/>
    <w:qFormat/>
    <w:uiPriority w:val="0"/>
    <w:pPr>
      <w:shd w:val="clear" w:color="000000" w:fill="99CCFF"/>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4">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5">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76">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7">
    <w:name w:val="xl81"/>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8">
    <w:name w:val="xl82"/>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9">
    <w:name w:val="xl83"/>
    <w:basedOn w:val="1"/>
    <w:qFormat/>
    <w:uiPriority w:val="0"/>
    <w:pPr>
      <w:shd w:val="clear" w:color="000000" w:fill="FFFF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0">
    <w:name w:val="xl84"/>
    <w:basedOn w:val="1"/>
    <w:qFormat/>
    <w:uiPriority w:val="0"/>
    <w:pPr>
      <w:shd w:val="clear" w:color="000000" w:fill="0080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1">
    <w:name w:val="xl8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82">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83">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84">
    <w:name w:val="xl63"/>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5">
    <w:name w:val="xl64"/>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6">
    <w:name w:val="批注框文本1"/>
    <w:basedOn w:val="1"/>
    <w:qFormat/>
    <w:uiPriority w:val="0"/>
    <w:pPr>
      <w:widowControl w:val="0"/>
      <w:spacing w:after="0" w:line="240" w:lineRule="auto"/>
      <w:ind w:left="0" w:firstLine="0"/>
      <w:jc w:val="both"/>
    </w:pPr>
    <w:rPr>
      <w:rFonts w:ascii="Calibri" w:hAnsi="Calibri" w:eastAsia="宋体" w:cs="Times New Roman"/>
      <w:color w:val="auto"/>
      <w:sz w:val="18"/>
      <w:szCs w:val="18"/>
    </w:rPr>
  </w:style>
  <w:style w:type="table" w:customStyle="1" w:styleId="287">
    <w:name w:val="网格型6"/>
    <w:basedOn w:val="3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8">
    <w:name w:val="TOC Heading"/>
    <w:basedOn w:val="2"/>
    <w:next w:val="1"/>
    <w:unhideWhenUsed/>
    <w:qFormat/>
    <w:uiPriority w:val="39"/>
    <w:pPr>
      <w:spacing w:before="480" w:after="0" w:line="276" w:lineRule="auto"/>
      <w:ind w:left="0" w:firstLine="0"/>
      <w:jc w:val="left"/>
      <w:outlineLvl w:val="9"/>
    </w:pPr>
    <w:rPr>
      <w:rFonts w:asciiTheme="majorHAnsi" w:hAnsiTheme="majorHAnsi" w:eastAsiaTheme="majorEastAsia" w:cstheme="majorBidi"/>
      <w:b/>
      <w:bCs/>
      <w:color w:val="366091" w:themeColor="accent1" w:themeShade="BF"/>
      <w:sz w:val="28"/>
      <w:szCs w:val="28"/>
    </w:rPr>
  </w:style>
  <w:style w:type="table" w:customStyle="1" w:styleId="289">
    <w:name w:val="网格型7"/>
    <w:basedOn w:val="3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104"/>
    <customShpInfo spid="_x0000_s4103"/>
    <customShpInfo spid="_x0000_s4102"/>
    <customShpInfo spid="_x0000_s4101"/>
    <customShpInfo spid="_x0000_s4100"/>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ABE02F-ACD6-4DC7-8B8E-E1201F0EFC0E}">
  <ds:schemaRefs/>
</ds:datastoreItem>
</file>

<file path=docProps/app.xml><?xml version="1.0" encoding="utf-8"?>
<Properties xmlns="http://schemas.openxmlformats.org/officeDocument/2006/extended-properties" xmlns:vt="http://schemas.openxmlformats.org/officeDocument/2006/docPropsVTypes">
  <Template>Normal</Template>
  <Pages>64</Pages>
  <Words>26448</Words>
  <Characters>26985</Characters>
  <Lines>241</Lines>
  <Paragraphs>68</Paragraphs>
  <TotalTime>0</TotalTime>
  <ScaleCrop>false</ScaleCrop>
  <LinksUpToDate>false</LinksUpToDate>
  <CharactersWithSpaces>28111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2020-06-09T11:17:00Z</dcterms:created>
  <dc:creator>G X</dc:creator>
  <cp:lastModifiedBy>单调的黑白</cp:lastModifiedBy>
  <cp:lastPrinted>2019-06-14T05:25:00Z</cp:lastPrinted>
  <dcterms:modified xsi:type="dcterms:W3CDTF">2022-06-17T07:11:17Z</dcterms:modified>
  <dc:title>安全生产标准化手册第二册</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3B293D2E7EE8462CB1CCBA4EB77BB573</vt:lpwstr>
  </property>
</Properties>
</file>